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AS FILED WITH THE SECURITIES AND EXCHANGE COMMISSION ON SEPTEMBER 17, 1998</w:t>
      </w:r>
    </w:p>
    <w:p>
      <w:pPr>
        <w:ind w:left="4640"/>
        <w:spacing w:after="0" w:line="237" w:lineRule="auto"/>
        <w:rPr>
          <w:sz w:val="20"/>
          <w:szCs w:val="20"/>
          <w:color w:val="auto"/>
        </w:rPr>
      </w:pPr>
      <w:r>
        <w:rPr>
          <w:rFonts w:ascii="Courier New" w:cs="Courier New" w:eastAsia="Courier New" w:hAnsi="Courier New"/>
          <w:sz w:val="15"/>
          <w:szCs w:val="15"/>
          <w:color w:val="auto"/>
        </w:rPr>
        <w:t>REGISTRATION NO. 333-</w:t>
      </w:r>
    </w:p>
    <w:p>
      <w:pPr>
        <w:ind w:left="180" w:hanging="170"/>
        <w:spacing w:after="0" w:line="238"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9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ind w:left="24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ind w:left="2800"/>
        <w:spacing w:after="0" w:line="238" w:lineRule="auto"/>
        <w:rPr>
          <w:sz w:val="20"/>
          <w:szCs w:val="20"/>
          <w:color w:val="auto"/>
        </w:rPr>
      </w:pPr>
      <w:r>
        <w:rPr>
          <w:rFonts w:ascii="Courier New" w:cs="Courier New" w:eastAsia="Courier New" w:hAnsi="Courier New"/>
          <w:sz w:val="15"/>
          <w:szCs w:val="15"/>
          <w:color w:val="auto"/>
        </w:rPr>
        <w:t>---------------</w:t>
      </w:r>
    </w:p>
    <w:p>
      <w:pPr>
        <w:ind w:left="3080"/>
        <w:spacing w:after="0" w:line="237" w:lineRule="auto"/>
        <w:rPr>
          <w:sz w:val="20"/>
          <w:szCs w:val="20"/>
          <w:color w:val="auto"/>
        </w:rPr>
      </w:pPr>
      <w:r>
        <w:rPr>
          <w:rFonts w:ascii="Courier New" w:cs="Courier New" w:eastAsia="Courier New" w:hAnsi="Courier New"/>
          <w:sz w:val="15"/>
          <w:szCs w:val="15"/>
          <w:color w:val="auto"/>
        </w:rPr>
        <w:t>FORM S-3</w:t>
      </w:r>
    </w:p>
    <w:p>
      <w:pPr>
        <w:ind w:left="2460"/>
        <w:spacing w:after="0" w:line="238" w:lineRule="auto"/>
        <w:rPr>
          <w:sz w:val="20"/>
          <w:szCs w:val="20"/>
          <w:color w:val="auto"/>
        </w:rPr>
      </w:pPr>
      <w:r>
        <w:rPr>
          <w:rFonts w:ascii="Courier New" w:cs="Courier New" w:eastAsia="Courier New" w:hAnsi="Courier New"/>
          <w:sz w:val="15"/>
          <w:szCs w:val="15"/>
          <w:color w:val="auto"/>
        </w:rPr>
        <w:t>REGISTRATION STATEMENT</w:t>
      </w:r>
    </w:p>
    <w:p>
      <w:pPr>
        <w:ind w:left="3240"/>
        <w:spacing w:after="0" w:line="237" w:lineRule="auto"/>
        <w:rPr>
          <w:sz w:val="20"/>
          <w:szCs w:val="20"/>
          <w:color w:val="auto"/>
        </w:rPr>
      </w:pPr>
      <w:r>
        <w:rPr>
          <w:rFonts w:ascii="Courier New" w:cs="Courier New" w:eastAsia="Courier New" w:hAnsi="Courier New"/>
          <w:sz w:val="15"/>
          <w:szCs w:val="15"/>
          <w:color w:val="auto"/>
        </w:rPr>
        <w:t>UNDER</w:t>
      </w:r>
    </w:p>
    <w:p>
      <w:pPr>
        <w:ind w:left="2280"/>
        <w:spacing w:after="0" w:line="238" w:lineRule="auto"/>
        <w:rPr>
          <w:sz w:val="20"/>
          <w:szCs w:val="20"/>
          <w:color w:val="auto"/>
        </w:rPr>
      </w:pPr>
      <w:r>
        <w:rPr>
          <w:rFonts w:ascii="Courier New" w:cs="Courier New" w:eastAsia="Courier New" w:hAnsi="Courier New"/>
          <w:sz w:val="15"/>
          <w:szCs w:val="15"/>
          <w:color w:val="auto"/>
        </w:rPr>
        <w:t>THE SECURITIES ACT OF 1933</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jc w:val="center"/>
        <w:ind w:right="3319"/>
        <w:spacing w:after="0" w:line="238" w:lineRule="auto"/>
        <w:rPr>
          <w:sz w:val="20"/>
          <w:szCs w:val="20"/>
          <w:color w:val="auto"/>
        </w:rPr>
      </w:pPr>
      <w:r>
        <w:rPr>
          <w:rFonts w:ascii="Courier New" w:cs="Courier New" w:eastAsia="Courier New" w:hAnsi="Courier New"/>
          <w:sz w:val="15"/>
          <w:szCs w:val="15"/>
          <w:color w:val="auto"/>
        </w:rPr>
        <w:t>FEDERAL REALTY INVESTMENT TRUST</w:t>
      </w:r>
    </w:p>
    <w:p>
      <w:pPr>
        <w:jc w:val="center"/>
        <w:ind w:right="3399"/>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tbl>
      <w:tblPr>
        <w:tblLayout w:type="fixed"/>
        <w:tblInd w:w="0" w:type="dxa"/>
        <w:tblCellMar>
          <w:top w:w="0" w:type="dxa"/>
          <w:left w:w="0" w:type="dxa"/>
          <w:bottom w:w="0" w:type="dxa"/>
          <w:right w:w="0" w:type="dxa"/>
        </w:tblCellMar>
      </w:tblPr>
      <w:tr>
        <w:trPr>
          <w:trHeight w:val="168"/>
        </w:trPr>
        <w:tc>
          <w:tcPr>
            <w:tcW w:w="6840" w:type="dxa"/>
            <w:vAlign w:val="bottom"/>
            <w:gridSpan w:val="2"/>
          </w:tcPr>
          <w:p>
            <w:pPr>
              <w:ind w:left="28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DISTRICT OF COLUMBIA</w:t>
            </w:r>
          </w:p>
        </w:tc>
        <w:tc>
          <w:tcPr>
            <w:tcW w:w="39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52-0782497</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(STATE OR OTHER JURISDICTION OF</w:t>
            </w:r>
          </w:p>
        </w:tc>
        <w:tc>
          <w:tcPr>
            <w:tcW w:w="390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(I.R.S. EMPLOYER IDENTIFICATION NUMBER)</w:t>
            </w:r>
          </w:p>
        </w:tc>
      </w:tr>
      <w:tr>
        <w:trPr>
          <w:trHeight w:val="168"/>
        </w:trPr>
        <w:tc>
          <w:tcPr>
            <w:tcW w:w="294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INCORPORATION OR ORGANIZATION)</w:t>
            </w:r>
          </w:p>
        </w:tc>
        <w:tc>
          <w:tcPr>
            <w:tcW w:w="3900" w:type="dxa"/>
            <w:vAlign w:val="bottom"/>
          </w:tcPr>
          <w:p>
            <w:pPr>
              <w:spacing w:after="0"/>
              <w:rPr>
                <w:sz w:val="14"/>
                <w:szCs w:val="14"/>
                <w:color w:val="auto"/>
              </w:rPr>
            </w:pPr>
          </w:p>
        </w:tc>
      </w:tr>
      <w:tr>
        <w:trPr>
          <w:trHeight w:val="168"/>
        </w:trPr>
        <w:tc>
          <w:tcPr>
            <w:tcW w:w="68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1626 EAST JEFFERSON STREET</w:t>
            </w:r>
          </w:p>
        </w:tc>
      </w:tr>
      <w:tr>
        <w:trPr>
          <w:trHeight w:val="168"/>
        </w:trPr>
        <w:tc>
          <w:tcPr>
            <w:tcW w:w="68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ROCKVILLE, MARYLAND 20852-4041</w:t>
            </w:r>
          </w:p>
        </w:tc>
      </w:tr>
      <w:tr>
        <w:trPr>
          <w:trHeight w:val="168"/>
        </w:trPr>
        <w:tc>
          <w:tcPr>
            <w:tcW w:w="6840" w:type="dxa"/>
            <w:vAlign w:val="bottom"/>
            <w:gridSpan w:val="2"/>
          </w:tcPr>
          <w:p>
            <w:pPr>
              <w:ind w:left="2800"/>
              <w:spacing w:after="0" w:line="168" w:lineRule="exact"/>
              <w:rPr>
                <w:sz w:val="20"/>
                <w:szCs w:val="20"/>
                <w:color w:val="auto"/>
              </w:rPr>
            </w:pPr>
            <w:r>
              <w:rPr>
                <w:rFonts w:ascii="Courier New" w:cs="Courier New" w:eastAsia="Courier New" w:hAnsi="Courier New"/>
                <w:sz w:val="15"/>
                <w:szCs w:val="15"/>
                <w:color w:val="auto"/>
              </w:rPr>
              <w:t>(301) 998-8100</w:t>
            </w:r>
          </w:p>
        </w:tc>
      </w:tr>
      <w:tr>
        <w:trPr>
          <w:trHeight w:val="168"/>
        </w:trPr>
        <w:tc>
          <w:tcPr>
            <w:tcW w:w="6840" w:type="dxa"/>
            <w:vAlign w:val="bottom"/>
            <w:gridSpan w:val="2"/>
          </w:tcPr>
          <w:p>
            <w:pPr>
              <w:ind w:left="2800"/>
              <w:spacing w:after="0" w:line="168" w:lineRule="exact"/>
              <w:rPr>
                <w:sz w:val="20"/>
                <w:szCs w:val="20"/>
                <w:color w:val="auto"/>
              </w:rPr>
            </w:pPr>
            <w:r>
              <w:rPr>
                <w:rFonts w:ascii="Courier New" w:cs="Courier New" w:eastAsia="Courier New" w:hAnsi="Courier New"/>
                <w:sz w:val="15"/>
                <w:szCs w:val="15"/>
                <w:color w:val="auto"/>
              </w:rPr>
              <w:t>(800) 658-8980</w:t>
            </w: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(ADDRESS, INCLUDING ZIP CODE, AND TELEPHONE NUMBER, INCLUDING AREA CODE, OF</w:t>
            </w:r>
          </w:p>
        </w:tc>
      </w:tr>
      <w:tr>
        <w:trPr>
          <w:trHeight w:val="168"/>
        </w:trPr>
        <w:tc>
          <w:tcPr>
            <w:tcW w:w="68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REGISTRANT'S PRINCIPAL EXECUTIVE OFFICES)</w:t>
            </w:r>
          </w:p>
        </w:tc>
      </w:tr>
      <w:tr>
        <w:trPr>
          <w:trHeight w:val="168"/>
        </w:trPr>
        <w:tc>
          <w:tcPr>
            <w:tcW w:w="6840" w:type="dxa"/>
            <w:vAlign w:val="bottom"/>
            <w:gridSpan w:val="2"/>
          </w:tcPr>
          <w:p>
            <w:pPr>
              <w:ind w:left="28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STEVEN J. GUTTMAN</w:t>
            </w:r>
          </w:p>
        </w:tc>
      </w:tr>
      <w:tr>
        <w:trPr>
          <w:trHeight w:val="168"/>
        </w:trPr>
        <w:tc>
          <w:tcPr>
            <w:tcW w:w="684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PRESIDENT AND TRUSTEE</w:t>
            </w:r>
          </w:p>
        </w:tc>
      </w:tr>
      <w:tr>
        <w:trPr>
          <w:trHeight w:val="168"/>
        </w:trPr>
        <w:tc>
          <w:tcPr>
            <w:tcW w:w="684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FEDERAL REALTY INVESTMENT TRUST</w:t>
            </w:r>
          </w:p>
        </w:tc>
      </w:tr>
      <w:tr>
        <w:trPr>
          <w:trHeight w:val="168"/>
        </w:trPr>
        <w:tc>
          <w:tcPr>
            <w:tcW w:w="68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1626 EAST JEFFERSON STREET</w:t>
            </w:r>
          </w:p>
        </w:tc>
      </w:tr>
      <w:tr>
        <w:trPr>
          <w:trHeight w:val="168"/>
        </w:trPr>
        <w:tc>
          <w:tcPr>
            <w:tcW w:w="68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ROCKVILLE, MARYLAND 20852-4041</w:t>
            </w:r>
          </w:p>
        </w:tc>
      </w:tr>
      <w:tr>
        <w:trPr>
          <w:trHeight w:val="168"/>
        </w:trPr>
        <w:tc>
          <w:tcPr>
            <w:tcW w:w="6840" w:type="dxa"/>
            <w:vAlign w:val="bottom"/>
            <w:gridSpan w:val="2"/>
          </w:tcPr>
          <w:p>
            <w:pPr>
              <w:ind w:left="2800"/>
              <w:spacing w:after="0" w:line="168" w:lineRule="exact"/>
              <w:rPr>
                <w:sz w:val="20"/>
                <w:szCs w:val="20"/>
                <w:color w:val="auto"/>
              </w:rPr>
            </w:pPr>
            <w:r>
              <w:rPr>
                <w:rFonts w:ascii="Courier New" w:cs="Courier New" w:eastAsia="Courier New" w:hAnsi="Courier New"/>
                <w:sz w:val="15"/>
                <w:szCs w:val="15"/>
                <w:color w:val="auto"/>
              </w:rPr>
              <w:t>(301) 998-8100</w:t>
            </w:r>
          </w:p>
        </w:tc>
      </w:tr>
      <w:tr>
        <w:trPr>
          <w:trHeight w:val="168"/>
        </w:trPr>
        <w:tc>
          <w:tcPr>
            <w:tcW w:w="6840" w:type="dxa"/>
            <w:vAlign w:val="bottom"/>
            <w:gridSpan w:val="2"/>
          </w:tcPr>
          <w:p>
            <w:pPr>
              <w:ind w:left="2800"/>
              <w:spacing w:after="0" w:line="168" w:lineRule="exact"/>
              <w:rPr>
                <w:sz w:val="20"/>
                <w:szCs w:val="20"/>
                <w:color w:val="auto"/>
              </w:rPr>
            </w:pPr>
            <w:r>
              <w:rPr>
                <w:rFonts w:ascii="Courier New" w:cs="Courier New" w:eastAsia="Courier New" w:hAnsi="Courier New"/>
                <w:sz w:val="15"/>
                <w:szCs w:val="15"/>
                <w:color w:val="auto"/>
              </w:rPr>
              <w:t>(800) 658-8980</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(NAME, ADDRESS, INCLUDING ZIP CODE, AND TELEPHONE NUMBER, INCLUDING AREA CODE,</w:t>
            </w:r>
          </w:p>
        </w:tc>
      </w:tr>
      <w:tr>
        <w:trPr>
          <w:trHeight w:val="168"/>
        </w:trPr>
        <w:tc>
          <w:tcPr>
            <w:tcW w:w="684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OF AGENT FOR SERVICE)</w:t>
            </w:r>
          </w:p>
        </w:tc>
      </w:tr>
      <w:tr>
        <w:trPr>
          <w:trHeight w:val="168"/>
        </w:trPr>
        <w:tc>
          <w:tcPr>
            <w:tcW w:w="2940" w:type="dxa"/>
            <w:vAlign w:val="bottom"/>
          </w:tcPr>
          <w:p>
            <w:pPr>
              <w:spacing w:after="0"/>
              <w:rPr>
                <w:sz w:val="14"/>
                <w:szCs w:val="14"/>
                <w:color w:val="auto"/>
              </w:rPr>
            </w:pPr>
          </w:p>
        </w:tc>
        <w:tc>
          <w:tcPr>
            <w:tcW w:w="3900" w:type="dxa"/>
            <w:vAlign w:val="bottom"/>
          </w:tcPr>
          <w:p>
            <w:pPr>
              <w:jc w:val="center"/>
              <w:ind w:right="2867"/>
              <w:spacing w:after="0" w:line="168" w:lineRule="exact"/>
              <w:rPr>
                <w:sz w:val="20"/>
                <w:szCs w:val="20"/>
                <w:color w:val="auto"/>
              </w:rPr>
            </w:pPr>
            <w:r>
              <w:rPr>
                <w:rFonts w:ascii="Courier New" w:cs="Courier New" w:eastAsia="Courier New" w:hAnsi="Courier New"/>
                <w:sz w:val="15"/>
                <w:szCs w:val="15"/>
                <w:color w:val="auto"/>
                <w:w w:val="97"/>
              </w:rPr>
              <w:t>COPIES TO:</w:t>
            </w:r>
          </w:p>
        </w:tc>
      </w:tr>
      <w:tr>
        <w:trPr>
          <w:trHeight w:val="168"/>
        </w:trPr>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THOMAS F. COONEY, III, ESQ.</w:t>
            </w:r>
          </w:p>
        </w:tc>
        <w:tc>
          <w:tcPr>
            <w:tcW w:w="390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HOWARD G. GODWIN, JR., ESQ.</w:t>
            </w:r>
          </w:p>
        </w:tc>
      </w:tr>
      <w:tr>
        <w:trPr>
          <w:trHeight w:val="168"/>
        </w:trPr>
        <w:tc>
          <w:tcPr>
            <w:tcW w:w="29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KIRKPATRICK &amp; LOCKHART LLP</w:t>
            </w:r>
          </w:p>
        </w:tc>
        <w:tc>
          <w:tcPr>
            <w:tcW w:w="39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BROWN &amp; WOOD LLP</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1800 MASSACHUSETTS AVENUE, N.W.</w:t>
            </w:r>
          </w:p>
        </w:tc>
        <w:tc>
          <w:tcPr>
            <w:tcW w:w="39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ONE WORLD TRADE CENTER</w:t>
            </w:r>
          </w:p>
        </w:tc>
      </w:tr>
      <w:tr>
        <w:trPr>
          <w:trHeight w:val="168"/>
        </w:trPr>
        <w:tc>
          <w:tcPr>
            <w:tcW w:w="29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SECOND FLOOR</w:t>
            </w:r>
          </w:p>
        </w:tc>
        <w:tc>
          <w:tcPr>
            <w:tcW w:w="390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NEW YORK, N.Y. 10048-0557</w:t>
            </w:r>
          </w:p>
        </w:tc>
      </w:tr>
      <w:tr>
        <w:trPr>
          <w:trHeight w:val="168"/>
        </w:trPr>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WASHINGTON, D.C. 20036-1800</w:t>
            </w:r>
          </w:p>
        </w:tc>
        <w:tc>
          <w:tcPr>
            <w:tcW w:w="3900" w:type="dxa"/>
            <w:vAlign w:val="bottom"/>
          </w:tcPr>
          <w:p>
            <w:pPr>
              <w:spacing w:after="0"/>
              <w:rPr>
                <w:sz w:val="14"/>
                <w:szCs w:val="14"/>
                <w:color w:val="auto"/>
              </w:rPr>
            </w:pPr>
          </w:p>
        </w:tc>
      </w:tr>
      <w:tr>
        <w:trPr>
          <w:trHeight w:val="336"/>
        </w:trPr>
        <w:tc>
          <w:tcPr>
            <w:tcW w:w="6840" w:type="dxa"/>
            <w:vAlign w:val="bottom"/>
            <w:gridSpan w:val="2"/>
          </w:tcPr>
          <w:p>
            <w:pPr>
              <w:ind w:left="2800"/>
              <w:spacing w:after="0"/>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APPROXIMATE DATE OF COMMENCEMENT OF PROPOSED SALE TO THE PUBLIC: From time</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to time after the effective date of the Registration Statement as determined</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by market conditions and other factors.</w:t>
            </w: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If the only securities being registered on this Form are being offered</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pursuant to dividend or interest reinvestment plans, please check the</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following box. [_]</w:t>
            </w:r>
          </w:p>
        </w:tc>
        <w:tc>
          <w:tcPr>
            <w:tcW w:w="3900" w:type="dxa"/>
            <w:vAlign w:val="bottom"/>
          </w:tcPr>
          <w:p>
            <w:pPr>
              <w:spacing w:after="0"/>
              <w:rPr>
                <w:sz w:val="14"/>
                <w:szCs w:val="14"/>
                <w:color w:val="auto"/>
              </w:rPr>
            </w:pP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If any of the securities being registered on this Form are to be offered on</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a delayed or continuous basis pursuant to Rule 415 under the Securities Act of</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1933, other than securities offered only in connection with dividend or</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reinvestment plans, check the following box. [X]</w:t>
            </w: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If this Form is filed to register additional securities for an offering</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pursuant to Rule 462(b) under the Securities Act, please check the following</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box and list the Securities Act registration statement number of the earlier</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effective registration statement for the same offering. [_]</w:t>
            </w: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If this Form is a post-effective amendment filed pursuant to Rule 462(c)</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under the Securities Act, check the following box and list the Securities Act</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registration statement number of the earlier effective registration statement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same offering. [_]</w:t>
            </w:r>
          </w:p>
        </w:tc>
        <w:tc>
          <w:tcPr>
            <w:tcW w:w="3900" w:type="dxa"/>
            <w:vAlign w:val="bottom"/>
          </w:tcPr>
          <w:p>
            <w:pPr>
              <w:spacing w:after="0"/>
              <w:rPr>
                <w:sz w:val="14"/>
                <w:szCs w:val="14"/>
                <w:color w:val="auto"/>
              </w:rPr>
            </w:pP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If delivery of the prospectus is expected to be made pursuant to Rule 434,</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please check the following box. [X]</w:t>
            </w:r>
          </w:p>
        </w:tc>
      </w:tr>
      <w:tr>
        <w:trPr>
          <w:trHeight w:val="336"/>
        </w:trPr>
        <w:tc>
          <w:tcPr>
            <w:tcW w:w="684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CALCULATION OF REGISTRATION FEE</w:t>
            </w:r>
          </w:p>
        </w:tc>
      </w:tr>
    </w:tbl>
    <w:p>
      <w:pPr>
        <w:spacing w:after="0" w:line="34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tbl>
      <w:tblPr>
        <w:tblLayout w:type="fixed"/>
        <w:tblInd w:w="540"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PROPOSED</w:t>
            </w:r>
          </w:p>
        </w:tc>
        <w:tc>
          <w:tcPr>
            <w:tcW w:w="1240" w:type="dxa"/>
            <w:vAlign w:val="bottom"/>
          </w:tcPr>
          <w:p>
            <w:pPr>
              <w:spacing w:after="0"/>
              <w:rPr>
                <w:sz w:val="14"/>
                <w:szCs w:val="14"/>
                <w:color w:val="auto"/>
              </w:rPr>
            </w:pPr>
          </w:p>
        </w:tc>
      </w:tr>
      <w:tr>
        <w:trPr>
          <w:trHeight w:val="168"/>
        </w:trPr>
        <w:tc>
          <w:tcPr>
            <w:tcW w:w="2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PROPOSED</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MAXIMUM</w:t>
            </w:r>
          </w:p>
        </w:tc>
        <w:tc>
          <w:tcPr>
            <w:tcW w:w="1240" w:type="dxa"/>
            <w:vAlign w:val="bottom"/>
          </w:tcPr>
          <w:p>
            <w:pPr>
              <w:spacing w:after="0"/>
              <w:rPr>
                <w:sz w:val="14"/>
                <w:szCs w:val="14"/>
                <w:color w:val="auto"/>
              </w:rPr>
            </w:pPr>
          </w:p>
        </w:tc>
      </w:tr>
      <w:tr>
        <w:trPr>
          <w:trHeight w:val="168"/>
        </w:trPr>
        <w:tc>
          <w:tcPr>
            <w:tcW w:w="296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AGGREGATE</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MAXIMUM</w:t>
            </w: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AGGREGATE</w:t>
            </w:r>
          </w:p>
        </w:tc>
        <w:tc>
          <w:tcPr>
            <w:tcW w:w="12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AMOUNT OF</w:t>
            </w:r>
          </w:p>
        </w:tc>
      </w:tr>
      <w:tr>
        <w:trPr>
          <w:trHeight w:val="168"/>
        </w:trPr>
        <w:tc>
          <w:tcPr>
            <w:tcW w:w="296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TITLE OF EACH CLASS OF</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 TO BE</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OFFERING PRICE</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OFFERING</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REGISTRATION</w:t>
            </w:r>
          </w:p>
        </w:tc>
      </w:tr>
      <w:tr>
        <w:trPr>
          <w:trHeight w:val="168"/>
        </w:trPr>
        <w:tc>
          <w:tcPr>
            <w:tcW w:w="29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SECURITIES TO BE REGISTERED(1)</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REGISTERED(2)</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UNIT(3)</w:t>
            </w: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PRICE(2)(3)</w:t>
            </w:r>
          </w:p>
        </w:tc>
        <w:tc>
          <w:tcPr>
            <w:tcW w:w="12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FEE(5)(6)</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tbl>
      <w:tblPr>
        <w:tblLayout w:type="fixed"/>
        <w:tblInd w:w="1140" w:type="dxa"/>
        <w:tblCellMar>
          <w:top w:w="0" w:type="dxa"/>
          <w:left w:w="0" w:type="dxa"/>
          <w:bottom w:w="0" w:type="dxa"/>
          <w:right w:w="0" w:type="dxa"/>
        </w:tblCellMar>
      </w:tblPr>
      <w:tr>
        <w:trPr>
          <w:trHeight w:val="170"/>
        </w:trPr>
        <w:tc>
          <w:tcPr>
            <w:tcW w:w="2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Debt Securities</w:t>
            </w:r>
          </w:p>
        </w:tc>
        <w:tc>
          <w:tcPr>
            <w:tcW w:w="2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Preferred Shares</w:t>
            </w: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$498,600,004</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$498,600,004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$147,500</w:t>
            </w:r>
          </w:p>
        </w:tc>
      </w:tr>
      <w:tr>
        <w:trPr>
          <w:trHeight w:val="168"/>
        </w:trPr>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Common Shares</w:t>
            </w:r>
          </w:p>
        </w:tc>
        <w:tc>
          <w:tcPr>
            <w:tcW w:w="2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ind w:left="360" w:right="3399" w:hanging="350"/>
        <w:spacing w:after="0" w:line="236"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registration statement also covers delayed delivery contracts that may be issued by the registrant under which the party purchasing such contracts may be required to purchase Debt Securities, Preferred Shares or Common Shares. Such contracts may be issued together with the specific Securities to which they relate. In addition, Securities registered hereunder either may be sold separately or as units comprised of more than one type of security registered hereunder.</w:t>
      </w:r>
    </w:p>
    <w:p>
      <w:pPr>
        <w:spacing w:after="0" w:line="7" w:lineRule="exact"/>
        <w:rPr>
          <w:rFonts w:ascii="Courier New" w:cs="Courier New" w:eastAsia="Courier New" w:hAnsi="Courier New"/>
          <w:sz w:val="15"/>
          <w:szCs w:val="15"/>
          <w:color w:val="auto"/>
        </w:rPr>
      </w:pPr>
    </w:p>
    <w:p>
      <w:pPr>
        <w:ind w:left="360" w:right="4099" w:hanging="350"/>
        <w:spacing w:after="0" w:line="235"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U.S. dollars or the equivalent thereof in one or more foreign currencies or units of two or more foreign currencies or composite currencies (such as European Currency Units).</w:t>
      </w:r>
    </w:p>
    <w:p>
      <w:pPr>
        <w:spacing w:after="0" w:line="5" w:lineRule="exact"/>
        <w:rPr>
          <w:rFonts w:ascii="Courier New" w:cs="Courier New" w:eastAsia="Courier New" w:hAnsi="Courier New"/>
          <w:sz w:val="15"/>
          <w:szCs w:val="15"/>
          <w:color w:val="auto"/>
        </w:rPr>
      </w:pPr>
    </w:p>
    <w:p>
      <w:pPr>
        <w:ind w:left="360" w:right="3759" w:hanging="350"/>
        <w:spacing w:after="0" w:line="235"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purposes of calculating the registration fee. No separate consideration will be received for Common Shares or Preferred Shares as may from time to time be issued upon conversion of Debt Securities or Preferred Shares.</w:t>
      </w:r>
    </w:p>
    <w:p>
      <w:pPr>
        <w:spacing w:after="0" w:line="7" w:lineRule="exact"/>
        <w:rPr>
          <w:rFonts w:ascii="Courier New" w:cs="Courier New" w:eastAsia="Courier New" w:hAnsi="Courier New"/>
          <w:sz w:val="15"/>
          <w:szCs w:val="15"/>
          <w:color w:val="auto"/>
        </w:rPr>
      </w:pPr>
    </w:p>
    <w:p>
      <w:pPr>
        <w:ind w:left="360" w:right="4099" w:hanging="350"/>
        <w:spacing w:after="0" w:line="234"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Omitted pursuant to General Instruction II-D of Form S-3 under the Securities Act of 1933.</w:t>
      </w:r>
    </w:p>
    <w:p>
      <w:pPr>
        <w:ind w:left="360" w:hanging="350"/>
        <w:spacing w:after="0" w:line="237"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fee has been calculated in accordance with Rule 457(o)</w:t>
      </w:r>
    </w:p>
    <w:p>
      <w:pPr>
        <w:sectPr>
          <w:pgSz w:w="11900" w:h="16910" w:orient="portrait"/>
          <w:cols w:equalWidth="0" w:num="1">
            <w:col w:w="10239"/>
          </w:cols>
          <w:pgMar w:left="220" w:top="561" w:right="1440" w:bottom="0" w:gutter="0" w:footer="0" w:header="0"/>
        </w:sectPr>
      </w:pPr>
    </w:p>
    <w:bookmarkStart w:id="1" w:name="page2"/>
    <w:bookmarkEnd w:id="1"/>
    <w:p>
      <w:pPr>
        <w:ind w:left="360"/>
        <w:spacing w:after="0"/>
        <w:rPr>
          <w:sz w:val="20"/>
          <w:szCs w:val="20"/>
          <w:color w:val="auto"/>
        </w:rPr>
      </w:pPr>
      <w:r>
        <w:rPr>
          <w:rFonts w:ascii="Courier New" w:cs="Courier New" w:eastAsia="Courier New" w:hAnsi="Courier New"/>
          <w:sz w:val="15"/>
          <w:szCs w:val="15"/>
          <w:color w:val="auto"/>
        </w:rPr>
        <w:t>under the Securities Act of 1933.</w:t>
      </w:r>
    </w:p>
    <w:p>
      <w:pPr>
        <w:spacing w:after="0" w:line="5" w:lineRule="exact"/>
        <w:rPr>
          <w:sz w:val="20"/>
          <w:szCs w:val="20"/>
          <w:color w:val="auto"/>
        </w:rPr>
      </w:pPr>
    </w:p>
    <w:p>
      <w:pPr>
        <w:ind w:left="360" w:right="3499" w:hanging="350"/>
        <w:spacing w:after="0" w:line="254"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429 under the Securities Act of 1933, $1,399,996 of Securities are being carried forward from registration statement No. 33-63687. The amount of the registration fee associated with such Securities</w:t>
      </w:r>
    </w:p>
    <w:p>
      <w:pPr>
        <w:jc w:val="center"/>
        <w:ind w:right="3039"/>
        <w:spacing w:after="0" w:line="232" w:lineRule="auto"/>
        <w:rPr>
          <w:sz w:val="20"/>
          <w:szCs w:val="20"/>
          <w:color w:val="auto"/>
        </w:rPr>
      </w:pPr>
      <w:r>
        <w:rPr>
          <w:rFonts w:ascii="Courier New" w:cs="Courier New" w:eastAsia="Courier New" w:hAnsi="Courier New"/>
          <w:sz w:val="15"/>
          <w:szCs w:val="15"/>
          <w:color w:val="auto"/>
        </w:rPr>
        <w:t>that was previously paid with registration statement No. 33-63687 is $483.</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Pursuant to Rule 429 under the Securities Act of 1933, the prospectus included in this registration statement is a combined prospectus relating also to registration statement No. 33-63687. This registration statement also constitutes Post-Effective Amendment No. 1 to registration statement No. 33-63687, and such Post-Effective Amendment shall hereafter become effective concurrently with the effectiveness of this registration statement and in accordance with Section 8(c) of the Securities Act of 1933. This registration statement and the registration statement amended hereby are collectively referred to hereunder as the "registration statement."</w:t>
      </w:r>
    </w:p>
    <w:p>
      <w:pPr>
        <w:spacing w:after="0" w:line="15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6"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35" w:right="1440" w:bottom="1440" w:gutter="0" w:footer="0" w:header="0"/>
        </w:sectPr>
      </w:pPr>
    </w:p>
    <w:bookmarkStart w:id="2" w:name="page3"/>
    <w:bookmarkEnd w:id="2"/>
    <w:p>
      <w:pPr>
        <w:ind w:left="1400"/>
        <w:spacing w:after="0"/>
        <w:rPr>
          <w:sz w:val="20"/>
          <w:szCs w:val="20"/>
          <w:color w:val="auto"/>
        </w:rPr>
      </w:pPr>
      <w:r>
        <w:rPr>
          <w:rFonts w:ascii="Courier New" w:cs="Courier New" w:eastAsia="Courier New" w:hAnsi="Courier New"/>
          <w:sz w:val="15"/>
          <w:szCs w:val="15"/>
          <w:color w:val="auto"/>
        </w:rPr>
        <w:t>SUBJECT TO COMPLETION, DATED SEPTEMBER 17, 1998</w:t>
      </w:r>
    </w:p>
    <w:p>
      <w:pPr>
        <w:spacing w:after="0" w:line="200" w:lineRule="exact"/>
        <w:rPr>
          <w:sz w:val="20"/>
          <w:szCs w:val="20"/>
          <w:color w:val="auto"/>
        </w:rPr>
      </w:pPr>
    </w:p>
    <w:p>
      <w:pPr>
        <w:spacing w:after="0" w:line="30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[LOGO OF FEDERAL REALTY INVESTMENT TRUST APPEARS HERE]</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$500,000,000</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DEBT SECURITIES, PREFERRED SHARES AND COMMON SHARES</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Federal Realty Investment Trust (the "Trust") may from time to time offer in one or more series (i) its unsecured debt securities (the "Debt Securities"),</w:t>
      </w:r>
    </w:p>
    <w:p>
      <w:pPr>
        <w:spacing w:after="0" w:line="1" w:lineRule="exact"/>
        <w:rPr>
          <w:sz w:val="20"/>
          <w:szCs w:val="20"/>
          <w:color w:val="auto"/>
        </w:rPr>
      </w:pPr>
    </w:p>
    <w:p>
      <w:pPr>
        <w:ind w:right="3319" w:firstLine="10"/>
        <w:spacing w:after="0" w:line="255" w:lineRule="auto"/>
        <w:tabs>
          <w:tab w:leader="none" w:pos="43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preferred shares (the "Preferred Shares"), and (iii) its common shares of beneficial interest, no par or stated value (the "Common Shares"), with an aggregate public offering price of up to $500,000,000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66"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The Debt Securities will be direct unsecured obligations of the Trust and may be either senior Debt Securities (the "Senior Securities") or subordinated Debt Securities (the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166"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175" w:lineRule="exact"/>
        <w:rPr>
          <w:sz w:val="20"/>
          <w:szCs w:val="20"/>
          <w:color w:val="auto"/>
        </w:rPr>
      </w:pPr>
    </w:p>
    <w:p>
      <w:pPr>
        <w:ind w:right="3679" w:firstLine="175"/>
        <w:spacing w:after="0" w:line="235" w:lineRule="auto"/>
        <w:rPr>
          <w:sz w:val="20"/>
          <w:szCs w:val="20"/>
          <w:color w:val="auto"/>
        </w:rPr>
      </w:pPr>
      <w:r>
        <w:rPr>
          <w:rFonts w:ascii="Courier New" w:cs="Courier New" w:eastAsia="Courier New" w:hAnsi="Courier New"/>
          <w:sz w:val="15"/>
          <w:szCs w:val="15"/>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175"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Securities.</w:t>
      </w:r>
    </w:p>
    <w:p>
      <w:pPr>
        <w:spacing w:after="0" w:line="17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center"/>
        <w:ind w:left="240" w:right="80"/>
        <w:spacing w:after="0" w:line="254" w:lineRule="auto"/>
        <w:rPr>
          <w:sz w:val="20"/>
          <w:szCs w:val="20"/>
          <w:color w:val="auto"/>
        </w:rPr>
      </w:pPr>
      <w:r>
        <w:rPr>
          <w:rFonts w:ascii="Courier New" w:cs="Courier New" w:eastAsia="Courier New" w:hAnsi="Courier New"/>
          <w:sz w:val="14"/>
          <w:szCs w:val="14"/>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w:t>
      </w:r>
    </w:p>
    <w:p>
      <w:pPr>
        <w:ind w:left="620"/>
        <w:spacing w:after="0" w:line="232" w:lineRule="auto"/>
        <w:rPr>
          <w:sz w:val="20"/>
          <w:szCs w:val="20"/>
          <w:color w:val="auto"/>
        </w:rPr>
      </w:pPr>
      <w:r>
        <w:rPr>
          <w:rFonts w:ascii="Courier New" w:cs="Courier New" w:eastAsia="Courier New" w:hAnsi="Courier New"/>
          <w:sz w:val="15"/>
          <w:szCs w:val="15"/>
          <w:color w:val="auto"/>
        </w:rPr>
        <w:t>REPRESENTATION TO THE CONTRARY IS A CRIMINAL OFFENSE.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ind w:left="29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505"/>
        </w:trPr>
        <w:tc>
          <w:tcPr>
            <w:tcW w:w="4520" w:type="dxa"/>
            <w:vAlign w:val="bottom"/>
          </w:tcPr>
          <w:p>
            <w:pPr>
              <w:ind w:left="1580"/>
              <w:spacing w:after="0"/>
              <w:rPr>
                <w:sz w:val="20"/>
                <w:szCs w:val="20"/>
                <w:color w:val="auto"/>
              </w:rPr>
            </w:pPr>
            <w:r>
              <w:rPr>
                <w:rFonts w:ascii="Courier New" w:cs="Courier New" w:eastAsia="Courier New" w:hAnsi="Courier New"/>
                <w:sz w:val="15"/>
                <w:szCs w:val="15"/>
                <w:color w:val="auto"/>
              </w:rPr>
              <w:t>The date of this Prospectus is</w:t>
            </w:r>
          </w:p>
        </w:tc>
        <w:tc>
          <w:tcPr>
            <w:tcW w:w="2320" w:type="dxa"/>
            <w:vAlign w:val="bottom"/>
            <w:gridSpan w:val="2"/>
          </w:tcPr>
          <w:p>
            <w:pPr>
              <w:jc w:val="right"/>
              <w:ind w:right="1327"/>
              <w:spacing w:after="0"/>
              <w:rPr>
                <w:sz w:val="20"/>
                <w:szCs w:val="20"/>
                <w:color w:val="auto"/>
              </w:rPr>
            </w:pPr>
            <w:r>
              <w:rPr>
                <w:rFonts w:ascii="Courier New" w:cs="Courier New" w:eastAsia="Courier New" w:hAnsi="Courier New"/>
                <w:sz w:val="15"/>
                <w:szCs w:val="15"/>
                <w:color w:val="auto"/>
              </w:rPr>
              <w:t>, 1998.</w:t>
            </w:r>
          </w:p>
        </w:tc>
      </w:tr>
      <w:tr>
        <w:trPr>
          <w:trHeight w:val="168"/>
        </w:trPr>
        <w:tc>
          <w:tcPr>
            <w:tcW w:w="6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INFORMATION CONTAINED HEREIN IS SUBJECT TO COMPLETION OR AMENDMENT. A</w:t>
            </w:r>
          </w:p>
        </w:tc>
      </w:tr>
      <w:tr>
        <w:trPr>
          <w:trHeight w:val="168"/>
        </w:trPr>
        <w:tc>
          <w:tcPr>
            <w:tcW w:w="5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REGISTRATION STATEMENT RELATING TO THESE SECURITIES HAS BEEN</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FILED WITH THE</w:t>
            </w:r>
          </w:p>
        </w:tc>
      </w:tr>
      <w:tr>
        <w:trPr>
          <w:trHeight w:val="168"/>
        </w:trPr>
        <w:tc>
          <w:tcPr>
            <w:tcW w:w="5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SECURITIES AND EXCHANGE COMMISSION. THESE SECURITIES MAY NOT</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 SOLD NOR MAY</w:t>
            </w:r>
          </w:p>
        </w:tc>
      </w:tr>
      <w:tr>
        <w:trPr>
          <w:trHeight w:val="168"/>
        </w:trPr>
        <w:tc>
          <w:tcPr>
            <w:tcW w:w="5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OFFERS TO BUY BE ACCEPTED PRIOR TO THE TIME THE REGISTRATION</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STATEMENT BECOMES</w:t>
            </w:r>
          </w:p>
        </w:tc>
      </w:tr>
      <w:tr>
        <w:trPr>
          <w:trHeight w:val="168"/>
        </w:trPr>
        <w:tc>
          <w:tcPr>
            <w:tcW w:w="6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EFFECTIVE. THIS PROSPECTUS SHALL NOT CONSTITUTE AN OFFER TO SELL OR THE</w:t>
            </w:r>
          </w:p>
        </w:tc>
      </w:tr>
      <w:tr>
        <w:trPr>
          <w:trHeight w:val="168"/>
        </w:trPr>
        <w:tc>
          <w:tcPr>
            <w:tcW w:w="6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SOLICITATION OF AN OFFER TO BUY NOR SHALL THERE BE ANY SALE OF THESE</w:t>
            </w:r>
          </w:p>
        </w:tc>
      </w:tr>
      <w:tr>
        <w:trPr>
          <w:trHeight w:val="168"/>
        </w:trPr>
        <w:tc>
          <w:tcPr>
            <w:tcW w:w="5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SECURITIES IN ANY STATE IN WHICH SUCH OFFER, SOLICITATION OR</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SALE WOULD BE</w:t>
            </w:r>
          </w:p>
        </w:tc>
      </w:tr>
    </w:tbl>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UNLAWFUL PRIOR TO REGISTRATION OR QUALIFICATION UNDER THE SECURITIES LAWS OF ANY SUCH STATE.</w:t>
      </w:r>
    </w:p>
    <w:p>
      <w:pPr>
        <w:sectPr>
          <w:pgSz w:w="11900" w:h="16838" w:orient="portrait"/>
          <w:cols w:equalWidth="0" w:num="1">
            <w:col w:w="10239"/>
          </w:cols>
          <w:pgMar w:left="220" w:top="617" w:right="1440" w:bottom="1440" w:gutter="0" w:footer="0" w:header="0"/>
        </w:sectPr>
      </w:pPr>
    </w:p>
    <w:bookmarkStart w:id="3" w:name="page4"/>
    <w:bookmarkEnd w:id="3"/>
    <w:p>
      <w:pPr>
        <w:ind w:left="2540"/>
        <w:spacing w:after="0"/>
        <w:rPr>
          <w:sz w:val="20"/>
          <w:szCs w:val="20"/>
          <w:color w:val="auto"/>
        </w:rPr>
      </w:pPr>
      <w:r>
        <w:rPr>
          <w:rFonts w:ascii="Courier New" w:cs="Courier New" w:eastAsia="Courier New" w:hAnsi="Courier New"/>
          <w:sz w:val="15"/>
          <w:szCs w:val="15"/>
          <w:color w:val="auto"/>
        </w:rPr>
        <w:t>AVAILABLE INFORMATION</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The Commission also maintains a web site at http://www.sec.gov that contains reports, proxy and information statements and other information regarding registrants, including the Trust, that file electronically with the Commission. Such reports, proxy statements and other information concerning the Trust can also be inspected at the office of the New York Stock Exchange, 20 Broad Street, New York, New York 10005.</w:t>
      </w:r>
    </w:p>
    <w:p>
      <w:pPr>
        <w:spacing w:after="0" w:line="16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1626 East Jefferson Street, Rockville, Maryland 20852-4041 (telephone 301/998-8100).</w:t>
      </w:r>
    </w:p>
    <w:p>
      <w:pPr>
        <w:spacing w:after="0" w:line="17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Trust has filed with the Commission a registration statement on Form S-3 (the "Registration Statement") under the Securities Act of 1933, as amended (the "Securities Act"), of which this Prospectus forms a part,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15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3" w:lineRule="exact"/>
        <w:rPr>
          <w:sz w:val="20"/>
          <w:szCs w:val="20"/>
          <w:color w:val="auto"/>
        </w:rPr>
      </w:pPr>
    </w:p>
    <w:p>
      <w:pPr>
        <w:ind w:right="3939" w:firstLine="175"/>
        <w:spacing w:after="0" w:line="261" w:lineRule="auto"/>
        <w:rPr>
          <w:sz w:val="20"/>
          <w:szCs w:val="20"/>
          <w:color w:val="auto"/>
        </w:rPr>
      </w:pPr>
      <w:r>
        <w:rPr>
          <w:rFonts w:ascii="Courier New" w:cs="Courier New" w:eastAsia="Courier New" w:hAnsi="Courier New"/>
          <w:sz w:val="14"/>
          <w:szCs w:val="14"/>
          <w:color w:val="auto"/>
        </w:rPr>
        <w:t>The following documents filed by the Trust with the Commission are incorporated in this Prospectus by reference and are made a part hereof:</w:t>
      </w:r>
    </w:p>
    <w:p>
      <w:pPr>
        <w:spacing w:after="0" w:line="160" w:lineRule="exact"/>
        <w:rPr>
          <w:sz w:val="20"/>
          <w:szCs w:val="20"/>
          <w:color w:val="auto"/>
        </w:rPr>
      </w:pPr>
    </w:p>
    <w:p>
      <w:pPr>
        <w:ind w:left="180" w:right="4019" w:firstLine="180"/>
        <w:spacing w:after="0" w:line="234" w:lineRule="auto"/>
        <w:tabs>
          <w:tab w:leader="none" w:pos="61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Trust's Annual Report on Form 10-K for the fiscal year ended December 31, 1997.</w:t>
      </w:r>
    </w:p>
    <w:p>
      <w:pPr>
        <w:spacing w:after="0" w:line="173" w:lineRule="exact"/>
        <w:rPr>
          <w:rFonts w:ascii="Courier New" w:cs="Courier New" w:eastAsia="Courier New" w:hAnsi="Courier New"/>
          <w:sz w:val="15"/>
          <w:szCs w:val="15"/>
          <w:color w:val="auto"/>
        </w:rPr>
      </w:pPr>
    </w:p>
    <w:p>
      <w:pPr>
        <w:ind w:left="180" w:right="3939" w:firstLine="180"/>
        <w:spacing w:after="0" w:line="234" w:lineRule="auto"/>
        <w:tabs>
          <w:tab w:leader="none" w:pos="61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Trust's Quarterly Reports on Form 10-Q for the quarters ended March 31, 1998 and June 30, 1998.</w:t>
      </w:r>
    </w:p>
    <w:p>
      <w:pPr>
        <w:spacing w:after="0" w:line="173" w:lineRule="exact"/>
        <w:rPr>
          <w:rFonts w:ascii="Courier New" w:cs="Courier New" w:eastAsia="Courier New" w:hAnsi="Courier New"/>
          <w:sz w:val="15"/>
          <w:szCs w:val="15"/>
          <w:color w:val="auto"/>
        </w:rPr>
      </w:pPr>
    </w:p>
    <w:p>
      <w:pPr>
        <w:ind w:left="180" w:right="3579" w:firstLine="180"/>
        <w:spacing w:after="0" w:line="235" w:lineRule="auto"/>
        <w:tabs>
          <w:tab w:leader="none" w:pos="61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Trust's Current Reports on Form 8-K filed with the Commission on February 24, 1998, March 10, 1998, March 11, 1998, May 11, 1998 and August 7, 1998.</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a part hereof from the date of filing of such document.</w:t>
      </w:r>
    </w:p>
    <w:p>
      <w:pPr>
        <w:spacing w:after="0" w:line="174"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4" w:name="page5"/>
    <w:bookmarkEnd w:id="4"/>
    <w:p>
      <w:pPr>
        <w:ind w:left="3080"/>
        <w:spacing w:after="0"/>
        <w:rPr>
          <w:sz w:val="20"/>
          <w:szCs w:val="20"/>
          <w:color w:val="auto"/>
        </w:rPr>
      </w:pPr>
      <w:r>
        <w:rPr>
          <w:rFonts w:ascii="Courier New" w:cs="Courier New" w:eastAsia="Courier New" w:hAnsi="Courier New"/>
          <w:sz w:val="15"/>
          <w:szCs w:val="15"/>
          <w:color w:val="auto"/>
        </w:rPr>
        <w:t>THE TRUST</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Federal Realty Investment Trust (the "Trust") is an owner, operator and redeveloper of retail properties. Founded in 1962 as a District of Columbia business trust of unlimited duration, the Trust is a self-administered equity real estate investment trust ("REIT"). The Trust consolidates the financial statements of various entities which it controls. At June 30, 1998 the Trust owned 114 retail properties and one apartment complex.</w:t>
      </w:r>
    </w:p>
    <w:p>
      <w:pPr>
        <w:spacing w:after="0" w:line="16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An important part of the Trust's strategy is to acquire older, well-located properties in prime, densely populated and affluent areas and to enhance their operating performance through a program of renovation, expansion, reconfiguration and retenanting. The Trust's traditional focus has been on community and neighborhood shopping centers that are anchored by supermarkets, drug stores or high volume, value oriented retailers that provide consumer necessities. Late in 1994 the Trust expanded this strategy to include retail buildings and shopping centers in prime established main street shopping areas. In addition, the Trust amended its by-laws in 1996 to permit investments west of the Mississippi River. The Trust continually evaluates its properties for renovation, retenanting and expansion opportunities. Similarly, the Trust regularly reviews its portfolio and from time to time considers selling certain of its properties. For several years the Trust has been seeking sites in its core markets suitable for the construction of new retail properties. Several sites have been identified and beginning in 1998 the Trust is focusing considerable time and resources on ground up development.</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Trust's portfolio of properties has grown from 42 as of January 1, 1993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115 at June 30, 1998. During this period the Trust acquired 78 retail</w:t>
      </w:r>
    </w:p>
    <w:p>
      <w:pPr>
        <w:spacing w:after="0" w:line="237" w:lineRule="auto"/>
        <w:rPr>
          <w:sz w:val="20"/>
          <w:szCs w:val="20"/>
          <w:color w:val="auto"/>
        </w:rPr>
      </w:pPr>
      <w:r>
        <w:rPr>
          <w:rFonts w:ascii="Courier New" w:cs="Courier New" w:eastAsia="Courier New" w:hAnsi="Courier New"/>
          <w:sz w:val="15"/>
          <w:szCs w:val="15"/>
          <w:color w:val="auto"/>
        </w:rPr>
        <w:t>properties for approximately $675 million. During this same period five</w:t>
      </w:r>
    </w:p>
    <w:p>
      <w:pPr>
        <w:spacing w:after="0" w:line="238" w:lineRule="auto"/>
        <w:rPr>
          <w:sz w:val="20"/>
          <w:szCs w:val="20"/>
          <w:color w:val="auto"/>
        </w:rPr>
      </w:pPr>
      <w:r>
        <w:rPr>
          <w:rFonts w:ascii="Courier New" w:cs="Courier New" w:eastAsia="Courier New" w:hAnsi="Courier New"/>
          <w:sz w:val="15"/>
          <w:szCs w:val="15"/>
          <w:color w:val="auto"/>
        </w:rPr>
        <w:t>shopping centers were sold. Also during this period the Trust spent over</w:t>
      </w:r>
    </w:p>
    <w:p>
      <w:pPr>
        <w:spacing w:after="0" w:line="237" w:lineRule="auto"/>
        <w:rPr>
          <w:sz w:val="20"/>
          <w:szCs w:val="20"/>
          <w:color w:val="auto"/>
        </w:rPr>
      </w:pPr>
      <w:r>
        <w:rPr>
          <w:rFonts w:ascii="Courier New" w:cs="Courier New" w:eastAsia="Courier New" w:hAnsi="Courier New"/>
          <w:sz w:val="15"/>
          <w:szCs w:val="15"/>
          <w:color w:val="auto"/>
        </w:rPr>
        <w:t>$250 million to renovate, expand, improve and retenant its properties. The</w:t>
      </w:r>
    </w:p>
    <w:p>
      <w:pPr>
        <w:spacing w:after="0" w:line="238" w:lineRule="auto"/>
        <w:rPr>
          <w:sz w:val="20"/>
          <w:szCs w:val="20"/>
          <w:color w:val="auto"/>
        </w:rPr>
      </w:pPr>
      <w:r>
        <w:rPr>
          <w:rFonts w:ascii="Courier New" w:cs="Courier New" w:eastAsia="Courier New" w:hAnsi="Courier New"/>
          <w:sz w:val="15"/>
          <w:szCs w:val="15"/>
          <w:color w:val="auto"/>
        </w:rPr>
        <w:t>majority of the acquisitions were funded with cash. Of the properties not</w:t>
      </w:r>
    </w:p>
    <w:p>
      <w:pPr>
        <w:spacing w:after="0" w:line="237" w:lineRule="auto"/>
        <w:rPr>
          <w:sz w:val="20"/>
          <w:szCs w:val="20"/>
          <w:color w:val="auto"/>
        </w:rPr>
      </w:pPr>
      <w:r>
        <w:rPr>
          <w:rFonts w:ascii="Courier New" w:cs="Courier New" w:eastAsia="Courier New" w:hAnsi="Courier New"/>
          <w:sz w:val="15"/>
          <w:szCs w:val="15"/>
          <w:color w:val="auto"/>
        </w:rPr>
        <w:t>fully acquired by cash, one was acquired by means of capital and ground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one was acquired for Common Shares and the assumption of a mortgage,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was acquired for cash and the assumption of a municipal bond issue and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others were acquired for cash with minority investments by third parties.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was financed through borrowing and equity offerings, since each year</w:t>
      </w:r>
    </w:p>
    <w:p>
      <w:pPr>
        <w:spacing w:after="0" w:line="237" w:lineRule="auto"/>
        <w:rPr>
          <w:sz w:val="20"/>
          <w:szCs w:val="20"/>
          <w:color w:val="auto"/>
        </w:rPr>
      </w:pPr>
      <w:r>
        <w:rPr>
          <w:rFonts w:ascii="Courier New" w:cs="Courier New" w:eastAsia="Courier New" w:hAnsi="Courier New"/>
          <w:sz w:val="15"/>
          <w:szCs w:val="15"/>
          <w:color w:val="auto"/>
        </w:rPr>
        <w:t>the Trust has distributed all or the majority of its cash provided by</w:t>
      </w:r>
    </w:p>
    <w:p>
      <w:pPr>
        <w:spacing w:after="0" w:line="238" w:lineRule="auto"/>
        <w:rPr>
          <w:sz w:val="20"/>
          <w:szCs w:val="20"/>
          <w:color w:val="auto"/>
        </w:rPr>
      </w:pPr>
      <w:r>
        <w:rPr>
          <w:rFonts w:ascii="Courier New" w:cs="Courier New" w:eastAsia="Courier New" w:hAnsi="Courier New"/>
          <w:sz w:val="15"/>
          <w:szCs w:val="15"/>
          <w:color w:val="auto"/>
        </w:rPr>
        <w:t>operating activities to its shareholders.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Trust's 114 retail properties, consisting of 55 shopping centers and 59 main street retail properties, are located in 16 states and the District of Columbia. Twenty-one of the properties are located in the Washington, D.C. metropolitan area; twenty are in California; fourteen are in Connecticut; eleven are in Pennsylvania, primarily in the Philadelphia area; ten are in New Jersey; ten are in Texas; seven are in Illinois; three are in Virginia; four are in Massachusetts; six are in New York; two are in Florida; two are in Arizona; and there is one in each of the following states: Georgia, Michigan, North Carolina and Oregon.</w:t>
      </w:r>
    </w:p>
    <w:p>
      <w:pPr>
        <w:spacing w:after="0" w:line="178"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The Trust continues to seek older, well-located shopping centers and retail buildings to acquire and then to enhance their revenue potential through a program of renovation, retenanting and remerchandising. The Trust has also located sites where it intends to develop new retail properties.</w:t>
      </w:r>
    </w:p>
    <w:p>
      <w:pPr>
        <w:spacing w:after="0" w:line="16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Trust has made 144 consecutive quarterly distributions and has increased its distribution rate for each of the last 31 years. This is the longest record of annual distribution increases in the REIT industry. The current annual indicated distribution rate is $1.76 per share.</w:t>
      </w:r>
    </w:p>
    <w:p>
      <w:pPr>
        <w:spacing w:after="0" w:line="175" w:lineRule="exact"/>
        <w:rPr>
          <w:sz w:val="20"/>
          <w:szCs w:val="20"/>
          <w:color w:val="auto"/>
        </w:rPr>
      </w:pPr>
    </w:p>
    <w:p>
      <w:pPr>
        <w:ind w:right="3679" w:firstLine="175"/>
        <w:spacing w:after="0" w:line="234" w:lineRule="auto"/>
        <w:rPr>
          <w:sz w:val="20"/>
          <w:szCs w:val="20"/>
          <w:color w:val="auto"/>
        </w:rPr>
      </w:pPr>
      <w:r>
        <w:rPr>
          <w:rFonts w:ascii="Courier New" w:cs="Courier New" w:eastAsia="Courier New" w:hAnsi="Courier New"/>
          <w:sz w:val="15"/>
          <w:szCs w:val="15"/>
          <w:color w:val="auto"/>
        </w:rPr>
        <w:t>The Trust maintains its offices at 1626 East Jefferson Street, Rockville, Maryland 20852-4041 (telephone 301/998-8100).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5" w:name="page6"/>
    <w:bookmarkEnd w:id="5"/>
    <w:p>
      <w:pPr>
        <w:jc w:val="center"/>
        <w:ind w:right="3319"/>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173"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SIX</w:t>
            </w:r>
          </w:p>
        </w:tc>
        <w:tc>
          <w:tcPr>
            <w:tcW w:w="13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MONTHS</w:t>
            </w:r>
          </w:p>
        </w:tc>
      </w:tr>
      <w:tr>
        <w:trPr>
          <w:trHeight w:val="168"/>
        </w:trPr>
        <w:tc>
          <w:tcPr>
            <w:tcW w:w="960" w:type="dxa"/>
            <w:vAlign w:val="bottom"/>
          </w:tcPr>
          <w:p>
            <w:pPr>
              <w:spacing w:after="0"/>
              <w:rPr>
                <w:sz w:val="14"/>
                <w:szCs w:val="14"/>
                <w:color w:val="auto"/>
              </w:rPr>
            </w:pPr>
          </w:p>
        </w:tc>
        <w:tc>
          <w:tcPr>
            <w:tcW w:w="24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8"/>
              </w:rPr>
              <w:t>YEARS ENDED DECEMBER 31,</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ENDED JUNE 30,</w:t>
            </w:r>
          </w:p>
        </w:tc>
      </w:tr>
      <w:tr>
        <w:trPr>
          <w:trHeight w:val="168"/>
        </w:trPr>
        <w:tc>
          <w:tcPr>
            <w:tcW w:w="1800" w:type="dxa"/>
            <w:vAlign w:val="bottom"/>
            <w:gridSpan w:val="2"/>
          </w:tcPr>
          <w:p>
            <w:pPr>
              <w:spacing w:after="0"/>
              <w:rPr>
                <w:sz w:val="20"/>
                <w:szCs w:val="20"/>
                <w:color w:val="auto"/>
              </w:rPr>
            </w:pPr>
            <w:r>
              <w:rPr>
                <w:rFonts w:ascii="Courier New" w:cs="Courier New" w:eastAsia="Courier New" w:hAnsi="Courier New"/>
                <w:sz w:val="7"/>
                <w:szCs w:val="7"/>
                <w:color w:val="auto"/>
                <w:w w:val="73"/>
              </w:rPr>
              <w:t>----------------------------------------------------------</w:t>
            </w: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1995</w:t>
            </w:r>
          </w:p>
        </w:tc>
        <w:tc>
          <w:tcPr>
            <w:tcW w:w="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c>
          <w:tcPr>
            <w:tcW w:w="12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60" w:type="dxa"/>
            <w:vAlign w:val="bottom"/>
          </w:tcPr>
          <w:p>
            <w:pPr>
              <w:spacing w:after="0"/>
              <w:rPr>
                <w:sz w:val="20"/>
                <w:szCs w:val="20"/>
                <w:color w:val="auto"/>
              </w:rPr>
            </w:pPr>
            <w:r>
              <w:rPr>
                <w:rFonts w:ascii="Courier New" w:cs="Courier New" w:eastAsia="Courier New" w:hAnsi="Courier New"/>
                <w:sz w:val="15"/>
                <w:szCs w:val="15"/>
                <w:color w:val="auto"/>
              </w:rPr>
              <w:t>1.50x</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1.61x</w:t>
            </w:r>
          </w:p>
        </w:tc>
        <w:tc>
          <w:tcPr>
            <w:tcW w:w="1580" w:type="dxa"/>
            <w:vAlign w:val="bottom"/>
          </w:tcPr>
          <w:p>
            <w:pPr>
              <w:ind w:left="400"/>
              <w:spacing w:after="0"/>
              <w:rPr>
                <w:sz w:val="20"/>
                <w:szCs w:val="20"/>
                <w:color w:val="auto"/>
              </w:rPr>
            </w:pPr>
            <w:r>
              <w:rPr>
                <w:rFonts w:ascii="Courier New" w:cs="Courier New" w:eastAsia="Courier New" w:hAnsi="Courier New"/>
                <w:sz w:val="15"/>
                <w:szCs w:val="15"/>
                <w:color w:val="auto"/>
              </w:rPr>
              <w:t>1.55x</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1.59x</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1.70x</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1.70x</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1.74x</w:t>
            </w:r>
          </w:p>
        </w:tc>
      </w:tr>
    </w:tbl>
    <w:p>
      <w:pPr>
        <w:spacing w:after="0" w:line="341"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In October 1997, the Trust issued $100 million of 7.95% Series A Cumulative Redeemable Preferred Shares ("Series A Preferred Shares"). The ratio of earnings to combined fixed charges and preferred dividends was 1.64x for the year ended December 31, 1997, and 1.54x for the six month period ended June 30, 1998. There were no preferred dividends paid by the Trust prior to 1997; as a result, the ratio of earnings to combined fixed charges and preferred dividends for the years ended December 31, 1993 through December 31, 1996, and the six months ended June 30, 1997, are unchanged from the ratios presented in this section.</w:t>
      </w:r>
    </w:p>
    <w:p>
      <w:pPr>
        <w:spacing w:after="0" w:line="15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DESCRIPTION OF DEBT SECURITIES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Senior Securities are to be issued under an indenture dated as of September 1, 1998, as supplemented from time to time (the "Senior Indenture"), between the Trust and First Union National Bank, Trustee, and the Subordinated Securities are to be issued under an indenture dated as of December 1, 1993, as supplemented from time to time (the "Subordinated Indenture"), between the Trust and First Union National Bank, Trustee. The term "Trustee" as used herein shall refer to First Union National Bank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6" w:name="page7"/>
    <w:bookmarkEnd w:id="6"/>
    <w:p>
      <w:pPr>
        <w:ind w:right="3399" w:firstLine="175"/>
        <w:spacing w:after="0" w:line="236" w:lineRule="auto"/>
        <w:rPr>
          <w:sz w:val="20"/>
          <w:szCs w:val="20"/>
          <w:color w:val="auto"/>
        </w:rPr>
      </w:pPr>
      <w:r>
        <w:rPr>
          <w:rFonts w:ascii="Courier New" w:cs="Courier New" w:eastAsia="Courier New" w:hAnsi="Courier New"/>
          <w:sz w:val="15"/>
          <w:szCs w:val="15"/>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178"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Reference is made to the Prospectus Supplement relating to the series of</w:t>
      </w:r>
    </w:p>
    <w:p>
      <w:pPr>
        <w:spacing w:after="0" w:line="237" w:lineRule="auto"/>
        <w:rPr>
          <w:sz w:val="20"/>
          <w:szCs w:val="20"/>
          <w:color w:val="auto"/>
        </w:rPr>
      </w:pPr>
      <w:r>
        <w:rPr>
          <w:rFonts w:ascii="Courier New" w:cs="Courier New" w:eastAsia="Courier New" w:hAnsi="Courier New"/>
          <w:sz w:val="15"/>
          <w:szCs w:val="15"/>
          <w:color w:val="auto"/>
        </w:rPr>
        <w:t>Debt Securities being offered for the specific terms thereof, including:</w:t>
      </w:r>
    </w:p>
    <w:p>
      <w:pPr>
        <w:spacing w:after="0" w:line="173" w:lineRule="exact"/>
        <w:rPr>
          <w:sz w:val="20"/>
          <w:szCs w:val="20"/>
          <w:color w:val="auto"/>
        </w:rPr>
      </w:pPr>
    </w:p>
    <w:p>
      <w:pPr>
        <w:ind w:left="180" w:right="3679" w:firstLine="267"/>
        <w:spacing w:after="0" w:line="234" w:lineRule="auto"/>
        <w:tabs>
          <w:tab w:leader="none" w:pos="79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such Debt Securities and whether such Debt Securities are Senior Securities or Subordinated Securities;</w:t>
      </w:r>
    </w:p>
    <w:p>
      <w:pPr>
        <w:spacing w:after="0" w:line="173" w:lineRule="exact"/>
        <w:rPr>
          <w:rFonts w:ascii="Courier New" w:cs="Courier New" w:eastAsia="Courier New" w:hAnsi="Courier New"/>
          <w:sz w:val="15"/>
          <w:szCs w:val="15"/>
          <w:color w:val="auto"/>
        </w:rPr>
      </w:pPr>
    </w:p>
    <w:p>
      <w:pPr>
        <w:ind w:left="180" w:right="3499" w:firstLine="267"/>
        <w:spacing w:after="0" w:line="234" w:lineRule="auto"/>
        <w:tabs>
          <w:tab w:leader="none" w:pos="79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such Debt Securities and any limit on such aggregate principal amount;</w:t>
      </w:r>
    </w:p>
    <w:p>
      <w:pPr>
        <w:spacing w:after="0" w:line="173" w:lineRule="exact"/>
        <w:rPr>
          <w:rFonts w:ascii="Courier New" w:cs="Courier New" w:eastAsia="Courier New" w:hAnsi="Courier New"/>
          <w:sz w:val="15"/>
          <w:szCs w:val="15"/>
          <w:color w:val="auto"/>
        </w:rPr>
      </w:pPr>
    </w:p>
    <w:p>
      <w:pPr>
        <w:ind w:left="180" w:right="3499" w:firstLine="267"/>
        <w:spacing w:after="0" w:line="236" w:lineRule="auto"/>
        <w:tabs>
          <w:tab w:leader="none" w:pos="79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175" w:lineRule="exact"/>
        <w:rPr>
          <w:rFonts w:ascii="Courier New" w:cs="Courier New" w:eastAsia="Courier New" w:hAnsi="Courier New"/>
          <w:sz w:val="15"/>
          <w:szCs w:val="15"/>
          <w:color w:val="auto"/>
        </w:rPr>
      </w:pPr>
    </w:p>
    <w:p>
      <w:pPr>
        <w:ind w:left="180" w:right="3679" w:firstLine="267"/>
        <w:spacing w:after="0" w:line="235" w:lineRule="auto"/>
        <w:tabs>
          <w:tab w:leader="none" w:pos="79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175" w:lineRule="exact"/>
        <w:rPr>
          <w:rFonts w:ascii="Courier New" w:cs="Courier New" w:eastAsia="Courier New" w:hAnsi="Courier New"/>
          <w:sz w:val="15"/>
          <w:szCs w:val="15"/>
          <w:color w:val="auto"/>
        </w:rPr>
      </w:pPr>
    </w:p>
    <w:p>
      <w:pPr>
        <w:ind w:left="180" w:right="3499" w:firstLine="267"/>
        <w:spacing w:after="0" w:line="234" w:lineRule="auto"/>
        <w:tabs>
          <w:tab w:leader="none" w:pos="79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or the method for determining such date or dates, on which the principal of such Debt Securities will be payable;</w:t>
      </w:r>
    </w:p>
    <w:p>
      <w:pPr>
        <w:spacing w:after="0" w:line="173" w:lineRule="exact"/>
        <w:rPr>
          <w:rFonts w:ascii="Courier New" w:cs="Courier New" w:eastAsia="Courier New" w:hAnsi="Courier New"/>
          <w:sz w:val="15"/>
          <w:szCs w:val="15"/>
          <w:color w:val="auto"/>
        </w:rPr>
      </w:pPr>
    </w:p>
    <w:p>
      <w:pPr>
        <w:jc w:val="both"/>
        <w:ind w:left="180" w:right="3499" w:firstLine="267"/>
        <w:spacing w:after="0" w:line="235" w:lineRule="auto"/>
        <w:tabs>
          <w:tab w:leader="none" w:pos="79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rates (which may be fixed or variable), or the method by which such rate or rates shall be determined, at which such Debt Securities will bear interest, if any;</w:t>
      </w:r>
    </w:p>
    <w:p>
      <w:pPr>
        <w:spacing w:after="0" w:line="173" w:lineRule="exact"/>
        <w:rPr>
          <w:rFonts w:ascii="Courier New" w:cs="Courier New" w:eastAsia="Courier New" w:hAnsi="Courier New"/>
          <w:sz w:val="15"/>
          <w:szCs w:val="15"/>
          <w:color w:val="auto"/>
        </w:rPr>
      </w:pPr>
    </w:p>
    <w:p>
      <w:pPr>
        <w:ind w:left="180" w:right="3499" w:firstLine="267"/>
        <w:spacing w:after="0" w:line="236" w:lineRule="auto"/>
        <w:tabs>
          <w:tab w:leader="none" w:pos="79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75" w:lineRule="exact"/>
        <w:rPr>
          <w:rFonts w:ascii="Courier New" w:cs="Courier New" w:eastAsia="Courier New" w:hAnsi="Courier New"/>
          <w:sz w:val="15"/>
          <w:szCs w:val="15"/>
          <w:color w:val="auto"/>
        </w:rPr>
      </w:pPr>
    </w:p>
    <w:p>
      <w:pPr>
        <w:ind w:left="180" w:right="3499" w:firstLine="267"/>
        <w:spacing w:after="0" w:line="256" w:lineRule="auto"/>
        <w:tabs>
          <w:tab w:leader="none" w:pos="79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63" w:lineRule="exact"/>
        <w:rPr>
          <w:rFonts w:ascii="Courier New" w:cs="Courier New" w:eastAsia="Courier New" w:hAnsi="Courier New"/>
          <w:sz w:val="14"/>
          <w:szCs w:val="14"/>
          <w:color w:val="auto"/>
        </w:rPr>
      </w:pPr>
    </w:p>
    <w:p>
      <w:pPr>
        <w:ind w:left="180" w:right="3499" w:firstLine="267"/>
        <w:spacing w:after="0" w:line="235" w:lineRule="auto"/>
        <w:tabs>
          <w:tab w:leader="none" w:pos="79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7" w:name="page8"/>
    <w:bookmarkEnd w:id="7"/>
    <w:p>
      <w:pPr>
        <w:ind w:left="180" w:right="3499" w:firstLine="180"/>
        <w:spacing w:after="0" w:line="236" w:lineRule="auto"/>
        <w:tabs>
          <w:tab w:leader="none" w:pos="79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174" w:lineRule="exact"/>
        <w:rPr>
          <w:rFonts w:ascii="Courier New" w:cs="Courier New" w:eastAsia="Courier New" w:hAnsi="Courier New"/>
          <w:sz w:val="15"/>
          <w:szCs w:val="15"/>
          <w:color w:val="auto"/>
        </w:rPr>
      </w:pPr>
    </w:p>
    <w:p>
      <w:pPr>
        <w:ind w:left="180" w:right="3499" w:firstLine="180"/>
        <w:spacing w:after="0" w:line="235" w:lineRule="auto"/>
        <w:tabs>
          <w:tab w:leader="none" w:pos="79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175" w:lineRule="exact"/>
        <w:rPr>
          <w:rFonts w:ascii="Courier New" w:cs="Courier New" w:eastAsia="Courier New" w:hAnsi="Courier New"/>
          <w:sz w:val="15"/>
          <w:szCs w:val="15"/>
          <w:color w:val="auto"/>
        </w:rPr>
      </w:pPr>
    </w:p>
    <w:p>
      <w:pPr>
        <w:ind w:left="180" w:right="3499" w:firstLine="180"/>
        <w:spacing w:after="0" w:line="236" w:lineRule="auto"/>
        <w:tabs>
          <w:tab w:leader="none" w:pos="79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174" w:lineRule="exact"/>
        <w:rPr>
          <w:rFonts w:ascii="Courier New" w:cs="Courier New" w:eastAsia="Courier New" w:hAnsi="Courier New"/>
          <w:sz w:val="15"/>
          <w:szCs w:val="15"/>
          <w:color w:val="auto"/>
        </w:rPr>
      </w:pPr>
    </w:p>
    <w:p>
      <w:pPr>
        <w:ind w:left="180" w:right="3499" w:firstLine="180"/>
        <w:spacing w:after="0" w:line="235" w:lineRule="auto"/>
        <w:tabs>
          <w:tab w:leader="none" w:pos="79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additions to, modifications of or deletions from the terms of such Debt Securities with respect to the Events of Default or covenants set forth in the applicable Indenture;</w:t>
      </w:r>
    </w:p>
    <w:p>
      <w:pPr>
        <w:spacing w:after="0" w:line="173" w:lineRule="exact"/>
        <w:rPr>
          <w:rFonts w:ascii="Courier New" w:cs="Courier New" w:eastAsia="Courier New" w:hAnsi="Courier New"/>
          <w:sz w:val="15"/>
          <w:szCs w:val="15"/>
          <w:color w:val="auto"/>
        </w:rPr>
      </w:pPr>
    </w:p>
    <w:p>
      <w:pPr>
        <w:ind w:left="180" w:right="3499" w:firstLine="180"/>
        <w:spacing w:after="0" w:line="234" w:lineRule="auto"/>
        <w:tabs>
          <w:tab w:leader="none" w:pos="79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such Debt Securities will be issued in certificated or book-entry form;</w:t>
      </w:r>
    </w:p>
    <w:p>
      <w:pPr>
        <w:spacing w:after="0" w:line="173" w:lineRule="exact"/>
        <w:rPr>
          <w:rFonts w:ascii="Courier New" w:cs="Courier New" w:eastAsia="Courier New" w:hAnsi="Courier New"/>
          <w:sz w:val="15"/>
          <w:szCs w:val="15"/>
          <w:color w:val="auto"/>
        </w:rPr>
      </w:pPr>
    </w:p>
    <w:p>
      <w:pPr>
        <w:ind w:left="180" w:right="3499" w:firstLine="180"/>
        <w:spacing w:after="0" w:line="235" w:lineRule="auto"/>
        <w:tabs>
          <w:tab w:leader="none" w:pos="79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175" w:lineRule="exact"/>
        <w:rPr>
          <w:rFonts w:ascii="Courier New" w:cs="Courier New" w:eastAsia="Courier New" w:hAnsi="Courier New"/>
          <w:sz w:val="15"/>
          <w:szCs w:val="15"/>
          <w:color w:val="auto"/>
        </w:rPr>
      </w:pPr>
    </w:p>
    <w:p>
      <w:pPr>
        <w:ind w:left="180" w:right="3499" w:firstLine="180"/>
        <w:spacing w:after="0" w:line="234" w:lineRule="auto"/>
        <w:tabs>
          <w:tab w:leader="none" w:pos="79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applicability, if any, of the defeasance and covenant defeasance provisions of Article XIV of the applicable Indenture;</w:t>
      </w:r>
    </w:p>
    <w:p>
      <w:pPr>
        <w:spacing w:after="0" w:line="166" w:lineRule="exact"/>
        <w:rPr>
          <w:rFonts w:ascii="Courier New" w:cs="Courier New" w:eastAsia="Courier New" w:hAnsi="Courier New"/>
          <w:sz w:val="15"/>
          <w:szCs w:val="15"/>
          <w:color w:val="auto"/>
        </w:rPr>
      </w:pPr>
    </w:p>
    <w:p>
      <w:pPr>
        <w:ind w:left="800" w:hanging="440"/>
        <w:spacing w:after="0"/>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if any, upon which such Debt Securities may be</w:t>
      </w:r>
    </w:p>
    <w:p>
      <w:pPr>
        <w:spacing w:after="0" w:line="4" w:lineRule="exact"/>
        <w:rPr>
          <w:rFonts w:ascii="Courier New" w:cs="Courier New" w:eastAsia="Courier New" w:hAnsi="Courier New"/>
          <w:sz w:val="15"/>
          <w:szCs w:val="15"/>
          <w:color w:val="auto"/>
        </w:rPr>
      </w:pPr>
    </w:p>
    <w:p>
      <w:pPr>
        <w:ind w:left="18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175" w:lineRule="exact"/>
        <w:rPr>
          <w:rFonts w:ascii="Courier New" w:cs="Courier New" w:eastAsia="Courier New" w:hAnsi="Courier New"/>
          <w:sz w:val="15"/>
          <w:szCs w:val="15"/>
          <w:color w:val="auto"/>
        </w:rPr>
      </w:pPr>
    </w:p>
    <w:p>
      <w:pPr>
        <w:ind w:left="180" w:right="3499" w:firstLine="180"/>
        <w:spacing w:after="0" w:line="236" w:lineRule="auto"/>
        <w:tabs>
          <w:tab w:leader="none" w:pos="79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173" w:lineRule="exact"/>
        <w:rPr>
          <w:rFonts w:ascii="Courier New" w:cs="Courier New" w:eastAsia="Courier New" w:hAnsi="Courier New"/>
          <w:sz w:val="15"/>
          <w:szCs w:val="15"/>
          <w:color w:val="auto"/>
        </w:rPr>
      </w:pPr>
    </w:p>
    <w:p>
      <w:pPr>
        <w:ind w:left="180" w:right="3759" w:firstLine="180"/>
        <w:spacing w:after="0" w:line="261" w:lineRule="auto"/>
        <w:tabs>
          <w:tab w:leader="none" w:pos="79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such Debt Securities not inconsistent with the provisions of the applicable Indenture (Section 301 of each Indenture).</w:t>
      </w:r>
    </w:p>
    <w:p>
      <w:pPr>
        <w:spacing w:after="0" w:line="160"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DENOMINATIONS, INTEREST, REGISTRATION AND TRANSFER</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Unless otherwise described in the applicable Prospectus Supplement, the Debt Securities of any series will be issuable in denominations of $1,000 and integral multiples thereof (Section 302 of each Indenture).</w:t>
      </w:r>
    </w:p>
    <w:p>
      <w:pPr>
        <w:spacing w:after="0" w:line="174"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Unless otherwise specified in the applicable Prospectus Supplement, the principal of (and applicable premium, if any) and interest on any series of Debt Securities will be payable at the corporate trust office of the Trustee, initially located at First Union National Bank, 230 S. Tryon Street, 9th Floor, Charlotte, North Carolina 28288-1179 in the case of the Senior Securities and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165"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165"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177"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MERGER, CONSOLIDATION OR SALE</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 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17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177"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179"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0" w:name="page11"/>
    <w:bookmarkEnd w:id="10"/>
    <w:p>
      <w:pPr>
        <w:ind w:right="3579"/>
        <w:spacing w:after="0" w:line="256" w:lineRule="auto"/>
        <w:rPr>
          <w:sz w:val="20"/>
          <w:szCs w:val="20"/>
          <w:color w:val="auto"/>
        </w:rPr>
      </w:pPr>
      <w:r>
        <w:rPr>
          <w:rFonts w:ascii="Courier New" w:cs="Courier New" w:eastAsia="Courier New" w:hAnsi="Courier New"/>
          <w:sz w:val="14"/>
          <w:szCs w:val="14"/>
          <w:color w:val="auto"/>
        </w:rPr>
        <w:t>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16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Additional Covenants. Any additional covenants of the Trust with respect to any series of Debt Securities will be set forth in the Prospectus Supplement relating thereto.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 NOTICE AND WAIVER</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347"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1" w:name="page12"/>
    <w:bookmarkEnd w:id="11"/>
    <w:p>
      <w:pPr>
        <w:ind w:right="3399"/>
        <w:spacing w:after="0" w:line="255" w:lineRule="auto"/>
        <w:rPr>
          <w:sz w:val="20"/>
          <w:szCs w:val="20"/>
          <w:color w:val="auto"/>
        </w:rPr>
      </w:pPr>
      <w:r>
        <w:rPr>
          <w:rFonts w:ascii="Courier New" w:cs="Courier New" w:eastAsia="Courier New" w:hAnsi="Courier New"/>
          <w:sz w:val="14"/>
          <w:szCs w:val="14"/>
          <w:color w:val="auto"/>
        </w:rPr>
        <w:t>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16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 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179"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16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THE INDENTURES</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2" w:name="page13"/>
    <w:bookmarkEnd w:id="12"/>
    <w:p>
      <w:pPr>
        <w:ind w:right="3399"/>
        <w:spacing w:after="0" w:line="254" w:lineRule="auto"/>
        <w:rPr>
          <w:sz w:val="20"/>
          <w:szCs w:val="20"/>
          <w:color w:val="auto"/>
        </w:rPr>
      </w:pPr>
      <w:r>
        <w:rPr>
          <w:rFonts w:ascii="Courier New" w:cs="Courier New" w:eastAsia="Courier New" w:hAnsi="Courier New"/>
          <w:sz w:val="14"/>
          <w:szCs w:val="14"/>
          <w:color w:val="auto"/>
        </w:rPr>
        <w:t>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34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175" w:lineRule="exact"/>
        <w:rPr>
          <w:sz w:val="20"/>
          <w:szCs w:val="20"/>
          <w:color w:val="auto"/>
        </w:rPr>
      </w:pPr>
    </w:p>
    <w:p>
      <w:pPr>
        <w:ind w:right="3679" w:firstLine="175"/>
        <w:spacing w:after="0" w:line="254" w:lineRule="auto"/>
        <w:rPr>
          <w:sz w:val="20"/>
          <w:szCs w:val="20"/>
          <w:color w:val="auto"/>
        </w:rPr>
      </w:pPr>
      <w:r>
        <w:rPr>
          <w:rFonts w:ascii="Courier New" w:cs="Courier New" w:eastAsia="Courier New" w:hAnsi="Courier New"/>
          <w:sz w:val="14"/>
          <w:szCs w:val="14"/>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spacing w:after="0" w:line="1" w:lineRule="exact"/>
        <w:rPr>
          <w:sz w:val="20"/>
          <w:szCs w:val="20"/>
          <w:color w:val="auto"/>
        </w:rPr>
      </w:pPr>
    </w:p>
    <w:p>
      <w:pPr>
        <w:ind w:right="3399" w:firstLine="10"/>
        <w:spacing w:after="0" w:line="254" w:lineRule="auto"/>
        <w:tabs>
          <w:tab w:leader="none" w:pos="43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spacing w:after="0" w:line="7" w:lineRule="exact"/>
        <w:rPr>
          <w:rFonts w:ascii="Courier New" w:cs="Courier New" w:eastAsia="Courier New" w:hAnsi="Courier New"/>
          <w:sz w:val="14"/>
          <w:szCs w:val="14"/>
          <w:color w:val="auto"/>
        </w:rPr>
      </w:pPr>
    </w:p>
    <w:p>
      <w:pPr>
        <w:ind w:right="3399" w:firstLine="10"/>
        <w:spacing w:after="0" w:line="236"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3" w:name="page14"/>
    <w:bookmarkEnd w:id="13"/>
    <w:p>
      <w:pPr>
        <w:ind w:right="3399"/>
        <w:spacing w:after="0" w:line="255" w:lineRule="auto"/>
        <w:rPr>
          <w:sz w:val="20"/>
          <w:szCs w:val="20"/>
          <w:color w:val="auto"/>
        </w:rPr>
      </w:pPr>
      <w:r>
        <w:rPr>
          <w:rFonts w:ascii="Courier New" w:cs="Courier New" w:eastAsia="Courier New" w:hAnsi="Courier New"/>
          <w:sz w:val="14"/>
          <w:szCs w:val="14"/>
          <w:color w:val="auto"/>
        </w:rPr>
        <w:t>U.S. dollar equivalent, determined on the issue date for such Debt Security, of the principal amount (or, in the case of an Original Issue Discount Security, the U.S. dollar equivalent on the issue date of such Debt Security of the amount determined as provided in (i) above), (iii) 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165"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34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4" w:name="page15"/>
    <w:bookmarkEnd w:id="14"/>
    <w:p>
      <w:pPr>
        <w:ind w:right="3399"/>
        <w:spacing w:after="0" w:line="236" w:lineRule="auto"/>
        <w:rPr>
          <w:sz w:val="20"/>
          <w:szCs w:val="20"/>
          <w:color w:val="auto"/>
        </w:rPr>
      </w:pPr>
      <w:r>
        <w:rPr>
          <w:rFonts w:ascii="Courier New" w:cs="Courier New" w:eastAsia="Courier New" w:hAnsi="Courier New"/>
          <w:sz w:val="15"/>
          <w:szCs w:val="15"/>
          <w:color w:val="auto"/>
        </w:rPr>
        <w:t>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180"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spacing w:after="0" w:line="7" w:lineRule="exact"/>
        <w:rPr>
          <w:sz w:val="20"/>
          <w:szCs w:val="20"/>
          <w:color w:val="auto"/>
        </w:rPr>
      </w:pPr>
    </w:p>
    <w:p>
      <w:pPr>
        <w:ind w:right="3399" w:firstLine="10"/>
        <w:spacing w:after="0" w:line="236"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spacing w:after="0" w:line="6" w:lineRule="exact"/>
        <w:rPr>
          <w:rFonts w:ascii="Courier New" w:cs="Courier New" w:eastAsia="Courier New" w:hAnsi="Courier New"/>
          <w:sz w:val="15"/>
          <w:szCs w:val="15"/>
          <w:color w:val="auto"/>
        </w:rPr>
      </w:pPr>
    </w:p>
    <w:p>
      <w:pPr>
        <w:ind w:right="3399" w:firstLine="10"/>
        <w:spacing w:after="0" w:line="254" w:lineRule="auto"/>
        <w:tabs>
          <w:tab w:leader="none" w:pos="3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spacing w:after="0" w:line="1" w:lineRule="exact"/>
        <w:rPr>
          <w:rFonts w:ascii="Courier New" w:cs="Courier New" w:eastAsia="Courier New" w:hAnsi="Courier New"/>
          <w:sz w:val="14"/>
          <w:szCs w:val="14"/>
          <w:color w:val="auto"/>
        </w:rPr>
      </w:pPr>
    </w:p>
    <w:p>
      <w:pPr>
        <w:ind w:right="3399" w:firstLine="10"/>
        <w:spacing w:after="0" w:line="255" w:lineRule="auto"/>
        <w:tabs>
          <w:tab w:leader="none" w:pos="3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 obligation or liability is not superior in right of payment to the Subordinated Securities or ranks pari passu with the Subordinated Securities, (2) 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1998, Senior Debt aggregated approximately $648 million. There are no restrictions in the Subordinated Indenture upon the creation of additional Senior Debt.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DISCHARGE, DEFEASANCE AND COVENANT DEFEASANCE</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5" w:name="page16"/>
    <w:bookmarkEnd w:id="15"/>
    <w:p>
      <w:pPr>
        <w:ind w:right="3399"/>
        <w:spacing w:after="0" w:line="255" w:lineRule="auto"/>
        <w:rPr>
          <w:sz w:val="20"/>
          <w:szCs w:val="20"/>
          <w:color w:val="auto"/>
        </w:rPr>
      </w:pPr>
      <w:r>
        <w:rPr>
          <w:rFonts w:ascii="Courier New" w:cs="Courier New" w:eastAsia="Courier New" w:hAnsi="Courier New"/>
          <w:sz w:val="14"/>
          <w:szCs w:val="14"/>
          <w:color w:val="auto"/>
        </w:rPr>
        <w:t>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16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180"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176"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6" w:name="page17"/>
    <w:bookmarkEnd w:id="16"/>
    <w:p>
      <w:pPr>
        <w:ind w:right="3399"/>
        <w:spacing w:after="0" w:line="255" w:lineRule="auto"/>
        <w:rPr>
          <w:sz w:val="20"/>
          <w:szCs w:val="20"/>
          <w:color w:val="auto"/>
        </w:rPr>
      </w:pPr>
      <w:r>
        <w:rPr>
          <w:rFonts w:ascii="Courier New" w:cs="Courier New" w:eastAsia="Courier New" w:hAnsi="Courier New"/>
          <w:sz w:val="14"/>
          <w:szCs w:val="14"/>
          <w:color w:val="auto"/>
        </w:rPr>
        <w:t>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 Unless otherwise provided in the applicable Prospectus Supplement, all payments of principal of (and premium, if any) and interest on any Debt Security that are payable in a Foreign Currency that ceases to be used by its government of issuance shall be made in U.S. dollars (Section 101 of each Indenture).</w:t>
      </w:r>
    </w:p>
    <w:p>
      <w:pPr>
        <w:spacing w:after="0" w:line="164"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spacing w:after="0" w:line="2" w:lineRule="exact"/>
        <w:rPr>
          <w:sz w:val="20"/>
          <w:szCs w:val="20"/>
          <w:color w:val="auto"/>
        </w:rPr>
      </w:pPr>
    </w:p>
    <w:p>
      <w:pPr>
        <w:ind w:right="3399" w:firstLine="10"/>
        <w:spacing w:after="0" w:line="236"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178"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RIGHTS</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 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SECURITIES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7" w:name="page18"/>
    <w:bookmarkEnd w:id="17"/>
    <w:p>
      <w:pPr>
        <w:ind w:left="2100"/>
        <w:spacing w:after="0"/>
        <w:rPr>
          <w:sz w:val="20"/>
          <w:szCs w:val="20"/>
          <w:color w:val="auto"/>
        </w:rPr>
      </w:pPr>
      <w:r>
        <w:rPr>
          <w:rFonts w:ascii="Courier New" w:cs="Courier New" w:eastAsia="Courier New" w:hAnsi="Courier New"/>
          <w:sz w:val="15"/>
          <w:szCs w:val="15"/>
          <w:color w:val="auto"/>
        </w:rPr>
        <w:t>DESCRIPTION OF PREFERRED SHARES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579" w:firstLine="175"/>
        <w:spacing w:after="0" w:line="256" w:lineRule="auto"/>
        <w:rPr>
          <w:sz w:val="20"/>
          <w:szCs w:val="20"/>
          <w:color w:val="auto"/>
        </w:rPr>
      </w:pPr>
      <w:r>
        <w:rPr>
          <w:rFonts w:ascii="Courier New" w:cs="Courier New" w:eastAsia="Courier New" w:hAnsi="Courier New"/>
          <w:sz w:val="14"/>
          <w:szCs w:val="14"/>
          <w:color w:val="auto"/>
        </w:rPr>
        <w:t>The Trust is authorized to issue an unlimited number of preferred shares (the "Preferred Shares"). On October 6, 1997, the Trust issued 4,000,000 shares of 7.95% Series A Cumulative Redeemable Preferred Shares (liquidation preference $25.00 per share); no other Preferred Shares are outstanding.</w:t>
      </w:r>
    </w:p>
    <w:p>
      <w:pPr>
        <w:spacing w:after="0" w:line="16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180" w:lineRule="exact"/>
        <w:rPr>
          <w:sz w:val="20"/>
          <w:szCs w:val="20"/>
          <w:color w:val="auto"/>
        </w:rPr>
      </w:pPr>
    </w:p>
    <w:p>
      <w:pPr>
        <w:ind w:right="3759" w:firstLine="175"/>
        <w:spacing w:after="0" w:line="234" w:lineRule="auto"/>
        <w:rPr>
          <w:sz w:val="20"/>
          <w:szCs w:val="20"/>
          <w:color w:val="auto"/>
        </w:rPr>
      </w:pPr>
      <w:r>
        <w:rPr>
          <w:rFonts w:ascii="Courier New" w:cs="Courier New" w:eastAsia="Courier New" w:hAnsi="Courier New"/>
          <w:sz w:val="15"/>
          <w:szCs w:val="15"/>
          <w:color w:val="auto"/>
        </w:rPr>
        <w:t>Reference is made to the Prospectus Supplement relating to the Preferred Shares offered thereby for specific terms, including:</w:t>
      </w:r>
    </w:p>
    <w:p>
      <w:pPr>
        <w:spacing w:after="0" w:line="167" w:lineRule="exact"/>
        <w:rPr>
          <w:sz w:val="20"/>
          <w:szCs w:val="20"/>
          <w:color w:val="auto"/>
        </w:rPr>
      </w:pPr>
    </w:p>
    <w:p>
      <w:pPr>
        <w:ind w:left="700" w:hanging="340"/>
        <w:spacing w:after="0"/>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and stated value of such Preferred Shares;</w:t>
      </w:r>
    </w:p>
    <w:p>
      <w:pPr>
        <w:spacing w:after="0" w:line="172" w:lineRule="exact"/>
        <w:rPr>
          <w:rFonts w:ascii="Courier New" w:cs="Courier New" w:eastAsia="Courier New" w:hAnsi="Courier New"/>
          <w:sz w:val="15"/>
          <w:szCs w:val="15"/>
          <w:color w:val="auto"/>
        </w:rPr>
      </w:pPr>
    </w:p>
    <w:p>
      <w:pPr>
        <w:ind w:left="180" w:right="4019" w:firstLine="180"/>
        <w:spacing w:after="0" w:line="261" w:lineRule="auto"/>
        <w:tabs>
          <w:tab w:leader="none" w:pos="70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such Preferred Shares offered, the liquidation preference per share and the offering price of such Preferred Shares;</w:t>
      </w:r>
    </w:p>
    <w:p>
      <w:pPr>
        <w:spacing w:after="0" w:line="159" w:lineRule="exact"/>
        <w:rPr>
          <w:rFonts w:ascii="Courier New" w:cs="Courier New" w:eastAsia="Courier New" w:hAnsi="Courier New"/>
          <w:sz w:val="14"/>
          <w:szCs w:val="14"/>
          <w:color w:val="auto"/>
        </w:rPr>
      </w:pPr>
    </w:p>
    <w:p>
      <w:pPr>
        <w:ind w:left="180" w:right="3679" w:firstLine="180"/>
        <w:spacing w:after="0" w:line="234" w:lineRule="auto"/>
        <w:tabs>
          <w:tab w:leader="none" w:pos="70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rate(s), period(s) and/or payment date(s) or method(s) of calculation thereof applicable to such Preferred Shares;</w:t>
      </w:r>
    </w:p>
    <w:p>
      <w:pPr>
        <w:spacing w:after="0" w:line="173" w:lineRule="exact"/>
        <w:rPr>
          <w:rFonts w:ascii="Courier New" w:cs="Courier New" w:eastAsia="Courier New" w:hAnsi="Courier New"/>
          <w:sz w:val="15"/>
          <w:szCs w:val="15"/>
          <w:color w:val="auto"/>
        </w:rPr>
      </w:pPr>
    </w:p>
    <w:p>
      <w:pPr>
        <w:ind w:left="180" w:right="4279" w:firstLine="180"/>
        <w:spacing w:after="0" w:line="234" w:lineRule="auto"/>
        <w:tabs>
          <w:tab w:leader="none" w:pos="70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from which dividends on such Preferred Shares shall accumulate, if applicable;</w:t>
      </w:r>
    </w:p>
    <w:p>
      <w:pPr>
        <w:spacing w:after="0" w:line="173" w:lineRule="exact"/>
        <w:rPr>
          <w:rFonts w:ascii="Courier New" w:cs="Courier New" w:eastAsia="Courier New" w:hAnsi="Courier New"/>
          <w:sz w:val="15"/>
          <w:szCs w:val="15"/>
          <w:color w:val="auto"/>
        </w:rPr>
      </w:pPr>
    </w:p>
    <w:p>
      <w:pPr>
        <w:ind w:left="180" w:right="3939" w:firstLine="180"/>
        <w:spacing w:after="0" w:line="234" w:lineRule="auto"/>
        <w:tabs>
          <w:tab w:leader="none" w:pos="70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for any auction and remarketing, if any, for such Preferred Shares;</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a sinking fund, if any, for such Preferred Shares;</w:t>
      </w:r>
    </w:p>
    <w:p>
      <w:pPr>
        <w:spacing w:after="0" w:line="172" w:lineRule="exact"/>
        <w:rPr>
          <w:rFonts w:ascii="Courier New" w:cs="Courier New" w:eastAsia="Courier New" w:hAnsi="Courier New"/>
          <w:sz w:val="15"/>
          <w:szCs w:val="15"/>
          <w:color w:val="auto"/>
        </w:rPr>
      </w:pPr>
    </w:p>
    <w:p>
      <w:pPr>
        <w:ind w:left="180" w:right="4099" w:firstLine="180"/>
        <w:spacing w:after="0" w:line="234" w:lineRule="auto"/>
        <w:tabs>
          <w:tab w:leader="none" w:pos="70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redemption, if applicable, of such Preferred Shares;</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listing of such Preferred Shares on any securities exchange;</w:t>
      </w:r>
    </w:p>
    <w:p>
      <w:pPr>
        <w:spacing w:after="0" w:line="172" w:lineRule="exact"/>
        <w:rPr>
          <w:rFonts w:ascii="Courier New" w:cs="Courier New" w:eastAsia="Courier New" w:hAnsi="Courier New"/>
          <w:sz w:val="15"/>
          <w:szCs w:val="15"/>
          <w:color w:val="auto"/>
        </w:rPr>
      </w:pPr>
    </w:p>
    <w:p>
      <w:pPr>
        <w:ind w:left="180" w:right="3679" w:firstLine="180"/>
        <w:spacing w:after="0" w:line="235" w:lineRule="auto"/>
        <w:tabs>
          <w:tab w:leader="none" w:pos="70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if applicable, upon which such Preferred Shares will be convertible into Common Shares of the Trust, including the conversion price (or manner of calculation thereof);</w:t>
      </w:r>
    </w:p>
    <w:p>
      <w:pPr>
        <w:spacing w:after="0" w:line="173" w:lineRule="exact"/>
        <w:rPr>
          <w:rFonts w:ascii="Courier New" w:cs="Courier New" w:eastAsia="Courier New" w:hAnsi="Courier New"/>
          <w:sz w:val="15"/>
          <w:szCs w:val="15"/>
          <w:color w:val="auto"/>
        </w:rPr>
      </w:pPr>
    </w:p>
    <w:p>
      <w:pPr>
        <w:ind w:left="180" w:right="4099" w:firstLine="180"/>
        <w:spacing w:after="0" w:line="234" w:lineRule="auto"/>
        <w:tabs>
          <w:tab w:leader="none" w:pos="79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specific terms, preferences, rights, limitations or restrictions of such Preferred Shares;</w:t>
      </w:r>
    </w:p>
    <w:p>
      <w:pPr>
        <w:spacing w:after="0" w:line="173" w:lineRule="exact"/>
        <w:rPr>
          <w:rFonts w:ascii="Courier New" w:cs="Courier New" w:eastAsia="Courier New" w:hAnsi="Courier New"/>
          <w:sz w:val="15"/>
          <w:szCs w:val="15"/>
          <w:color w:val="auto"/>
        </w:rPr>
      </w:pPr>
    </w:p>
    <w:p>
      <w:pPr>
        <w:ind w:left="180" w:right="3499" w:firstLine="180"/>
        <w:spacing w:after="0" w:line="234" w:lineRule="auto"/>
        <w:tabs>
          <w:tab w:leader="none" w:pos="79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discussion of federal income tax considerations applicable to such Preferred Shares;</w:t>
      </w:r>
    </w:p>
    <w:p>
      <w:pPr>
        <w:spacing w:after="0" w:line="173" w:lineRule="exact"/>
        <w:rPr>
          <w:rFonts w:ascii="Courier New" w:cs="Courier New" w:eastAsia="Courier New" w:hAnsi="Courier New"/>
          <w:sz w:val="15"/>
          <w:szCs w:val="15"/>
          <w:color w:val="auto"/>
        </w:rPr>
      </w:pPr>
    </w:p>
    <w:p>
      <w:pPr>
        <w:ind w:left="180" w:right="3579" w:firstLine="180"/>
        <w:spacing w:after="0" w:line="235" w:lineRule="auto"/>
        <w:tabs>
          <w:tab w:leader="none" w:pos="79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relative ranking and preferences of such Preferred Shares as to dividend rights and rights upon liquidation, dissolution or winding up of the affairs of the Trust;</w:t>
      </w:r>
    </w:p>
    <w:p>
      <w:pPr>
        <w:spacing w:after="0" w:line="167" w:lineRule="exact"/>
        <w:rPr>
          <w:rFonts w:ascii="Courier New" w:cs="Courier New" w:eastAsia="Courier New" w:hAnsi="Courier New"/>
          <w:sz w:val="15"/>
          <w:szCs w:val="15"/>
          <w:color w:val="auto"/>
        </w:rPr>
      </w:pPr>
    </w:p>
    <w:p>
      <w:pPr>
        <w:ind w:left="800" w:hanging="440"/>
        <w:spacing w:after="0"/>
        <w:tabs>
          <w:tab w:leader="none" w:pos="8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limitations on issuance of any series of Preferred Shares</w:t>
      </w:r>
    </w:p>
    <w:p>
      <w:pPr>
        <w:spacing w:after="0" w:line="4" w:lineRule="exact"/>
        <w:rPr>
          <w:rFonts w:ascii="Courier New" w:cs="Courier New" w:eastAsia="Courier New" w:hAnsi="Courier New"/>
          <w:sz w:val="15"/>
          <w:szCs w:val="15"/>
          <w:color w:val="auto"/>
        </w:rPr>
      </w:pPr>
    </w:p>
    <w:p>
      <w:pPr>
        <w:ind w:left="18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ranking senior to or on a parity with such series of Preferred Shares as to dividend rights and rights upon liquidation, dissolution or winding up of the affairs of the Trust;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8" w:name="page19"/>
    <w:bookmarkEnd w:id="18"/>
    <w:p>
      <w:pPr>
        <w:jc w:val="both"/>
        <w:ind w:left="180" w:right="3679" w:firstLine="180"/>
        <w:spacing w:after="0" w:line="235" w:lineRule="auto"/>
        <w:tabs>
          <w:tab w:leader="none" w:pos="79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limitations on direct or beneficial ownership and restrictions on transfer, in each case as may be appropriate to preserve the status of the Trust as a REIT.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RANK</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 Each such dividend shall be payable to holders of record as they appear on the share transfer books of the Trust on such record dates as shall be fixed by the Board of Trustees of the Trust.</w:t>
      </w:r>
    </w:p>
    <w:p>
      <w:pPr>
        <w:spacing w:after="0" w:line="17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180"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 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9" w:name="page20"/>
    <w:bookmarkEnd w:id="19"/>
    <w:p>
      <w:pPr>
        <w:ind w:right="3399" w:firstLine="175"/>
        <w:spacing w:after="0" w:line="237" w:lineRule="auto"/>
        <w:rPr>
          <w:sz w:val="20"/>
          <w:szCs w:val="20"/>
          <w:color w:val="auto"/>
        </w:rPr>
      </w:pPr>
      <w:r>
        <w:rPr>
          <w:rFonts w:ascii="Courier New" w:cs="Courier New" w:eastAsia="Courier New" w:hAnsi="Courier New"/>
          <w:sz w:val="15"/>
          <w:szCs w:val="15"/>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177" w:lineRule="exact"/>
        <w:rPr>
          <w:sz w:val="20"/>
          <w:szCs w:val="20"/>
          <w:color w:val="auto"/>
        </w:rPr>
      </w:pPr>
    </w:p>
    <w:p>
      <w:pPr>
        <w:jc w:val="both"/>
        <w:ind w:right="3679" w:firstLine="175"/>
        <w:spacing w:after="0" w:line="235" w:lineRule="auto"/>
        <w:rPr>
          <w:sz w:val="20"/>
          <w:szCs w:val="20"/>
          <w:color w:val="auto"/>
        </w:rPr>
      </w:pPr>
      <w:r>
        <w:rPr>
          <w:rFonts w:ascii="Courier New" w:cs="Courier New" w:eastAsia="Courier New" w:hAnsi="Courier New"/>
          <w:sz w:val="15"/>
          <w:szCs w:val="15"/>
          <w:color w:val="auto"/>
        </w:rPr>
        <w:t>Any dividend payment made on shares of a series of Preferred Shares shall first be credited against the earliest accrued but unpaid dividend due with respect to shares of such series which remains payable.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331"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 Preferred Shares of such series are simultaneously redeemed; provided, however, that the foregoing shall not prevent the purchase or acquisition of Preferred Shares of such series to preserve the REIT status of the Trust or pursuant to</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0" w:name="page21"/>
    <w:bookmarkEnd w:id="20"/>
    <w:p>
      <w:pPr>
        <w:ind w:right="3399"/>
        <w:spacing w:after="0" w:line="254" w:lineRule="auto"/>
        <w:rPr>
          <w:sz w:val="20"/>
          <w:szCs w:val="20"/>
          <w:color w:val="auto"/>
        </w:rPr>
      </w:pPr>
      <w:r>
        <w:rPr>
          <w:rFonts w:ascii="Courier New" w:cs="Courier New" w:eastAsia="Courier New" w:hAnsi="Courier New"/>
          <w:sz w:val="14"/>
          <w:szCs w:val="14"/>
          <w:color w:val="auto"/>
        </w:rPr>
        <w:t>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174" w:lineRule="exact"/>
        <w:rPr>
          <w:sz w:val="20"/>
          <w:szCs w:val="20"/>
          <w:color w:val="auto"/>
        </w:rPr>
      </w:pPr>
    </w:p>
    <w:p>
      <w:pPr>
        <w:ind w:right="3679" w:firstLine="175"/>
        <w:spacing w:after="0" w:line="236" w:lineRule="auto"/>
        <w:rPr>
          <w:sz w:val="20"/>
          <w:szCs w:val="20"/>
          <w:color w:val="auto"/>
        </w:rPr>
      </w:pPr>
      <w:r>
        <w:rPr>
          <w:rFonts w:ascii="Courier New" w:cs="Courier New" w:eastAsia="Courier New" w:hAnsi="Courier New"/>
          <w:sz w:val="15"/>
          <w:szCs w:val="15"/>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175" w:lineRule="exact"/>
        <w:rPr>
          <w:sz w:val="20"/>
          <w:szCs w:val="20"/>
          <w:color w:val="auto"/>
        </w:rPr>
      </w:pPr>
    </w:p>
    <w:p>
      <w:pPr>
        <w:ind w:right="3499" w:firstLine="175"/>
        <w:spacing w:after="0" w:line="254" w:lineRule="auto"/>
        <w:rPr>
          <w:sz w:val="20"/>
          <w:szCs w:val="20"/>
          <w:color w:val="auto"/>
        </w:rPr>
      </w:pPr>
      <w:r>
        <w:rPr>
          <w:rFonts w:ascii="Courier New" w:cs="Courier New" w:eastAsia="Courier New" w:hAnsi="Courier New"/>
          <w:sz w:val="14"/>
          <w:szCs w:val="14"/>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spacing w:after="0" w:line="2" w:lineRule="exact"/>
        <w:rPr>
          <w:sz w:val="20"/>
          <w:szCs w:val="20"/>
          <w:color w:val="auto"/>
        </w:rPr>
      </w:pPr>
    </w:p>
    <w:p>
      <w:pPr>
        <w:ind w:right="3399" w:firstLine="10"/>
        <w:spacing w:after="0" w:line="255" w:lineRule="auto"/>
        <w:tabs>
          <w:tab w:leader="none" w:pos="35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 PREFERENCE</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1" w:name="page22"/>
    <w:bookmarkEnd w:id="21"/>
    <w:p>
      <w:pPr>
        <w:ind w:right="3399"/>
        <w:spacing w:after="0" w:line="236" w:lineRule="auto"/>
        <w:rPr>
          <w:sz w:val="20"/>
          <w:szCs w:val="20"/>
          <w:color w:val="auto"/>
        </w:rPr>
      </w:pPr>
      <w:r>
        <w:rPr>
          <w:rFonts w:ascii="Courier New" w:cs="Courier New" w:eastAsia="Courier New" w:hAnsi="Courier New"/>
          <w:sz w:val="15"/>
          <w:szCs w:val="15"/>
          <w:color w:val="auto"/>
        </w:rPr>
        <w:t>the Trust 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7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Holders of the Preferred Shares will not have any voting rights, except as set forth below or as otherwise from time to time required by law or as indicated in the applicable Prospectus Supplement.</w:t>
      </w:r>
    </w:p>
    <w:p>
      <w:pPr>
        <w:spacing w:after="0" w:line="174"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164"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spacing w:after="0" w:line="176" w:lineRule="exact"/>
        <w:rPr>
          <w:sz w:val="20"/>
          <w:szCs w:val="20"/>
          <w:color w:val="auto"/>
        </w:rPr>
      </w:pPr>
    </w:p>
    <w:p>
      <w:pPr>
        <w:ind w:right="3399" w:firstLine="10"/>
        <w:spacing w:after="0" w:line="236"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2" w:name="page23"/>
    <w:bookmarkEnd w:id="22"/>
    <w:p>
      <w:pPr>
        <w:ind w:right="3399" w:firstLine="175"/>
        <w:spacing w:after="0" w:line="236" w:lineRule="auto"/>
        <w:rPr>
          <w:sz w:val="20"/>
          <w:szCs w:val="20"/>
          <w:color w:val="auto"/>
        </w:rPr>
      </w:pPr>
      <w:r>
        <w:rPr>
          <w:rFonts w:ascii="Courier New" w:cs="Courier New" w:eastAsia="Courier New" w:hAnsi="Courier New"/>
          <w:sz w:val="15"/>
          <w:szCs w:val="15"/>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RIGHTS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LIABILITY</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OWNERSHIP</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As discussed below under "Description of Common Shares--Restrictions on Ownership,"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3" w:name="page24"/>
    <w:bookmarkEnd w:id="23"/>
    <w:p>
      <w:pPr>
        <w:ind w:left="2200"/>
        <w:spacing w:after="0"/>
        <w:rPr>
          <w:sz w:val="20"/>
          <w:szCs w:val="20"/>
          <w:color w:val="auto"/>
        </w:rPr>
      </w:pPr>
      <w:r>
        <w:rPr>
          <w:rFonts w:ascii="Courier New" w:cs="Courier New" w:eastAsia="Courier New" w:hAnsi="Courier New"/>
          <w:sz w:val="15"/>
          <w:szCs w:val="15"/>
          <w:color w:val="auto"/>
        </w:rPr>
        <w:t>DESCRIPTION OF COMMON SHARES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332"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Without shareholder approval, the Trust may issue an unlimited number of securities, warrants, rights, or other options to purchase Common Shares and other securities convertible into Common Shares.</w:t>
      </w:r>
    </w:p>
    <w:p>
      <w:pPr>
        <w:spacing w:after="0" w:line="174"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174"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176"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OWNERSHIP</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For the Trust to qualify as a REIT under the Code,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4" w:name="page25"/>
    <w:bookmarkEnd w:id="24"/>
    <w:p>
      <w:pPr>
        <w:ind w:right="3399"/>
        <w:spacing w:after="0" w:line="255" w:lineRule="auto"/>
        <w:rPr>
          <w:sz w:val="20"/>
          <w:szCs w:val="20"/>
          <w:color w:val="auto"/>
        </w:rPr>
      </w:pPr>
      <w:r>
        <w:rPr>
          <w:rFonts w:ascii="Courier New" w:cs="Courier New" w:eastAsia="Courier New" w:hAnsi="Courier New"/>
          <w:sz w:val="14"/>
          <w:szCs w:val="14"/>
          <w:color w:val="auto"/>
        </w:rPr>
        <w:t>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LIABILITY</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REGISTRAR AND TRANSFER AGENT</w:t>
      </w:r>
    </w:p>
    <w:p>
      <w:pPr>
        <w:spacing w:after="0" w:line="173" w:lineRule="exact"/>
        <w:rPr>
          <w:sz w:val="20"/>
          <w:szCs w:val="20"/>
          <w:color w:val="auto"/>
        </w:rPr>
      </w:pPr>
    </w:p>
    <w:p>
      <w:pPr>
        <w:ind w:right="3759" w:firstLine="175"/>
        <w:spacing w:after="0" w:line="234" w:lineRule="auto"/>
        <w:rPr>
          <w:sz w:val="20"/>
          <w:szCs w:val="20"/>
          <w:color w:val="auto"/>
        </w:rPr>
      </w:pPr>
      <w:r>
        <w:rPr>
          <w:rFonts w:ascii="Courier New" w:cs="Courier New" w:eastAsia="Courier New" w:hAnsi="Courier New"/>
          <w:sz w:val="15"/>
          <w:szCs w:val="15"/>
          <w:color w:val="auto"/>
        </w:rPr>
        <w:t>The Registrar and Transfer Agent for the Common Shares is American Stock Transfer &amp; Trust Company, New York, New York.</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FEDERAL INCOME TAX CONSIDERATIONS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Trust believes it has operated, and the Trust intends to continue to operate, in such manner as to qualify as a REIT under the Code, but no assurance can be given that it will at all times so qualify. The provisions of the Code pertaining to REITs are highly technical and complex. The following is a brief and general summary of certain provisions that currently govern the federal income tax treatment of the Trust and its shareholders. For the particular provisions that govern the federal income tax treatment of the Trust and its shareholders, reference is made to Sections 856 through 860 of the Code and the treasury regulations promulgated thereunder. The following summary is qualified in its entirety by such reference.</w:t>
      </w:r>
    </w:p>
    <w:p>
      <w:pPr>
        <w:spacing w:after="0" w:line="16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Under the Code, if certain requirements are met in a taxable year, a REIT generally will not be subject to federal income tax with respect to income that it distributes to its shareholders. If the Trust fails to qualify during any taxable year as a REIT, unless certain relief provisions are available, it will be subject to tax (including any applicable alternative minimum tax) on its taxable income at regular corporate rates, which could have a material adverse effect upon its shareholders.</w:t>
      </w:r>
    </w:p>
    <w:p>
      <w:pPr>
        <w:spacing w:after="0" w:line="176" w:lineRule="exact"/>
        <w:rPr>
          <w:sz w:val="20"/>
          <w:szCs w:val="20"/>
          <w:color w:val="auto"/>
        </w:rPr>
      </w:pPr>
    </w:p>
    <w:p>
      <w:pPr>
        <w:ind w:right="3679" w:firstLine="175"/>
        <w:spacing w:after="0" w:line="236" w:lineRule="auto"/>
        <w:rPr>
          <w:sz w:val="20"/>
          <w:szCs w:val="20"/>
          <w:color w:val="auto"/>
        </w:rPr>
      </w:pPr>
      <w:r>
        <w:rPr>
          <w:rFonts w:ascii="Courier New" w:cs="Courier New" w:eastAsia="Courier New" w:hAnsi="Courier New"/>
          <w:sz w:val="15"/>
          <w:szCs w:val="15"/>
          <w:color w:val="auto"/>
        </w:rPr>
        <w:t>To qualify as a REIT, the Trust must comply with a number of annual requirements regarding its income, assets and distributions. These requirements impose a number of restrictions on the Trust's operations. For example, the Trust may not lease property if the lease has the effect of giving the Trust a share of the net income of the lessee. The amount of personal property that may be included under</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5" w:name="page26"/>
    <w:bookmarkEnd w:id="25"/>
    <w:p>
      <w:pPr>
        <w:ind w:right="3399"/>
        <w:spacing w:after="0" w:line="255" w:lineRule="auto"/>
        <w:rPr>
          <w:sz w:val="20"/>
          <w:szCs w:val="20"/>
          <w:color w:val="auto"/>
        </w:rPr>
      </w:pPr>
      <w:r>
        <w:rPr>
          <w:rFonts w:ascii="Courier New" w:cs="Courier New" w:eastAsia="Courier New" w:hAnsi="Courier New"/>
          <w:sz w:val="14"/>
          <w:szCs w:val="14"/>
          <w:color w:val="auto"/>
        </w:rPr>
        <w:t>a lease may not exceed a defined, low level, and the Trust may not provide services to its tenants, other than customary services and de minimis non-customary services. The Trust's ability to acquire non-real estate assets is restricted, and a 100% tax is imposed on any gain that the Trust realizes from sales of property to customers in the ordinary course of business (other than property acquired by reason of certain foreclosures), effectively preventing the Trust from participating directly in condominium projects and other projects involving the development of property for resale. Minimum distribution requirements also generally require the Trust to distribute at least 95% of its taxable income each year (excluding any net capital gain).</w:t>
      </w:r>
    </w:p>
    <w:p>
      <w:pPr>
        <w:spacing w:after="0" w:line="165"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In any year in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A portion of such gains may be taxed at the 25% rate applicable to "Section 1250" gains. To the extent that distributions exceed current or accumulated earnings and profits, they will constitute a return of capital, rather than dividend or capital gain income, and will reduce the basis for the shareholder's Securities with respect to which the distribution is paid or, to the extent that they exceed such basis, will be taxed in the same manner as gain from the sale of those Securities.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Investors are urged to consult their own tax advisors with respect to the appropriateness of an investment in the Securities offered hereby and with respect to the tax consequences arising under federal law and the laws of any state, municipality or other taxing jurisdiction, including tax consequences resulting from such investor's own tax characteristics. In particular, foreign investors should consult their own tax advisors concerning the tax consequences of an investment in the Trust, including the possibility of United States income tax withholding on Trust distributions.</w:t>
      </w:r>
    </w:p>
    <w:p>
      <w:pPr>
        <w:spacing w:after="0" w:line="15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PLAN OF DISTRIBUTION</w:t>
      </w:r>
    </w:p>
    <w:p>
      <w:pPr>
        <w:spacing w:after="0" w:line="173"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The Trust may sell Securities to or through underwriters, and also may sell Securities directly to other purchasers or through agents.</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75"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6" w:name="page27"/>
    <w:bookmarkEnd w:id="26"/>
    <w:p>
      <w:pPr>
        <w:ind w:right="3399"/>
        <w:spacing w:after="0" w:line="235" w:lineRule="auto"/>
        <w:rPr>
          <w:sz w:val="20"/>
          <w:szCs w:val="20"/>
          <w:color w:val="auto"/>
        </w:rPr>
      </w:pPr>
      <w:r>
        <w:rPr>
          <w:rFonts w:ascii="Courier New" w:cs="Courier New" w:eastAsia="Courier New" w:hAnsi="Courier New"/>
          <w:sz w:val="15"/>
          <w:szCs w:val="15"/>
          <w:color w:val="auto"/>
        </w:rPr>
        <w:t>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175"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175"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Underwriters, dealers and agents may engage in transactions with, or perform services for, or be customers of, the Trust in the ordinary course of business.</w:t>
      </w:r>
    </w:p>
    <w:p>
      <w:pPr>
        <w:spacing w:after="0" w:line="174"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LEGAL OPINIONS</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The legality of the Securities offered hereby is being passed upon for the Trust by Kirkpatrick &amp; Lockhart LLP, 1800 Massachusetts Avenue, N.W., Washington, D.C. 20036-1800. Certain REIT tax matters relating to the Trust are being passed upon by Goodwin, Procter &amp; Hoar LLP, Exchange Place, Boston, Massachusetts 02109. Brown &amp; Wood LLP, One World Trade Center, New York, New York 10048-0557 will act as counsel to any underwriters, dealers or agents.</w:t>
      </w:r>
    </w:p>
    <w:p>
      <w:pPr>
        <w:spacing w:after="0" w:line="16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Consolidated FInancial Statements and Schedules of the Trust as of December 31, 1997 and 1996 and for each of the years in the three year period ended December 31, 1997 incorporated herein by reference have been incorporated herein in reliance on the reports dated February 5, 1998 of Grant Thornton LLP, independent certified public accountants, also incorporated by reference herein, and upon the authority of said firm as experts in accounting and auditing.</w:t>
      </w:r>
    </w:p>
    <w:p>
      <w:pPr>
        <w:spacing w:after="0" w:line="17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With respect to the unaudited interim financial information included in the Trust's Quarterly Reports on Form 10-Q for the quarters ended March 31, 1998 and June 30, 1998 which are incorporated herein by reference, Grant Thornton LLP has applied limited procedures in accordance with professional standards for a review of such information. However, as stated in their reports dated May 5, 1998 and August 5, 1998 included in the Trust's Quarterly Reports on Form 10-Q for the quarters ended March 31, 1998 and June 30, 1998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 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27" w:name="page28"/>
    <w:bookmarkEnd w:id="27"/>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3"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The following table sets forth the estimated expenses in connection with the offering contemplated by this Registration Statement:</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560" w:type="dxa"/>
            <w:vAlign w:val="bottom"/>
          </w:tcPr>
          <w:p>
            <w:pPr>
              <w:jc w:val="right"/>
              <w:spacing w:after="0"/>
              <w:rPr>
                <w:sz w:val="20"/>
                <w:szCs w:val="20"/>
                <w:color w:val="auto"/>
              </w:rPr>
            </w:pPr>
            <w:r>
              <w:rPr>
                <w:rFonts w:ascii="Courier New" w:cs="Courier New" w:eastAsia="Courier New" w:hAnsi="Courier New"/>
                <w:sz w:val="15"/>
                <w:szCs w:val="15"/>
                <w:color w:val="auto"/>
                <w:w w:val="96"/>
              </w:rPr>
              <w:t>SEC Registration Fee ..........................................</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  147,500</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Blue Sky Fees and Expenses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Printing and Engraving Costs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300,000</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Accounting Fees and Expenses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Legal Fees and Expenses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200,000</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Transfer Agent and Registrar's Fees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Trustees' Fees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Rating Agencies Fees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375,000</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Miscellaneous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7,500</w:t>
            </w:r>
          </w:p>
        </w:tc>
      </w:tr>
      <w:tr>
        <w:trPr>
          <w:trHeight w:val="168"/>
        </w:trPr>
        <w:tc>
          <w:tcPr>
            <w:tcW w:w="5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$1,185,000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Trust's Third Amended and Restated Declaration of Trust provides in substance that Trustees and officers of the Trust shall not be personally liable to the Trust or to any other person involving the Trust's affairs, except for their own bad faith, willful misconduct, gross negligence or reckless disregard of duties, or failure to act in good faith in the reasonable belief that their action was in the best interest of the Trust. The Trust indemnifies and holds harmless each Trustee and officer against all claims, liabilities and expenses in connection with the defense or disposition of any lawsuit threatened or brought by reason of his office, except as to any matter for which a Trustee or officer is personally liable as stated above.</w:t>
      </w:r>
    </w:p>
    <w:p>
      <w:pPr>
        <w:spacing w:after="0" w:line="16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pursuant to the Third Amended and Restated Declaration of Trust or otherwise, the Trust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Trust of expenses incurred or paid in the successful defense of any action, suit or proceeding) is asserted in connection with the securities being registered, the Trust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w:t>
      </w:r>
    </w:p>
    <w:p>
      <w:pPr>
        <w:spacing w:after="0" w:line="200" w:lineRule="exact"/>
        <w:rPr>
          <w:sz w:val="20"/>
          <w:szCs w:val="20"/>
          <w:color w:val="auto"/>
        </w:rPr>
      </w:pPr>
    </w:p>
    <w:p>
      <w:pPr>
        <w:spacing w:after="0" w:line="30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(1)(a) Form</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Underwriting</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Agreement</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for Debt Securities</w:t>
            </w: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(1)(b) Form</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Underwriting</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Agreement</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for Equity Securities</w:t>
            </w:r>
          </w:p>
        </w:tc>
      </w:tr>
      <w:tr>
        <w:trPr>
          <w:trHeight w:val="168"/>
        </w:trPr>
        <w:tc>
          <w:tcPr>
            <w:tcW w:w="2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(4)(a) Indenture for Senior</w:t>
            </w:r>
          </w:p>
        </w:tc>
        <w:tc>
          <w:tcPr>
            <w:tcW w:w="2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Debt Securities</w:t>
            </w:r>
          </w:p>
        </w:tc>
      </w:tr>
    </w:tbl>
    <w:p>
      <w:pPr>
        <w:ind w:left="100"/>
        <w:spacing w:after="0" w:line="237" w:lineRule="auto"/>
        <w:rPr>
          <w:sz w:val="20"/>
          <w:szCs w:val="20"/>
          <w:color w:val="auto"/>
        </w:rPr>
      </w:pPr>
      <w:r>
        <w:rPr>
          <w:rFonts w:ascii="Courier New" w:cs="Courier New" w:eastAsia="Courier New" w:hAnsi="Courier New"/>
          <w:sz w:val="15"/>
          <w:szCs w:val="15"/>
          <w:color w:val="auto"/>
        </w:rPr>
        <w:t>(4)(b) Indenture for Subordinated Debt Securities*</w:t>
      </w:r>
    </w:p>
    <w:p>
      <w:pPr>
        <w:ind w:left="100"/>
        <w:spacing w:after="0" w:line="238" w:lineRule="auto"/>
        <w:rPr>
          <w:sz w:val="20"/>
          <w:szCs w:val="20"/>
          <w:color w:val="auto"/>
        </w:rPr>
      </w:pPr>
      <w:r>
        <w:rPr>
          <w:rFonts w:ascii="Courier New" w:cs="Courier New" w:eastAsia="Courier New" w:hAnsi="Courier New"/>
          <w:sz w:val="15"/>
          <w:szCs w:val="15"/>
          <w:color w:val="auto"/>
        </w:rPr>
        <w:t>(4)(c) Form of Senior Debt Security</w:t>
      </w:r>
    </w:p>
    <w:p>
      <w:pPr>
        <w:ind w:left="100"/>
        <w:spacing w:after="0" w:line="237" w:lineRule="auto"/>
        <w:rPr>
          <w:sz w:val="20"/>
          <w:szCs w:val="20"/>
          <w:color w:val="auto"/>
        </w:rPr>
      </w:pPr>
      <w:r>
        <w:rPr>
          <w:rFonts w:ascii="Courier New" w:cs="Courier New" w:eastAsia="Courier New" w:hAnsi="Courier New"/>
          <w:sz w:val="15"/>
          <w:szCs w:val="15"/>
          <w:color w:val="auto"/>
        </w:rPr>
        <w:t>(4)(d) Form of Subordinated Debt Security*</w:t>
      </w:r>
    </w:p>
    <w:p>
      <w:pPr>
        <w:ind w:left="100"/>
        <w:spacing w:after="0" w:line="238" w:lineRule="auto"/>
        <w:rPr>
          <w:sz w:val="20"/>
          <w:szCs w:val="20"/>
          <w:color w:val="auto"/>
        </w:rPr>
      </w:pPr>
      <w:r>
        <w:rPr>
          <w:rFonts w:ascii="Courier New" w:cs="Courier New" w:eastAsia="Courier New" w:hAnsi="Courier New"/>
          <w:sz w:val="15"/>
          <w:szCs w:val="15"/>
          <w:color w:val="auto"/>
        </w:rPr>
        <w:t>(4)(e) Form of Statement of Designation of Preferred Shares*</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617" w:right="1440" w:bottom="1440" w:gutter="0" w:footer="0" w:header="0"/>
        </w:sectPr>
      </w:pPr>
    </w:p>
    <w:bookmarkStart w:id="28" w:name="page29"/>
    <w:bookmarkEnd w:id="28"/>
    <w:p>
      <w:pPr>
        <w:spacing w:after="0"/>
        <w:tabs>
          <w:tab w:leader="none" w:pos="780" w:val="left"/>
        </w:tabs>
        <w:rPr>
          <w:sz w:val="20"/>
          <w:szCs w:val="20"/>
          <w:color w:val="auto"/>
        </w:rPr>
      </w:pPr>
      <w:r>
        <w:rPr>
          <w:rFonts w:ascii="Courier New" w:cs="Courier New" w:eastAsia="Courier New" w:hAnsi="Courier New"/>
          <w:sz w:val="15"/>
          <w:szCs w:val="15"/>
          <w:color w:val="auto"/>
        </w:rPr>
        <w:t>(4)(f)</w:t>
      </w:r>
      <w:r>
        <w:rPr>
          <w:sz w:val="20"/>
          <w:szCs w:val="20"/>
          <w:color w:val="auto"/>
        </w:rPr>
        <w:tab/>
      </w:r>
      <w:r>
        <w:rPr>
          <w:rFonts w:ascii="Courier New" w:cs="Courier New" w:eastAsia="Courier New" w:hAnsi="Courier New"/>
          <w:sz w:val="14"/>
          <w:szCs w:val="14"/>
          <w:color w:val="auto"/>
        </w:rPr>
        <w:t>Form of Preferred Share Certificate*</w:t>
      </w:r>
    </w:p>
    <w:p>
      <w:pPr>
        <w:ind w:left="800" w:hanging="790"/>
        <w:spacing w:after="0" w:line="237" w:lineRule="auto"/>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regarding legality</w:t>
      </w:r>
    </w:p>
    <w:p>
      <w:pPr>
        <w:ind w:left="800" w:hanging="790"/>
        <w:spacing w:after="0" w:line="238" w:lineRule="auto"/>
        <w:tabs>
          <w:tab w:leader="none" w:pos="8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regarding tax matters</w:t>
      </w:r>
    </w:p>
    <w:p>
      <w:pPr>
        <w:ind w:left="800" w:hanging="790"/>
        <w:spacing w:after="0" w:line="237" w:lineRule="auto"/>
        <w:tabs>
          <w:tab w:leader="none" w:pos="8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regarding computation of ratios</w:t>
      </w:r>
    </w:p>
    <w:p>
      <w:pPr>
        <w:spacing w:after="0" w:line="5" w:lineRule="exact"/>
        <w:rPr>
          <w:sz w:val="20"/>
          <w:szCs w:val="20"/>
          <w:color w:val="auto"/>
        </w:rPr>
      </w:pPr>
    </w:p>
    <w:p>
      <w:pPr>
        <w:ind w:right="3679" w:firstLine="10"/>
        <w:spacing w:after="0" w:line="234" w:lineRule="auto"/>
        <w:tabs>
          <w:tab w:leader="none" w:pos="7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Acknowledgement of Independent Accountants (included on page II-4) (23)(a) Consents of Independent Accountants (included on page II-4)</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(23)(b)  Consents of Counsel (included in opinions)</w:t>
      </w:r>
    </w:p>
    <w:p>
      <w:pPr>
        <w:ind w:left="800" w:hanging="790"/>
        <w:spacing w:after="0" w:line="238" w:lineRule="auto"/>
        <w:tabs>
          <w:tab w:leader="none" w:pos="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of Attorney (included on signature page)</w:t>
      </w:r>
    </w:p>
    <w:p>
      <w:pPr>
        <w:spacing w:after="0"/>
        <w:tabs>
          <w:tab w:leader="none" w:pos="780" w:val="left"/>
        </w:tabs>
        <w:rPr>
          <w:sz w:val="20"/>
          <w:szCs w:val="20"/>
          <w:color w:val="auto"/>
        </w:rPr>
      </w:pPr>
      <w:r>
        <w:rPr>
          <w:rFonts w:ascii="Courier New" w:cs="Courier New" w:eastAsia="Courier New" w:hAnsi="Courier New"/>
          <w:sz w:val="15"/>
          <w:szCs w:val="15"/>
          <w:color w:val="auto"/>
        </w:rPr>
        <w:t>(25)(a)</w:t>
      </w:r>
      <w:r>
        <w:rPr>
          <w:sz w:val="20"/>
          <w:szCs w:val="20"/>
          <w:color w:val="auto"/>
        </w:rPr>
        <w:tab/>
      </w:r>
      <w:r>
        <w:rPr>
          <w:rFonts w:ascii="Courier New" w:cs="Courier New" w:eastAsia="Courier New" w:hAnsi="Courier New"/>
          <w:sz w:val="14"/>
          <w:szCs w:val="14"/>
          <w:color w:val="auto"/>
        </w:rPr>
        <w:t>Statement of Eligibility of Trustee (First Union National Bank of North Carolina) on Form T-1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right="3399" w:hanging="270"/>
        <w:spacing w:after="0" w:line="234" w:lineRule="auto"/>
        <w:tabs>
          <w:tab w:leader="none" w:pos="2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part of a Registration Statement on Form S-3 (No. 33-51029) declared effective on December 13, 1993.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66" w:lineRule="exact"/>
        <w:rPr>
          <w:sz w:val="20"/>
          <w:szCs w:val="20"/>
          <w:color w:val="auto"/>
        </w:rPr>
      </w:pPr>
    </w:p>
    <w:p>
      <w:pPr>
        <w:ind w:left="540" w:hanging="355"/>
        <w:spacing w:after="0"/>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2" w:lineRule="exact"/>
        <w:rPr>
          <w:rFonts w:ascii="Courier New" w:cs="Courier New" w:eastAsia="Courier New" w:hAnsi="Courier New"/>
          <w:sz w:val="15"/>
          <w:szCs w:val="15"/>
          <w:color w:val="auto"/>
        </w:rPr>
      </w:pPr>
    </w:p>
    <w:p>
      <w:pPr>
        <w:ind w:left="180" w:right="3499" w:firstLine="180"/>
        <w:spacing w:after="0" w:line="234" w:lineRule="auto"/>
        <w:tabs>
          <w:tab w:leader="none" w:pos="70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3" w:lineRule="exact"/>
        <w:rPr>
          <w:rFonts w:ascii="Courier New" w:cs="Courier New" w:eastAsia="Courier New" w:hAnsi="Courier New"/>
          <w:sz w:val="15"/>
          <w:szCs w:val="15"/>
          <w:color w:val="auto"/>
        </w:rPr>
      </w:pPr>
    </w:p>
    <w:p>
      <w:pPr>
        <w:ind w:left="360" w:right="4019" w:firstLine="174"/>
        <w:spacing w:after="0" w:line="234" w:lineRule="auto"/>
        <w:tabs>
          <w:tab w:leader="none" w:pos="885" w:val="left"/>
        </w:tabs>
        <w:numPr>
          <w:ilvl w:val="2"/>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66" w:lineRule="exact"/>
        <w:rPr>
          <w:rFonts w:ascii="Courier New" w:cs="Courier New" w:eastAsia="Courier New" w:hAnsi="Courier New"/>
          <w:sz w:val="15"/>
          <w:szCs w:val="15"/>
          <w:color w:val="auto"/>
        </w:rPr>
      </w:pPr>
    </w:p>
    <w:p>
      <w:pPr>
        <w:ind w:left="980" w:hanging="446"/>
        <w:spacing w:after="0"/>
        <w:tabs>
          <w:tab w:leader="none" w:pos="980" w:val="left"/>
        </w:tabs>
        <w:numPr>
          <w:ilvl w:val="2"/>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w:t>
      </w:r>
    </w:p>
    <w:p>
      <w:pPr>
        <w:spacing w:after="0" w:line="5" w:lineRule="exact"/>
        <w:rPr>
          <w:sz w:val="20"/>
          <w:szCs w:val="20"/>
          <w:color w:val="auto"/>
        </w:rPr>
      </w:pPr>
    </w:p>
    <w:p>
      <w:pPr>
        <w:ind w:left="360" w:right="3679"/>
        <w:spacing w:after="0" w:line="237" w:lineRule="auto"/>
        <w:rPr>
          <w:sz w:val="20"/>
          <w:szCs w:val="20"/>
          <w:color w:val="auto"/>
        </w:rPr>
      </w:pPr>
      <w:r>
        <w:rPr>
          <w:rFonts w:ascii="Courier New" w:cs="Courier New" w:eastAsia="Courier New" w:hAnsi="Courier New"/>
          <w:sz w:val="15"/>
          <w:szCs w:val="15"/>
          <w:color w:val="auto"/>
        </w:rPr>
        <w:t>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under the Securities Act if, in the aggregate, the changes in volume and price represent no more than a 20% change in the maximum aggregate offering price set forth in the "Calculation of Registration Fee" table in this Registration Statement;</w:t>
      </w:r>
    </w:p>
    <w:p>
      <w:pPr>
        <w:spacing w:after="0" w:line="173" w:lineRule="exact"/>
        <w:rPr>
          <w:sz w:val="20"/>
          <w:szCs w:val="20"/>
          <w:color w:val="auto"/>
        </w:rPr>
      </w:pPr>
    </w:p>
    <w:p>
      <w:pPr>
        <w:ind w:left="360" w:right="3679" w:firstLine="174"/>
        <w:spacing w:after="0" w:line="258" w:lineRule="auto"/>
        <w:tabs>
          <w:tab w:leader="none" w:pos="10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provided, however, that paragraphs (a)(1)(i) and (a)(1)(ii) do not apply if information required to be included in a post-effective amendment by those paragraphs is contained in periodic reports filed by the registrant pursuant to Section 13 or 15(d) of the Securities Exchange Act of 1934 that are incorporated by reference in the registration statement.</w:t>
      </w:r>
    </w:p>
    <w:p>
      <w:pPr>
        <w:spacing w:after="0" w:line="174" w:lineRule="exact"/>
        <w:rPr>
          <w:sz w:val="20"/>
          <w:szCs w:val="20"/>
          <w:color w:val="auto"/>
        </w:rPr>
      </w:pPr>
    </w:p>
    <w:p>
      <w:pPr>
        <w:ind w:left="180" w:right="3579" w:firstLine="180"/>
        <w:spacing w:after="0" w:line="236" w:lineRule="auto"/>
        <w:tabs>
          <w:tab w:leader="none" w:pos="705"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3" w:lineRule="exact"/>
        <w:rPr>
          <w:rFonts w:ascii="Courier New" w:cs="Courier New" w:eastAsia="Courier New" w:hAnsi="Courier New"/>
          <w:sz w:val="15"/>
          <w:szCs w:val="15"/>
          <w:color w:val="auto"/>
        </w:rPr>
      </w:pPr>
    </w:p>
    <w:p>
      <w:pPr>
        <w:ind w:left="180" w:right="3759" w:firstLine="180"/>
        <w:spacing w:after="0" w:line="235" w:lineRule="auto"/>
        <w:tabs>
          <w:tab w:leader="none" w:pos="705"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67" w:lineRule="exact"/>
        <w:rPr>
          <w:rFonts w:ascii="Courier New" w:cs="Courier New" w:eastAsia="Courier New" w:hAnsi="Courier New"/>
          <w:sz w:val="15"/>
          <w:szCs w:val="15"/>
          <w:color w:val="auto"/>
        </w:rPr>
      </w:pPr>
    </w:p>
    <w:p>
      <w:pPr>
        <w:ind w:left="540" w:hanging="355"/>
        <w:spacing w:after="0"/>
        <w:tabs>
          <w:tab w:leader="none" w:pos="5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w:t>
      </w:r>
    </w:p>
    <w:p>
      <w:pPr>
        <w:spacing w:after="0" w:line="4" w:lineRule="exact"/>
        <w:rPr>
          <w:rFonts w:ascii="Courier New" w:cs="Courier New" w:eastAsia="Courier New" w:hAnsi="Courier New"/>
          <w:sz w:val="15"/>
          <w:szCs w:val="15"/>
          <w:color w:val="auto"/>
        </w:rPr>
      </w:pPr>
    </w:p>
    <w:p>
      <w:pPr>
        <w:ind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953" w:right="1440" w:bottom="1440" w:gutter="0" w:footer="0" w:header="0"/>
        </w:sectPr>
      </w:pPr>
    </w:p>
    <w:bookmarkStart w:id="29" w:name="page30"/>
    <w:bookmarkEnd w:id="29"/>
    <w:p>
      <w:pPr>
        <w:ind w:left="-185" w:right="3399" w:firstLine="185"/>
        <w:spacing w:after="0" w:line="255" w:lineRule="auto"/>
        <w:tabs>
          <w:tab w:leader="none" w:pos="3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provisions described in Item 15 of this Registration Statement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in payment by the registrant of expenses incurred or paid by a director, officer or controlling person in the successful defense of any action, suit or proceeding) is asserted against the registrant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25" w:lineRule="exact"/>
        <w:rPr>
          <w:sz w:val="20"/>
          <w:szCs w:val="20"/>
          <w:color w:val="auto"/>
        </w:rPr>
      </w:pPr>
    </w:p>
    <w:p>
      <w:pPr>
        <w:ind w:left="3055"/>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055"/>
          </w:cols>
          <w:pgMar w:left="405" w:top="624" w:right="1440" w:bottom="1440" w:gutter="0" w:footer="0" w:header="0"/>
        </w:sectPr>
      </w:pPr>
    </w:p>
    <w:bookmarkStart w:id="30" w:name="page31"/>
    <w:bookmarkEnd w:id="30"/>
    <w:p>
      <w:pPr>
        <w:ind w:left="19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We have issued our report dated February 5, 1998, accompanying the consolidated financial statements of Federal Realty Investment Trust appearing in the 1998 Annual Report of the Trust to its shareholders and accompanying the schedules included in the Annual Report on Form 10-K for the year ended December 31, 1997 which are incorporated by reference in this Registration Statement. We consent to the incorporation by reference in this Registration Statement and the related Prospectus of the aforementioned reports and to the use of our name as it appears under the caption "Experts."</w:t>
      </w:r>
    </w:p>
    <w:p>
      <w:pPr>
        <w:spacing w:after="0" w:line="15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Grant Thornton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237" w:lineRule="auto"/>
        <w:rPr>
          <w:sz w:val="20"/>
          <w:szCs w:val="20"/>
          <w:color w:val="auto"/>
        </w:rPr>
      </w:pPr>
      <w:r>
        <w:rPr>
          <w:rFonts w:ascii="Courier New" w:cs="Courier New" w:eastAsia="Courier New" w:hAnsi="Courier New"/>
          <w:sz w:val="15"/>
          <w:szCs w:val="15"/>
          <w:color w:val="auto"/>
        </w:rPr>
        <w:t>September 17, 1998</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ACKNOWLEDGEMENT OF INDEPENDENT ACCOUNTANTS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We hereby acknowledge our awareness of the use of our reports dated May 5, 1998 and August 5, 1998 included in the Trust's Quarterly Reports on Form 10-Q for the quarters ended March 31, 1998 and June 30, 1998 incorporated by reference in the Prospectus constituting part of this Registration Statement. Such reports, pursuant to Rule 436(c) under the Securities Act of 1933, are not considered a part of a registration statement prepared or certified by an accountant or reports prepared or certified by an accountant within the meaning of Section 7 and 11 of the Securities Act.</w:t>
      </w:r>
    </w:p>
    <w:p>
      <w:pPr>
        <w:spacing w:after="0" w:line="17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Grant Thornton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237" w:lineRule="auto"/>
        <w:rPr>
          <w:sz w:val="20"/>
          <w:szCs w:val="20"/>
          <w:color w:val="auto"/>
        </w:rPr>
      </w:pPr>
      <w:r>
        <w:rPr>
          <w:rFonts w:ascii="Courier New" w:cs="Courier New" w:eastAsia="Courier New" w:hAnsi="Courier New"/>
          <w:sz w:val="15"/>
          <w:szCs w:val="15"/>
          <w:color w:val="auto"/>
        </w:rPr>
        <w:t>September 17, 1998</w:t>
      </w:r>
    </w:p>
    <w:p>
      <w:pPr>
        <w:spacing w:after="0" w:line="167"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CONSENTS OF COUNSEL</w:t>
      </w:r>
    </w:p>
    <w:p>
      <w:pPr>
        <w:spacing w:after="0" w:line="173"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The consent of Kirkpatrick &amp; Lockhart LLP is contained in its opinion filed as Exhibit 5 to this Registration Statement.</w:t>
      </w:r>
    </w:p>
    <w:p>
      <w:pPr>
        <w:spacing w:after="0" w:line="173"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The consent of Goodwin, Procter &amp; Hoar LLP is contained in its opinion filed as Exhibit 8 to this Registration Statement.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617" w:right="1440" w:bottom="1440" w:gutter="0" w:footer="0" w:header="0"/>
        </w:sectPr>
      </w:pPr>
    </w:p>
    <w:bookmarkStart w:id="31" w:name="page32"/>
    <w:bookmarkEnd w:id="31"/>
    <w:p>
      <w:pPr>
        <w:jc w:val="center"/>
        <w:ind w:right="339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579" w:firstLine="175"/>
        <w:spacing w:after="0" w:line="256"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STATE OF MARYLAND ON THIS 17TH DAY OF SEPTEMBER, 1998.</w:t>
      </w:r>
    </w:p>
    <w:p>
      <w:pPr>
        <w:spacing w:after="0" w:line="157"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 Steven J. Guttman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STEVEN J. GUTTMAN, PRESIDENT</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Steven J. Guttman his true and lawful attorney-in-fact and agent, for him,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interests and purposes as he might or could do in person, hereby ratifying and confirming all that said attorney-in-fact and agent or his substitute or substitutes may lawfully do or cause to be done by virtue hereof.</w:t>
      </w:r>
    </w:p>
    <w:p>
      <w:pPr>
        <w:spacing w:after="0" w:line="173" w:lineRule="exact"/>
        <w:rPr>
          <w:sz w:val="20"/>
          <w:szCs w:val="20"/>
          <w:color w:val="auto"/>
        </w:rPr>
      </w:pPr>
    </w:p>
    <w:p>
      <w:pPr>
        <w:jc w:val="both"/>
        <w:ind w:right="3579" w:firstLine="175"/>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FORM S-3 REGISTRATION STATEMENT HAS BEEN SIGNED BELOW BY THE FOLLOWING PERSONS IN THE CAPACITIES AND ON THE DATE INDICATED.</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SIGNATURES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Steven J. Guttman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STEVEN J. GUTTMAN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Trustee (Chief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17, 1998</w:t>
      </w:r>
    </w:p>
    <w:p>
      <w:pPr>
        <w:spacing w:after="0" w:line="507" w:lineRule="exact"/>
        <w:rPr>
          <w:sz w:val="20"/>
          <w:szCs w:val="20"/>
          <w:color w:val="auto"/>
        </w:rPr>
      </w:pPr>
    </w:p>
    <w:p>
      <w:pPr>
        <w:sectPr>
          <w:pgSz w:w="11900" w:h="16838" w:orient="portrait"/>
          <w:cols w:equalWidth="0" w:num="3">
            <w:col w:w="3420" w:space="0"/>
            <w:col w:w="2780" w:space="720"/>
            <w:col w:w="3319"/>
          </w:cols>
          <w:pgMar w:left="220" w:top="617"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/s/ Donald C. Wood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DONALD C. WOOD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 and Chief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17, 1998</w:t>
      </w:r>
    </w:p>
    <w:p>
      <w:pPr>
        <w:spacing w:after="0" w:line="507" w:lineRule="exact"/>
        <w:rPr>
          <w:sz w:val="20"/>
          <w:szCs w:val="20"/>
          <w:color w:val="auto"/>
        </w:rPr>
      </w:pPr>
    </w:p>
    <w:p>
      <w:pPr>
        <w:sectPr>
          <w:pgSz w:w="11900" w:h="16838" w:orient="portrait"/>
          <w:cols w:equalWidth="0" w:num="3">
            <w:col w:w="3420" w:space="0"/>
            <w:col w:w="2780" w:space="720"/>
            <w:col w:w="3319"/>
          </w:cols>
          <w:pgMar w:left="220" w:top="617"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/s/ Cecily A. Ward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CECILY A. 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 and Controller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17, 1998</w:t>
      </w:r>
    </w:p>
    <w:p>
      <w:pPr>
        <w:spacing w:after="0" w:line="541" w:lineRule="exact"/>
        <w:rPr>
          <w:sz w:val="20"/>
          <w:szCs w:val="20"/>
          <w:color w:val="auto"/>
        </w:rPr>
      </w:pPr>
    </w:p>
    <w:p>
      <w:pPr>
        <w:sectPr>
          <w:pgSz w:w="11900" w:h="16838" w:orient="portrait"/>
          <w:cols w:equalWidth="0" w:num="3">
            <w:col w:w="3420" w:space="0"/>
            <w:col w:w="2800" w:space="700"/>
            <w:col w:w="3319"/>
          </w:cols>
          <w:pgMar w:left="220" w:top="6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617" w:right="1440"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70"/>
        </w:trPr>
        <w:tc>
          <w:tcPr>
            <w:tcW w:w="33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SIGNATURES</w:t>
            </w:r>
          </w:p>
        </w:tc>
        <w:tc>
          <w:tcPr>
            <w:tcW w:w="1560" w:type="dxa"/>
            <w:vAlign w:val="bottom"/>
          </w:tcPr>
          <w:p>
            <w:pPr>
              <w:ind w:left="600"/>
              <w:spacing w:after="0"/>
              <w:rPr>
                <w:sz w:val="20"/>
                <w:szCs w:val="20"/>
                <w:color w:val="auto"/>
              </w:rPr>
            </w:pPr>
            <w:r>
              <w:rPr>
                <w:rFonts w:ascii="Courier New" w:cs="Courier New" w:eastAsia="Courier New" w:hAnsi="Courier New"/>
                <w:sz w:val="15"/>
                <w:szCs w:val="15"/>
                <w:color w:val="auto"/>
              </w:rPr>
              <w:t>TITLE</w:t>
            </w:r>
          </w:p>
        </w:tc>
        <w:tc>
          <w:tcPr>
            <w:tcW w:w="2100" w:type="dxa"/>
            <w:vAlign w:val="bottom"/>
          </w:tcPr>
          <w:p>
            <w:pPr>
              <w:ind w:left="960"/>
              <w:spacing w:after="0"/>
              <w:rPr>
                <w:sz w:val="20"/>
                <w:szCs w:val="20"/>
                <w:color w:val="auto"/>
              </w:rPr>
            </w:pPr>
            <w:r>
              <w:rPr>
                <w:rFonts w:ascii="Courier New" w:cs="Courier New" w:eastAsia="Courier New" w:hAnsi="Courier New"/>
                <w:sz w:val="15"/>
                <w:szCs w:val="15"/>
                <w:color w:val="auto"/>
              </w:rPr>
              <w:t>DATE</w:t>
            </w:r>
          </w:p>
        </w:tc>
      </w:tr>
      <w:tr>
        <w:trPr>
          <w:trHeight w:val="336"/>
        </w:trPr>
        <w:tc>
          <w:tcPr>
            <w:tcW w:w="33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/s/ Dennis L. Berman</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2100" w:type="dxa"/>
            <w:vAlign w:val="bottom"/>
          </w:tcPr>
          <w:p>
            <w:pPr>
              <w:ind w:left="540"/>
              <w:spacing w:after="0"/>
              <w:rPr>
                <w:sz w:val="20"/>
                <w:szCs w:val="20"/>
                <w:color w:val="auto"/>
              </w:rPr>
            </w:pPr>
            <w:r>
              <w:rPr>
                <w:rFonts w:ascii="Courier New" w:cs="Courier New" w:eastAsia="Courier New" w:hAnsi="Courier New"/>
                <w:sz w:val="15"/>
                <w:szCs w:val="15"/>
                <w:color w:val="auto"/>
                <w:w w:val="95"/>
              </w:rPr>
              <w:t>September 17, 1998</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3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DENNIS L. BERMAN</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334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2100" w:type="dxa"/>
            <w:vAlign w:val="bottom"/>
          </w:tcPr>
          <w:p>
            <w:pPr>
              <w:ind w:left="540"/>
              <w:spacing w:after="0"/>
              <w:rPr>
                <w:sz w:val="20"/>
                <w:szCs w:val="20"/>
                <w:color w:val="auto"/>
              </w:rPr>
            </w:pPr>
            <w:r>
              <w:rPr>
                <w:rFonts w:ascii="Courier New" w:cs="Courier New" w:eastAsia="Courier New" w:hAnsi="Courier New"/>
                <w:sz w:val="15"/>
                <w:szCs w:val="15"/>
                <w:color w:val="auto"/>
                <w:w w:val="95"/>
              </w:rPr>
              <w:t>September 17, 1998</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3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KENNETH D. BRODY</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33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/s/ A. Cornet De Ways Ruart</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2100" w:type="dxa"/>
            <w:vAlign w:val="bottom"/>
          </w:tcPr>
          <w:p>
            <w:pPr>
              <w:ind w:left="540"/>
              <w:spacing w:after="0"/>
              <w:rPr>
                <w:sz w:val="20"/>
                <w:szCs w:val="20"/>
                <w:color w:val="auto"/>
              </w:rPr>
            </w:pPr>
            <w:r>
              <w:rPr>
                <w:rFonts w:ascii="Courier New" w:cs="Courier New" w:eastAsia="Courier New" w:hAnsi="Courier New"/>
                <w:sz w:val="15"/>
                <w:szCs w:val="15"/>
                <w:color w:val="auto"/>
                <w:w w:val="95"/>
              </w:rPr>
              <w:t>September 17, 1998</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3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A. CORNET DE WAYS RUART</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334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2100" w:type="dxa"/>
            <w:vAlign w:val="bottom"/>
          </w:tcPr>
          <w:p>
            <w:pPr>
              <w:ind w:left="540"/>
              <w:spacing w:after="0"/>
              <w:rPr>
                <w:sz w:val="20"/>
                <w:szCs w:val="20"/>
                <w:color w:val="auto"/>
              </w:rPr>
            </w:pPr>
            <w:r>
              <w:rPr>
                <w:rFonts w:ascii="Courier New" w:cs="Courier New" w:eastAsia="Courier New" w:hAnsi="Courier New"/>
                <w:sz w:val="15"/>
                <w:szCs w:val="15"/>
                <w:color w:val="auto"/>
                <w:w w:val="95"/>
              </w:rPr>
              <w:t>September 17, 1998</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3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KRISTIN GAMBLE</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33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/s/ Samuel J. Gorlitz</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2100" w:type="dxa"/>
            <w:vAlign w:val="bottom"/>
          </w:tcPr>
          <w:p>
            <w:pPr>
              <w:ind w:left="540"/>
              <w:spacing w:after="0"/>
              <w:rPr>
                <w:sz w:val="20"/>
                <w:szCs w:val="20"/>
                <w:color w:val="auto"/>
              </w:rPr>
            </w:pPr>
            <w:r>
              <w:rPr>
                <w:rFonts w:ascii="Courier New" w:cs="Courier New" w:eastAsia="Courier New" w:hAnsi="Courier New"/>
                <w:sz w:val="15"/>
                <w:szCs w:val="15"/>
                <w:color w:val="auto"/>
                <w:w w:val="95"/>
              </w:rPr>
              <w:t>September 17, 1998</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3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SAMUEL J. GORLITZ</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33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/s/ Walter F. Loeb</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2100" w:type="dxa"/>
            <w:vAlign w:val="bottom"/>
          </w:tcPr>
          <w:p>
            <w:pPr>
              <w:ind w:left="540"/>
              <w:spacing w:after="0"/>
              <w:rPr>
                <w:sz w:val="20"/>
                <w:szCs w:val="20"/>
                <w:color w:val="auto"/>
              </w:rPr>
            </w:pPr>
            <w:r>
              <w:rPr>
                <w:rFonts w:ascii="Courier New" w:cs="Courier New" w:eastAsia="Courier New" w:hAnsi="Courier New"/>
                <w:sz w:val="15"/>
                <w:szCs w:val="15"/>
                <w:color w:val="auto"/>
                <w:w w:val="95"/>
              </w:rPr>
              <w:t>September 17, 1998</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3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WALTER F. LOEB</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33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/s/ Mark S. Ordan</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2100" w:type="dxa"/>
            <w:vAlign w:val="bottom"/>
          </w:tcPr>
          <w:p>
            <w:pPr>
              <w:ind w:left="540"/>
              <w:spacing w:after="0"/>
              <w:rPr>
                <w:sz w:val="20"/>
                <w:szCs w:val="20"/>
                <w:color w:val="auto"/>
              </w:rPr>
            </w:pPr>
            <w:r>
              <w:rPr>
                <w:rFonts w:ascii="Courier New" w:cs="Courier New" w:eastAsia="Courier New" w:hAnsi="Courier New"/>
                <w:sz w:val="15"/>
                <w:szCs w:val="15"/>
                <w:color w:val="auto"/>
                <w:w w:val="95"/>
              </w:rPr>
              <w:t>September 17, 1998</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3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MARK S. ORDAN</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33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/s/ George L. Perry</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2100" w:type="dxa"/>
            <w:vAlign w:val="bottom"/>
          </w:tcPr>
          <w:p>
            <w:pPr>
              <w:ind w:left="540"/>
              <w:spacing w:after="0"/>
              <w:rPr>
                <w:sz w:val="20"/>
                <w:szCs w:val="20"/>
                <w:color w:val="auto"/>
              </w:rPr>
            </w:pPr>
            <w:r>
              <w:rPr>
                <w:rFonts w:ascii="Courier New" w:cs="Courier New" w:eastAsia="Courier New" w:hAnsi="Courier New"/>
                <w:sz w:val="15"/>
                <w:szCs w:val="15"/>
                <w:color w:val="auto"/>
                <w:w w:val="95"/>
              </w:rPr>
              <w:t>September 17, 1998</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3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GEORGE L. PERRY</w:t>
            </w: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334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II-6</w:t>
            </w:r>
          </w:p>
        </w:tc>
        <w:tc>
          <w:tcPr>
            <w:tcW w:w="21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33" w:name="page34"/>
    <w:bookmarkEnd w:id="33"/>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EXHIBIT INDEX</w:t>
            </w:r>
          </w:p>
        </w:tc>
      </w:tr>
      <w:tr>
        <w:trPr>
          <w:trHeight w:val="673"/>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EXHIBIT NO</w:t>
            </w:r>
          </w:p>
        </w:tc>
        <w:tc>
          <w:tcPr>
            <w:tcW w:w="1840" w:type="dxa"/>
            <w:vAlign w:val="bottom"/>
          </w:tcPr>
          <w:p>
            <w:pPr>
              <w:spacing w:after="0"/>
              <w:rPr>
                <w:sz w:val="24"/>
                <w:szCs w:val="24"/>
                <w:color w:val="auto"/>
              </w:rPr>
            </w:pPr>
          </w:p>
        </w:tc>
        <w:tc>
          <w:tcPr>
            <w:tcW w:w="4140" w:type="dxa"/>
            <w:vAlign w:val="bottom"/>
          </w:tcPr>
          <w:p>
            <w:pPr>
              <w:ind w:left="3440"/>
              <w:spacing w:after="0"/>
              <w:rPr>
                <w:sz w:val="20"/>
                <w:szCs w:val="20"/>
                <w:color w:val="auto"/>
              </w:rPr>
            </w:pPr>
            <w:r>
              <w:rPr>
                <w:rFonts w:ascii="Courier New" w:cs="Courier New" w:eastAsia="Courier New" w:hAnsi="Courier New"/>
                <w:sz w:val="15"/>
                <w:szCs w:val="15"/>
                <w:color w:val="auto"/>
                <w:w w:val="94"/>
              </w:rPr>
              <w:t>PAGE NO.</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1840" w:type="dxa"/>
            <w:vAlign w:val="bottom"/>
          </w:tcPr>
          <w:p>
            <w:pPr>
              <w:spacing w:after="0"/>
              <w:rPr>
                <w:sz w:val="14"/>
                <w:szCs w:val="14"/>
                <w:color w:val="auto"/>
              </w:rPr>
            </w:pPr>
          </w:p>
        </w:tc>
        <w:tc>
          <w:tcPr>
            <w:tcW w:w="4140" w:type="dxa"/>
            <w:vAlign w:val="bottom"/>
          </w:tcPr>
          <w:p>
            <w:pPr>
              <w:ind w:left="34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(1)(a)</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w w:val="98"/>
              </w:rPr>
              <w:t>Form of Underwriting</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Agreement for Debt Securities.......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(1)(b)</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Form of Underwriting</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Agreement for Equity Securities.....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(4)(a)</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Indenture for Senior</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 Securities.....................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(4)(b)</w:t>
            </w:r>
          </w:p>
        </w:tc>
        <w:tc>
          <w:tcPr>
            <w:tcW w:w="59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Indenture for Subordinated Debt Securities*..............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(4)(c)</w:t>
            </w:r>
          </w:p>
        </w:tc>
        <w:tc>
          <w:tcPr>
            <w:tcW w:w="59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Form of Senior Debt Security.............................</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(4)(d)</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Form of Subordinated</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 Security*......................</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(4)(e)</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Form of Statement of</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Designation of Preferred Shares*....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(4)(f)</w:t>
            </w:r>
          </w:p>
        </w:tc>
        <w:tc>
          <w:tcPr>
            <w:tcW w:w="59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Form of Preferred Share Certificate*.....................</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59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Opinion regarding legality...............................</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59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Opinion regarding tax matters............................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59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Statement regarding computation of ratios................</w:t>
            </w:r>
          </w:p>
        </w:tc>
      </w:tr>
    </w:tbl>
    <w:p>
      <w:pPr>
        <w:ind w:left="1060" w:hanging="963"/>
        <w:spacing w:after="0" w:line="237" w:lineRule="auto"/>
        <w:tabs>
          <w:tab w:leader="none" w:pos="10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Acknowledgement of Independent Accountants (included on</w:t>
      </w:r>
    </w:p>
    <w:tbl>
      <w:tblPr>
        <w:tblLayout w:type="fixed"/>
        <w:tblInd w:w="100" w:type="dxa"/>
        <w:tblCellMar>
          <w:top w:w="0" w:type="dxa"/>
          <w:left w:w="0" w:type="dxa"/>
          <w:bottom w:w="0" w:type="dxa"/>
          <w:right w:w="0" w:type="dxa"/>
        </w:tblCellMar>
      </w:tblPr>
      <w:tr>
        <w:trPr>
          <w:trHeight w:val="169"/>
        </w:trPr>
        <w:tc>
          <w:tcPr>
            <w:tcW w:w="780" w:type="dxa"/>
            <w:vAlign w:val="bottom"/>
          </w:tcPr>
          <w:p>
            <w:pPr>
              <w:spacing w:after="0"/>
              <w:rPr>
                <w:sz w:val="14"/>
                <w:szCs w:val="14"/>
                <w:color w:val="auto"/>
              </w:rPr>
            </w:pPr>
          </w:p>
        </w:tc>
        <w:tc>
          <w:tcPr>
            <w:tcW w:w="3860" w:type="dxa"/>
            <w:vAlign w:val="bottom"/>
            <w:gridSpan w:val="2"/>
          </w:tcPr>
          <w:p>
            <w:pPr>
              <w:ind w:left="260"/>
              <w:spacing w:after="0" w:line="169" w:lineRule="exact"/>
              <w:rPr>
                <w:sz w:val="20"/>
                <w:szCs w:val="20"/>
                <w:color w:val="auto"/>
              </w:rPr>
            </w:pPr>
            <w:r>
              <w:rPr>
                <w:rFonts w:ascii="Courier New" w:cs="Courier New" w:eastAsia="Courier New" w:hAnsi="Courier New"/>
                <w:sz w:val="15"/>
                <w:szCs w:val="15"/>
                <w:color w:val="auto"/>
                <w:w w:val="71"/>
              </w:rPr>
              <w:t>page II-4)..............................................</w:t>
            </w:r>
          </w:p>
        </w:tc>
        <w:tc>
          <w:tcPr>
            <w:tcW w:w="1300" w:type="dxa"/>
            <w:vAlign w:val="bottom"/>
          </w:tcPr>
          <w:p>
            <w:pPr>
              <w:spacing w:after="0"/>
              <w:rPr>
                <w:sz w:val="14"/>
                <w:szCs w:val="14"/>
                <w:color w:val="auto"/>
              </w:rPr>
            </w:pPr>
          </w:p>
        </w:tc>
      </w:tr>
      <w:tr>
        <w:trPr>
          <w:trHeight w:val="168"/>
        </w:trPr>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(23)(a)</w:t>
            </w:r>
          </w:p>
        </w:tc>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Consents of Independent Accounts</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(included</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on page II-4).</w:t>
            </w:r>
          </w:p>
        </w:tc>
      </w:tr>
      <w:tr>
        <w:trPr>
          <w:trHeight w:val="168"/>
        </w:trPr>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(23)(b)</w:t>
            </w:r>
          </w:p>
        </w:tc>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Consents of Counsel (included in</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opinions)</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(24)</w:t>
            </w:r>
          </w:p>
        </w:tc>
        <w:tc>
          <w:tcPr>
            <w:tcW w:w="51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6"/>
              </w:rPr>
              <w:t>Power of Attorney (included on signature page)...........</w:t>
            </w:r>
          </w:p>
        </w:tc>
      </w:tr>
      <w:tr>
        <w:trPr>
          <w:trHeight w:val="168"/>
        </w:trPr>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(25)(a)</w:t>
            </w:r>
          </w:p>
        </w:tc>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Statement of Eligibility of Trustee (First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Union National</w:t>
            </w:r>
          </w:p>
        </w:tc>
      </w:tr>
      <w:tr>
        <w:trPr>
          <w:trHeight w:val="168"/>
        </w:trPr>
        <w:tc>
          <w:tcPr>
            <w:tcW w:w="780" w:type="dxa"/>
            <w:vAlign w:val="bottom"/>
          </w:tcPr>
          <w:p>
            <w:pPr>
              <w:spacing w:after="0"/>
              <w:rPr>
                <w:sz w:val="14"/>
                <w:szCs w:val="14"/>
                <w:color w:val="auto"/>
              </w:rPr>
            </w:pP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Bank of North Carolina) on Form</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T-1.....................</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right="3499" w:hanging="170"/>
        <w:spacing w:after="0" w:line="234" w:lineRule="auto"/>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part of a Registration Statement on Form S-3 (No. 33-51029) declared effective on December 13, 1993.</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39"/>
          </w:cols>
          <w:pgMar w:left="220" w:top="617" w:right="1440" w:bottom="1440" w:gutter="0" w:footer="0" w:header="0"/>
        </w:sectPr>
      </w:pPr>
    </w:p>
    <w:bookmarkStart w:id="34" w:name="page35"/>
    <w:bookmarkEnd w:id="34"/>
    <w:p>
      <w:pPr>
        <w:jc w:val="right"/>
        <w:ind w:right="3239"/>
        <w:spacing w:after="0"/>
        <w:rPr>
          <w:sz w:val="20"/>
          <w:szCs w:val="20"/>
          <w:color w:val="auto"/>
        </w:rPr>
      </w:pPr>
      <w:r>
        <w:rPr>
          <w:rFonts w:ascii="Courier New" w:cs="Courier New" w:eastAsia="Courier New" w:hAnsi="Courier New"/>
          <w:sz w:val="15"/>
          <w:szCs w:val="15"/>
          <w:color w:val="auto"/>
        </w:rPr>
        <w:t>Exhibit 1(a)</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Debt Securities</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540"/>
        <w:spacing w:after="0" w:line="238" w:lineRule="auto"/>
        <w:rPr>
          <w:sz w:val="20"/>
          <w:szCs w:val="20"/>
          <w:color w:val="auto"/>
        </w:rPr>
      </w:pPr>
      <w:r>
        <w:rPr>
          <w:rFonts w:ascii="Courier New" w:cs="Courier New" w:eastAsia="Courier New" w:hAnsi="Courier New"/>
          <w:sz w:val="15"/>
          <w:szCs w:val="15"/>
          <w:color w:val="auto"/>
        </w:rPr>
        <w:t>Underwriting Agreement</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Underwriter]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From time to time Federal Realty Investment Trust, a business trust organized under the laws of the District of Columbia (the "Company"), proposes to enter into one or more Pricing Agreements (each a "Pricing Agreement") in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debt securities (the "Securities") specified in Schedule II to such Pricing Agreement (with respect to such Pricing Agreement, the "Designated Securities").</w:t>
      </w:r>
    </w:p>
    <w:p>
      <w:pPr>
        <w:spacing w:after="0" w:line="16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terms and rights of any particular issuance of Designated Securities shall be as specified in the Pricing Agreement relating thereto and in or pursuant to the indenture (the "Indenture") identified in such Pricing Agreement.</w:t>
      </w:r>
    </w:p>
    <w:p>
      <w:pPr>
        <w:spacing w:after="0" w:line="175" w:lineRule="exact"/>
        <w:rPr>
          <w:sz w:val="20"/>
          <w:szCs w:val="20"/>
          <w:color w:val="auto"/>
        </w:rPr>
      </w:pPr>
    </w:p>
    <w:p>
      <w:pPr>
        <w:ind w:right="3239" w:firstLine="10"/>
        <w:spacing w:after="0" w:line="237" w:lineRule="auto"/>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Particular sales of Designated Securities may be made from time to time to the Underwriters of such Securities, for whom the firms designated as representatives of the Underwriters of such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w:t>
      </w:r>
    </w:p>
    <w:p>
      <w:pPr>
        <w:sectPr>
          <w:pgSz w:w="11900" w:h="16838" w:orient="portrait"/>
          <w:cols w:equalWidth="0" w:num="1">
            <w:col w:w="10239"/>
          </w:cols>
          <w:pgMar w:left="220" w:top="471" w:right="1440" w:bottom="1440" w:gutter="0" w:footer="0" w:header="0"/>
        </w:sectPr>
      </w:pPr>
    </w:p>
    <w:bookmarkStart w:id="35" w:name="page36"/>
    <w:bookmarkEnd w:id="35"/>
    <w:p>
      <w:pPr>
        <w:ind w:right="3319"/>
        <w:spacing w:after="0" w:line="255" w:lineRule="auto"/>
        <w:rPr>
          <w:sz w:val="20"/>
          <w:szCs w:val="20"/>
          <w:color w:val="auto"/>
        </w:rPr>
      </w:pPr>
      <w:r>
        <w:rPr>
          <w:rFonts w:ascii="Courier New" w:cs="Courier New" w:eastAsia="Courier New" w:hAnsi="Courier New"/>
          <w:sz w:val="14"/>
          <w:szCs w:val="14"/>
          <w:color w:val="auto"/>
        </w:rPr>
        <w:t>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telegraphic communications or any other rapid transmission device designed to produce a written record of communications transmitted. The obligations of the Underwriters under this Agreement and each Pricing Agreement shall be several and not joint.</w:t>
      </w:r>
    </w:p>
    <w:p>
      <w:pPr>
        <w:spacing w:after="0" w:line="164" w:lineRule="exact"/>
        <w:rPr>
          <w:sz w:val="20"/>
          <w:szCs w:val="20"/>
          <w:color w:val="auto"/>
        </w:rPr>
      </w:pPr>
    </w:p>
    <w:p>
      <w:pPr>
        <w:ind w:right="3499" w:firstLine="447"/>
        <w:spacing w:after="0" w:line="234" w:lineRule="auto"/>
        <w:tabs>
          <w:tab w:leader="none" w:pos="7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represents and warrants to, and agrees with, each of the Underwriters that:</w:t>
      </w:r>
    </w:p>
    <w:p>
      <w:pPr>
        <w:spacing w:after="0" w:line="173" w:lineRule="exact"/>
        <w:rPr>
          <w:rFonts w:ascii="Courier New" w:cs="Courier New" w:eastAsia="Courier New" w:hAnsi="Courier New"/>
          <w:sz w:val="15"/>
          <w:szCs w:val="15"/>
          <w:color w:val="auto"/>
        </w:rPr>
      </w:pPr>
    </w:p>
    <w:p>
      <w:pPr>
        <w:ind w:left="800" w:right="3319" w:hanging="3"/>
        <w:spacing w:after="0" w:line="254" w:lineRule="auto"/>
        <w:tabs>
          <w:tab w:leader="none" w:pos="1237"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statements on Form S-3 (File No. 33-63687 and File No. 333-_______) (the "Initial Registration Statements") in respect of the Securities have been filed with the Securities and Exchange Commission (the "Commission"); the Initial Registration Statements and any post-effective amendments thereto, each in the form heretofore delivered or to be delivered to the Representatives and, excluding exhibits to such registration statements, but including all documents incorporated by reference in the prospectuses contained therein, to the Representatives for each of the other Underwriters,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documents with respect to the Initial Registration Statements or documents incorporated by reference therein have heretofore been filed or transmitted for filing with the Commission (other than prospectuses filed pursuant to Rule 424(b) under the Act, each in the form heretofore delivered to the Representatives); and no stop orders suspending the effectiveness of the Initial Registration Statements, any post-effective amendments thereto or the Rule 462(b) Registration Statement, if any, have been issued and no proceedings for that purpose have been initiated or threatened by the Commission (any preliminary prospectus included in the Initial Registration Statements or filed with the Commission pursuant to Rule 424(a) under the Act is hereinafter called a "Preliminary Prospectus"; the various parts of the Initial Registration Statements and the Rule 462(b) Registration Statement, if any, including all exhibits thereto and the documents incorporated by reference in the prospectuses contained in the Initial Registration Statements at the time such part of the registration statements became effective but excluding Form T-1, each as amended at the time such part of the Initial Registration Statements became effective or such part of the Rule 462(b) Registration Statement, if</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36" w:name="page37"/>
    <w:bookmarkEnd w:id="36"/>
    <w:p>
      <w:pPr>
        <w:ind w:left="3" w:right="3239"/>
        <w:spacing w:after="0" w:line="254" w:lineRule="auto"/>
        <w:rPr>
          <w:sz w:val="20"/>
          <w:szCs w:val="20"/>
          <w:color w:val="auto"/>
        </w:rPr>
      </w:pPr>
      <w:r>
        <w:rPr>
          <w:rFonts w:ascii="Courier New" w:cs="Courier New" w:eastAsia="Courier New" w:hAnsi="Courier New"/>
          <w:sz w:val="14"/>
          <w:szCs w:val="14"/>
          <w:color w:val="auto"/>
        </w:rPr>
        <w:t>any, became or hereafter becomes effective, are hereinafter collectively called the "Registration Statement"; the prospectus relating to the Securities, in the form in which it has most recently been filed, or transmitted for filing, with the Commission on or prior to the date of this Agreement, is hereinafter called the "Prospectus"; any reference herein to any Preliminary Prospectus or the Prospectus shall be deemed to refer to and include the documents incorporated by reference therein pursuant to Item 12 of Form S-3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reference to the Prospectus as amended or supplemented shall be deemed to refer to the Prospectus as amended or supplemented in relation to the applicable Designated Securities in the form in which it is filed with the Commission pursuant to Rule 424(b) under the Act in accordance with Section 5(a) hereof, including any documents incorporated by reference therein as of the date of such filing; and if the Company elects to rely on Rule 434 under the Act, any reference to the Prospectus shall be deemed to include, without limitation, the form of prospectus and the abbreviated term sheet, taken together, provided to the Underwriters by the Company in reliance on Rule 434 under the Act (the "Rule 434 Prospectus");</w:t>
      </w:r>
    </w:p>
    <w:p>
      <w:pPr>
        <w:spacing w:after="0" w:line="347" w:lineRule="exact"/>
        <w:rPr>
          <w:sz w:val="20"/>
          <w:szCs w:val="20"/>
          <w:color w:val="auto"/>
        </w:rPr>
      </w:pPr>
    </w:p>
    <w:p>
      <w:pPr>
        <w:ind w:left="3" w:right="3319" w:hanging="3"/>
        <w:spacing w:after="0" w:line="254" w:lineRule="auto"/>
        <w:tabs>
          <w:tab w:leader="none" w:pos="44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in light of the circumstances under which they were made;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w:t>
      </w:r>
    </w:p>
    <w:p>
      <w:pPr>
        <w:spacing w:after="0" w:line="168"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42"/>
          </w:cols>
          <w:pgMar w:left="1017" w:top="624" w:right="1440" w:bottom="1440" w:gutter="0" w:footer="0" w:header="0"/>
        </w:sectPr>
      </w:pPr>
    </w:p>
    <w:bookmarkStart w:id="37" w:name="page38"/>
    <w:bookmarkEnd w:id="37"/>
    <w:p>
      <w:pPr>
        <w:ind w:left="3" w:right="3319"/>
        <w:spacing w:after="0" w:line="256" w:lineRule="auto"/>
        <w:rPr>
          <w:sz w:val="20"/>
          <w:szCs w:val="20"/>
          <w:color w:val="auto"/>
        </w:rPr>
      </w:pPr>
      <w:r>
        <w:rPr>
          <w:rFonts w:ascii="Courier New" w:cs="Courier New" w:eastAsia="Courier New" w:hAnsi="Courier New"/>
          <w:sz w:val="14"/>
          <w:szCs w:val="14"/>
          <w:color w:val="auto"/>
        </w:rPr>
        <w:t>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164" w:lineRule="exact"/>
        <w:rPr>
          <w:sz w:val="20"/>
          <w:szCs w:val="20"/>
          <w:color w:val="auto"/>
        </w:rPr>
      </w:pPr>
    </w:p>
    <w:p>
      <w:pPr>
        <w:ind w:left="3" w:right="3319" w:hanging="3"/>
        <w:spacing w:after="0" w:line="254" w:lineRule="auto"/>
        <w:tabs>
          <w:tab w:leader="none" w:pos="44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and the Prospectus conform, and any further amendments or supplements to the Registration Statement or the Prospectus will conform, in all material respects to the requirements of the Act and the Trust Indenture Act of 1939, as amended (the "Trust Indenture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in light of the circumstances under which they were made;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174" w:lineRule="exact"/>
        <w:rPr>
          <w:rFonts w:ascii="Courier New" w:cs="Courier New" w:eastAsia="Courier New" w:hAnsi="Courier New"/>
          <w:sz w:val="14"/>
          <w:szCs w:val="14"/>
          <w:color w:val="auto"/>
        </w:rPr>
      </w:pPr>
    </w:p>
    <w:p>
      <w:pPr>
        <w:ind w:left="3" w:right="3319" w:hanging="3"/>
        <w:spacing w:after="0" w:line="254" w:lineRule="auto"/>
        <w:tabs>
          <w:tab w:leader="none" w:pos="44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organized and is validly existing as a business trust of unlimited duration with transferable shares of beneficial interest in good standing under the laws of the District of Columbia, with full power and authority to own, lease and operate its properties and conduct its business as described in the Prospectus; the Company has interests in a number of entities (collectively, the "Entities"), identified on Annex III, which have been duly organized and are validly existing as corporations, limited partnerships, general partnerships, limited liability corporations, or joint ventures as the case may be, in good standing under the laws of the jurisdictions of their organization (except for joint ventures, which have no good standing certificate requirements), with full power and authority to own, lease and operate their properties and conduct their businesses as described in the Prospectus; except as otherwise denoted in Annex III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is fully paid and non-assessable and is owned by the Company, except as otherwise denoted in Annex III hereto, free and clear of all pledges, liens, encumbrances, claims, security interests and defects; no options, warrants or other rights to convert any obligations into partnership or other ownership interests in the Entities are outstanding; and the Company and the Entities are duly qualified to transact business in all jurisdictions in which the Company and the Entities are transacting business and in which the conduct of their respective businesses requires</w:t>
      </w:r>
    </w:p>
    <w:p>
      <w:pPr>
        <w:spacing w:after="0" w:line="171"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442"/>
          </w:cols>
          <w:pgMar w:left="1017" w:top="624" w:right="1440" w:bottom="1440" w:gutter="0" w:footer="0" w:header="0"/>
        </w:sectPr>
      </w:pPr>
    </w:p>
    <w:bookmarkStart w:id="38" w:name="page39"/>
    <w:bookmarkEnd w:id="38"/>
    <w:p>
      <w:pPr>
        <w:ind w:left="3" w:right="3399"/>
        <w:spacing w:after="0" w:line="255" w:lineRule="auto"/>
        <w:rPr>
          <w:sz w:val="20"/>
          <w:szCs w:val="20"/>
          <w:color w:val="auto"/>
        </w:rPr>
      </w:pPr>
      <w:r>
        <w:rPr>
          <w:rFonts w:ascii="Courier New" w:cs="Courier New" w:eastAsia="Courier New" w:hAnsi="Courier New"/>
          <w:sz w:val="14"/>
          <w:szCs w:val="14"/>
          <w:color w:val="auto"/>
        </w:rPr>
        <w:t>such qualification, except where the failure to so qualify would not have a material adverse effect on the condition, financial or otherwise, or on the earnings, business affairs or business prospects of the Company and the Entities considered as one enterprise; one of the Company's subsidiaries, FRIT-WM, Inc., has been organized as a Maryland corporation, and has conducted no business since the date of its organization and has no assets as of the date hereof;</w:t>
      </w:r>
    </w:p>
    <w:p>
      <w:pPr>
        <w:spacing w:after="0" w:line="166" w:lineRule="exact"/>
        <w:rPr>
          <w:sz w:val="20"/>
          <w:szCs w:val="20"/>
          <w:color w:val="auto"/>
        </w:rPr>
      </w:pPr>
    </w:p>
    <w:p>
      <w:pPr>
        <w:ind w:left="3" w:right="3319" w:hanging="3"/>
        <w:spacing w:after="0" w:line="237" w:lineRule="auto"/>
        <w:tabs>
          <w:tab w:leader="none" w:pos="44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the Entities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change in the consolidated capital stock (except for issuances of Common Shares pursuant to the Company's employee benefit plans and the Company's Dividend Reinvestment and Share Purchase Plan)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Prospectus;</w:t>
      </w:r>
    </w:p>
    <w:p>
      <w:pPr>
        <w:spacing w:after="0" w:line="175" w:lineRule="exact"/>
        <w:rPr>
          <w:rFonts w:ascii="Courier New" w:cs="Courier New" w:eastAsia="Courier New" w:hAnsi="Courier New"/>
          <w:sz w:val="15"/>
          <w:szCs w:val="15"/>
          <w:color w:val="auto"/>
        </w:rPr>
      </w:pPr>
    </w:p>
    <w:p>
      <w:pPr>
        <w:ind w:left="3" w:right="3319" w:hanging="3"/>
        <w:spacing w:after="0" w:line="255" w:lineRule="auto"/>
        <w:tabs>
          <w:tab w:leader="none" w:pos="44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an authorized capitalization as set forth in the Prospectus, and all of the issued shares of capital stock of the Company have been duly and validly authorized and issued and are fully paid and, except as set forth in the Prospectus under the captions "Description of Common Shares--Shareholder Liability" and "Description of Preferred Shares--Shareholder Liability", non-assessable;</w:t>
      </w:r>
    </w:p>
    <w:p>
      <w:pPr>
        <w:spacing w:after="0" w:line="166" w:lineRule="exact"/>
        <w:rPr>
          <w:rFonts w:ascii="Courier New" w:cs="Courier New" w:eastAsia="Courier New" w:hAnsi="Courier New"/>
          <w:sz w:val="14"/>
          <w:szCs w:val="14"/>
          <w:color w:val="auto"/>
        </w:rPr>
      </w:pPr>
    </w:p>
    <w:p>
      <w:pPr>
        <w:ind w:left="3" w:right="3399" w:hanging="3"/>
        <w:spacing w:after="0" w:line="255" w:lineRule="auto"/>
        <w:tabs>
          <w:tab w:leader="none" w:pos="44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have been duly and validly authorized, and, when Designated Securities are issued and delivered pursuant to this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(as defined in Section 4 hereof),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w:t>
      </w:r>
    </w:p>
    <w:p>
      <w:pPr>
        <w:spacing w:after="0" w:line="157"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42"/>
          </w:cols>
          <w:pgMar w:left="1017" w:top="624" w:right="1440" w:bottom="1440" w:gutter="0" w:footer="0" w:header="0"/>
        </w:sectPr>
      </w:pPr>
    </w:p>
    <w:bookmarkStart w:id="39" w:name="page40"/>
    <w:bookmarkEnd w:id="39"/>
    <w:p>
      <w:pPr>
        <w:ind w:left="3" w:right="3319"/>
        <w:spacing w:after="0" w:line="235" w:lineRule="auto"/>
        <w:rPr>
          <w:sz w:val="20"/>
          <w:szCs w:val="20"/>
          <w:color w:val="auto"/>
        </w:rPr>
      </w:pPr>
      <w:r>
        <w:rPr>
          <w:rFonts w:ascii="Courier New" w:cs="Courier New" w:eastAsia="Courier New" w:hAnsi="Courier New"/>
          <w:sz w:val="15"/>
          <w:szCs w:val="15"/>
          <w:color w:val="auto"/>
        </w:rPr>
        <w:t>Indenture conforms, and the designated Securities will conform, to the descriptions thereof contained in the Prospectus as amended or supplemented with respect to such Designated Securities;</w:t>
      </w:r>
    </w:p>
    <w:p>
      <w:pPr>
        <w:spacing w:after="0" w:line="174" w:lineRule="exact"/>
        <w:rPr>
          <w:sz w:val="20"/>
          <w:szCs w:val="20"/>
          <w:color w:val="auto"/>
        </w:rPr>
      </w:pPr>
    </w:p>
    <w:p>
      <w:pPr>
        <w:ind w:left="3" w:right="3319" w:hanging="3"/>
        <w:spacing w:after="0" w:line="254" w:lineRule="auto"/>
        <w:tabs>
          <w:tab w:leader="none" w:pos="44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 and sale of the Securities and the compliance by the Company with all of the provisions of the Securities, the Indenture, this Agreement and any Pricing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or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or any Pricing Agreement or the Indenture, except such as have been, or will have been prior to the Time of Delivery, obtained under the Act and the Trust Indenture Act and except for the listing of the Designated Securities on the New York Stock Exchange, Inc. ("NYSE") or other stock exchanges and such consents, approvals, authorizations, registrations or qualifications as may be required under state securities or Blue Sky laws in connection with the purchase and distribution of the Securities by the Underwriters;</w:t>
      </w:r>
    </w:p>
    <w:p>
      <w:pPr>
        <w:spacing w:after="0" w:line="177" w:lineRule="exact"/>
        <w:rPr>
          <w:rFonts w:ascii="Courier New" w:cs="Courier New" w:eastAsia="Courier New" w:hAnsi="Courier New"/>
          <w:sz w:val="14"/>
          <w:szCs w:val="14"/>
          <w:color w:val="auto"/>
        </w:rPr>
      </w:pPr>
    </w:p>
    <w:p>
      <w:pPr>
        <w:ind w:left="3" w:right="3319" w:hanging="3"/>
        <w:spacing w:after="0" w:line="236" w:lineRule="auto"/>
        <w:tabs>
          <w:tab w:leader="none" w:pos="44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as set forth in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the Company's knowledge, no such proceedings are threatened or contemplated by governmental authorities or threatened by others;</w:t>
      </w:r>
    </w:p>
    <w:p>
      <w:pPr>
        <w:spacing w:after="0" w:line="172" w:lineRule="exact"/>
        <w:rPr>
          <w:rFonts w:ascii="Courier New" w:cs="Courier New" w:eastAsia="Courier New" w:hAnsi="Courier New"/>
          <w:sz w:val="15"/>
          <w:szCs w:val="15"/>
          <w:color w:val="auto"/>
        </w:rPr>
      </w:pPr>
    </w:p>
    <w:p>
      <w:pPr>
        <w:ind w:left="443" w:hanging="443"/>
        <w:spacing w:after="0"/>
        <w:tabs>
          <w:tab w:leader="none" w:pos="44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of the Company and the</w:t>
      </w:r>
    </w:p>
    <w:p>
      <w:pPr>
        <w:spacing w:after="0" w:line="4" w:lineRule="exact"/>
        <w:rPr>
          <w:rFonts w:ascii="Courier New" w:cs="Courier New" w:eastAsia="Courier New" w:hAnsi="Courier New"/>
          <w:sz w:val="15"/>
          <w:szCs w:val="15"/>
          <w:color w:val="auto"/>
        </w:rPr>
      </w:pPr>
    </w:p>
    <w:p>
      <w:pPr>
        <w:ind w:left="3"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Entities, together with related Designated Securities and schedules as set forth or incorporated by reference in the Registration Statement,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w:t>
      </w:r>
    </w:p>
    <w:p>
      <w:pPr>
        <w:spacing w:after="0" w:line="169"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442"/>
          </w:cols>
          <w:pgMar w:left="1017" w:top="624" w:right="1440" w:bottom="1440" w:gutter="0" w:footer="0" w:header="0"/>
        </w:sectPr>
      </w:pPr>
    </w:p>
    <w:bookmarkStart w:id="40" w:name="page41"/>
    <w:bookmarkEnd w:id="40"/>
    <w:p>
      <w:pPr>
        <w:ind w:left="3" w:right="3319"/>
        <w:spacing w:after="0" w:line="236" w:lineRule="auto"/>
        <w:rPr>
          <w:sz w:val="20"/>
          <w:szCs w:val="20"/>
          <w:color w:val="auto"/>
        </w:rPr>
      </w:pPr>
      <w:r>
        <w:rPr>
          <w:rFonts w:ascii="Courier New" w:cs="Courier New" w:eastAsia="Courier New" w:hAnsi="Courier New"/>
          <w:sz w:val="15"/>
          <w:szCs w:val="15"/>
          <w:color w:val="auto"/>
        </w:rPr>
        <w:t>the periods involved, and all adjustments necessary for a fair presentation of results for such periods have been made. The summary financial and statistical data included in the Prospectus present fairly the information shown therein and have been compiled on a basis consistent with the consolidated financial statements incorporated by reference therein;</w:t>
      </w:r>
    </w:p>
    <w:p>
      <w:pPr>
        <w:spacing w:after="0" w:line="175" w:lineRule="exact"/>
        <w:rPr>
          <w:sz w:val="20"/>
          <w:szCs w:val="20"/>
          <w:color w:val="auto"/>
        </w:rPr>
      </w:pPr>
    </w:p>
    <w:p>
      <w:pPr>
        <w:ind w:left="3" w:right="3319" w:hanging="3"/>
        <w:spacing w:after="0" w:line="236" w:lineRule="auto"/>
        <w:tabs>
          <w:tab w:leader="none" w:pos="44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Entities have good and marketable title to, or valid and enforceable leasehold estates in, all items of real and personal property referred to in the Prospectus as owned or leased by the Company or any of the Entities, in each case free and clear of all pledges, liens, encumbrances, claims, security interests and defects, other than those referred to in the Prospectus or which are not material in amount;</w:t>
      </w:r>
    </w:p>
    <w:p>
      <w:pPr>
        <w:spacing w:after="0" w:line="175" w:lineRule="exact"/>
        <w:rPr>
          <w:rFonts w:ascii="Courier New" w:cs="Courier New" w:eastAsia="Courier New" w:hAnsi="Courier New"/>
          <w:sz w:val="15"/>
          <w:szCs w:val="15"/>
          <w:color w:val="auto"/>
        </w:rPr>
      </w:pPr>
    </w:p>
    <w:p>
      <w:pPr>
        <w:ind w:left="3" w:right="3319" w:hanging="3"/>
        <w:spacing w:after="0" w:line="236" w:lineRule="auto"/>
        <w:tabs>
          <w:tab w:leader="none" w:pos="44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Entities have filed all Federal, State, local and foreign income tax returns which have been required to be filed, or 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174" w:lineRule="exact"/>
        <w:rPr>
          <w:rFonts w:ascii="Courier New" w:cs="Courier New" w:eastAsia="Courier New" w:hAnsi="Courier New"/>
          <w:sz w:val="15"/>
          <w:szCs w:val="15"/>
          <w:color w:val="auto"/>
        </w:rPr>
      </w:pPr>
    </w:p>
    <w:p>
      <w:pPr>
        <w:ind w:left="3" w:right="3399" w:hanging="3"/>
        <w:spacing w:after="0" w:line="236" w:lineRule="auto"/>
        <w:tabs>
          <w:tab w:leader="none" w:pos="44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174" w:lineRule="exact"/>
        <w:rPr>
          <w:rFonts w:ascii="Courier New" w:cs="Courier New" w:eastAsia="Courier New" w:hAnsi="Courier New"/>
          <w:sz w:val="15"/>
          <w:szCs w:val="15"/>
          <w:color w:val="auto"/>
        </w:rPr>
      </w:pPr>
    </w:p>
    <w:p>
      <w:pPr>
        <w:ind w:left="3" w:right="3319" w:hanging="3"/>
        <w:spacing w:after="0" w:line="256" w:lineRule="auto"/>
        <w:tabs>
          <w:tab w:leader="none" w:pos="44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Thornton LLP, who have certified the consolidated financial statements filed with the Commission as part of, or incorporated by reference in, the Registration Statement and Prospectus, are independent public accountants as required by the Act and the rules and regulations of the Commission promulgated thereunder;</w:t>
      </w:r>
    </w:p>
    <w:p>
      <w:pPr>
        <w:spacing w:after="0" w:line="163" w:lineRule="exact"/>
        <w:rPr>
          <w:rFonts w:ascii="Courier New" w:cs="Courier New" w:eastAsia="Courier New" w:hAnsi="Courier New"/>
          <w:sz w:val="14"/>
          <w:szCs w:val="14"/>
          <w:color w:val="auto"/>
        </w:rPr>
      </w:pPr>
    </w:p>
    <w:p>
      <w:pPr>
        <w:ind w:left="3" w:right="3319" w:hanging="3"/>
        <w:spacing w:after="0" w:line="235" w:lineRule="auto"/>
        <w:tabs>
          <w:tab w:leader="none" w:pos="44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conditions for use of registration statements on Form S-3 set forth in the General Instructions on Form S-3 have been satisfied and the Company is entitled to use such form for the transaction contemplated herein;</w:t>
      </w:r>
    </w:p>
    <w:p>
      <w:pPr>
        <w:spacing w:after="0" w:line="175" w:lineRule="exact"/>
        <w:rPr>
          <w:rFonts w:ascii="Courier New" w:cs="Courier New" w:eastAsia="Courier New" w:hAnsi="Courier New"/>
          <w:sz w:val="15"/>
          <w:szCs w:val="15"/>
          <w:color w:val="auto"/>
        </w:rPr>
      </w:pPr>
    </w:p>
    <w:p>
      <w:pPr>
        <w:ind w:left="3" w:right="3319" w:hanging="3"/>
        <w:spacing w:after="0" w:line="255" w:lineRule="auto"/>
        <w:tabs>
          <w:tab w:leader="none" w:pos="353"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the Entities, the Company represents that, as of the date of this Agreement, it has no</w:t>
      </w:r>
    </w:p>
    <w:p>
      <w:pPr>
        <w:spacing w:after="0" w:line="159"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42"/>
          </w:cols>
          <w:pgMar w:left="1017" w:top="624" w:right="1440" w:bottom="1440" w:gutter="0" w:footer="0" w:header="0"/>
        </w:sectPr>
      </w:pPr>
    </w:p>
    <w:bookmarkStart w:id="41" w:name="page42"/>
    <w:bookmarkEnd w:id="41"/>
    <w:p>
      <w:pPr>
        <w:ind w:left="353" w:right="3239"/>
        <w:spacing w:after="0" w:line="236" w:lineRule="auto"/>
        <w:rPr>
          <w:sz w:val="20"/>
          <w:szCs w:val="20"/>
          <w:color w:val="auto"/>
        </w:rPr>
      </w:pPr>
      <w:r>
        <w:rPr>
          <w:rFonts w:ascii="Courier New" w:cs="Courier New" w:eastAsia="Courier New" w:hAnsi="Courier New"/>
          <w:sz w:val="15"/>
          <w:szCs w:val="15"/>
          <w:color w:val="auto"/>
        </w:rPr>
        <w:t>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174" w:lineRule="exact"/>
        <w:rPr>
          <w:sz w:val="20"/>
          <w:szCs w:val="20"/>
          <w:color w:val="auto"/>
        </w:rPr>
      </w:pPr>
    </w:p>
    <w:p>
      <w:pPr>
        <w:ind w:left="353" w:right="3399" w:hanging="3"/>
        <w:spacing w:after="0" w:line="255" w:lineRule="auto"/>
        <w:tabs>
          <w:tab w:leader="none" w:pos="79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165" w:lineRule="exact"/>
        <w:rPr>
          <w:rFonts w:ascii="Courier New" w:cs="Courier New" w:eastAsia="Courier New" w:hAnsi="Courier New"/>
          <w:sz w:val="14"/>
          <w:szCs w:val="14"/>
          <w:color w:val="auto"/>
        </w:rPr>
      </w:pPr>
    </w:p>
    <w:p>
      <w:pPr>
        <w:ind w:left="-447" w:right="3239" w:firstLine="447"/>
        <w:spacing w:after="0" w:line="236" w:lineRule="auto"/>
        <w:tabs>
          <w:tab w:leader="none" w:pos="3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73" w:lineRule="exact"/>
        <w:rPr>
          <w:rFonts w:ascii="Courier New" w:cs="Courier New" w:eastAsia="Courier New" w:hAnsi="Courier New"/>
          <w:sz w:val="15"/>
          <w:szCs w:val="15"/>
          <w:color w:val="auto"/>
        </w:rPr>
      </w:pPr>
    </w:p>
    <w:p>
      <w:pPr>
        <w:ind w:left="-447" w:right="3239" w:firstLine="447"/>
        <w:spacing w:after="0" w:line="255" w:lineRule="auto"/>
        <w:tabs>
          <w:tab w:leader="none" w:pos="3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Securities to be purchased by each Underwriter pursuant to the Pricing Agreement relating thereto, in the form specified in such Pricing Agreement, and in such authorized denominations and registered in such names as the Representatives may request upon at least twenty-four hours' prior notice to the Company, shall be delivered by or on behalf of the Company to the Representatives for the account of such Underwriter, against payment by such Underwriter or on its behalf of the purchase price therefor by certified or official bank check or checks, payable to the order of the Company in the funds specified in such Pricing Agreement,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64" w:lineRule="exact"/>
        <w:rPr>
          <w:rFonts w:ascii="Courier New" w:cs="Courier New" w:eastAsia="Courier New" w:hAnsi="Courier New"/>
          <w:sz w:val="14"/>
          <w:szCs w:val="14"/>
          <w:color w:val="auto"/>
        </w:rPr>
      </w:pPr>
    </w:p>
    <w:p>
      <w:pPr>
        <w:ind w:left="-447" w:right="3679" w:firstLine="447"/>
        <w:spacing w:after="0" w:line="234" w:lineRule="auto"/>
        <w:tabs>
          <w:tab w:leader="none" w:pos="3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with each of the Underwriters of any Designated Securities:</w:t>
      </w:r>
    </w:p>
    <w:p>
      <w:pPr>
        <w:spacing w:after="0" w:line="173" w:lineRule="exact"/>
        <w:rPr>
          <w:rFonts w:ascii="Courier New" w:cs="Courier New" w:eastAsia="Courier New" w:hAnsi="Courier New"/>
          <w:sz w:val="15"/>
          <w:szCs w:val="15"/>
          <w:color w:val="auto"/>
        </w:rPr>
      </w:pPr>
    </w:p>
    <w:p>
      <w:pPr>
        <w:ind w:left="353" w:right="3319" w:hanging="3"/>
        <w:spacing w:after="0" w:line="255" w:lineRule="auto"/>
        <w:tabs>
          <w:tab w:leader="none" w:pos="79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does not elect to rely on Rule 434 under the Act, immediately following execution and delivery of the applicable Pricing Agreement, to prepare the Prospectus as amended and supplemented in relation to the applicable Designated Securities in a form approved by the Representatives and to file such Prospectus pursuant to Rule 424(b) under the Act not later than the Commission's close of business on the business day following the execution and delivery of the Pricing Agreement relating to the applicable Designated Securities or, if applicable, such earlier time as may be required by Rule 424(b), or if the Company elects to rely on Rule 434 under the Act, immediately following execution and delivery of the applicable Pricing Agreement, to prepare an abbreviated</w:t>
      </w:r>
    </w:p>
    <w:p>
      <w:pPr>
        <w:spacing w:after="0" w:line="158"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92"/>
          </w:cols>
          <w:pgMar w:left="667" w:top="624" w:right="1440" w:bottom="1440" w:gutter="0" w:footer="0" w:header="0"/>
        </w:sectPr>
      </w:pPr>
    </w:p>
    <w:bookmarkStart w:id="42" w:name="page43"/>
    <w:bookmarkEnd w:id="42"/>
    <w:p>
      <w:pPr>
        <w:ind w:left="3" w:right="3239"/>
        <w:spacing w:after="0" w:line="254" w:lineRule="auto"/>
        <w:rPr>
          <w:sz w:val="20"/>
          <w:szCs w:val="20"/>
          <w:color w:val="auto"/>
        </w:rPr>
      </w:pPr>
      <w:r>
        <w:rPr>
          <w:rFonts w:ascii="Courier New" w:cs="Courier New" w:eastAsia="Courier New" w:hAnsi="Courier New"/>
          <w:sz w:val="14"/>
          <w:szCs w:val="14"/>
          <w:color w:val="auto"/>
        </w:rPr>
        <w:t>term sheet relating to the Designated Securities in a form approved by the Representatives that complies with the requirements of Rule 434 under the Act and to file such form of Rule 434 Prospectus complying with Rule 434(c)(2) of the Act pursuant to Rule 424(b) under the Act not later than the Commission's close of business on the business day following the execution and delivery of the Pricing Agreement relating to the applicable Designated Securities or, if applicable, such earlier time as may be required by Rule 424(b); to make no further amendment or any supplement to the Registration Statement or Prospectus as amended or supplemented after the date of the Pricing Agreement relating to such Securities and prior to the Time of Delivery for such Securities which shall be reasonably disapproved by the Representatives for such Securities promptly after reasonable notice thereof; to advise the Representatives promptly of any such amendment or supplement after such Time of Delivery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 Securities,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Securities, of the suspension of the qualification of such Securities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Securities or suspending any such qualification, to use promptly its best efforts to obtain its withdrawal;</w:t>
      </w:r>
    </w:p>
    <w:p>
      <w:pPr>
        <w:spacing w:after="0" w:line="348" w:lineRule="exact"/>
        <w:rPr>
          <w:sz w:val="20"/>
          <w:szCs w:val="20"/>
          <w:color w:val="auto"/>
        </w:rPr>
      </w:pPr>
    </w:p>
    <w:p>
      <w:pPr>
        <w:ind w:left="3" w:right="3319" w:hanging="3"/>
        <w:spacing w:after="0" w:line="236" w:lineRule="auto"/>
        <w:tabs>
          <w:tab w:leader="none" w:pos="44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from time to time to take such action as the Representatives may reasonably request to qualify such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Securities, provided that in connection therewith the Company shall not be required to qualify as a foreign corporation or to file a general consent to service of process in any jurisdiction;</w:t>
      </w:r>
    </w:p>
    <w:p>
      <w:pPr>
        <w:spacing w:after="0" w:line="179" w:lineRule="exact"/>
        <w:rPr>
          <w:rFonts w:ascii="Courier New" w:cs="Courier New" w:eastAsia="Courier New" w:hAnsi="Courier New"/>
          <w:sz w:val="15"/>
          <w:szCs w:val="15"/>
          <w:color w:val="auto"/>
        </w:rPr>
      </w:pPr>
    </w:p>
    <w:p>
      <w:pPr>
        <w:ind w:left="3" w:right="3399" w:hanging="3"/>
        <w:spacing w:after="0" w:line="261" w:lineRule="auto"/>
        <w:tabs>
          <w:tab w:leader="none" w:pos="44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10:00 a.m. New York City time, on the New York business day next succeeding the date of the applicable Pricing Agreement and</w:t>
      </w:r>
    </w:p>
    <w:p>
      <w:pPr>
        <w:spacing w:after="0" w:line="153"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442"/>
          </w:cols>
          <w:pgMar w:left="1017" w:top="624" w:right="1440" w:bottom="1440" w:gutter="0" w:footer="0" w:header="0"/>
        </w:sectPr>
      </w:pPr>
    </w:p>
    <w:bookmarkStart w:id="43" w:name="page44"/>
    <w:bookmarkEnd w:id="43"/>
    <w:p>
      <w:pPr>
        <w:ind w:left="3" w:right="3319"/>
        <w:spacing w:after="0" w:line="254" w:lineRule="auto"/>
        <w:rPr>
          <w:sz w:val="20"/>
          <w:szCs w:val="20"/>
          <w:color w:val="auto"/>
        </w:rPr>
      </w:pPr>
      <w:r>
        <w:rPr>
          <w:rFonts w:ascii="Courier New" w:cs="Courier New" w:eastAsia="Courier New" w:hAnsi="Courier New"/>
          <w:sz w:val="14"/>
          <w:szCs w:val="14"/>
          <w:color w:val="auto"/>
        </w:rPr>
        <w:t>from time to time, to furnish the Underwriters with copies of the Prospectus in New York City as amended or supplemented in such quantities as the Representatives may reasonably request, and, if the delivery of a prospectus is required at any time in connection with the offering or sale of the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175" w:lineRule="exact"/>
        <w:rPr>
          <w:sz w:val="20"/>
          <w:szCs w:val="20"/>
          <w:color w:val="auto"/>
        </w:rPr>
      </w:pPr>
    </w:p>
    <w:p>
      <w:pPr>
        <w:ind w:left="3" w:right="3319" w:hanging="3"/>
        <w:spacing w:after="0" w:line="236" w:lineRule="auto"/>
        <w:tabs>
          <w:tab w:leader="none" w:pos="44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generally available to its securityholders as soon as practicable, but in any event not later than eighteen months after the effective date of the Registration Statement (as defined in Rule 158(c)), an earnings statement of the Company (which need not be audited) complying with Section 11(a) of the Act and the rules and regulations of the Commission thereunder (including at the option of the Company Rule 158);</w:t>
      </w:r>
    </w:p>
    <w:p>
      <w:pPr>
        <w:spacing w:after="0" w:line="175" w:lineRule="exact"/>
        <w:rPr>
          <w:rFonts w:ascii="Courier New" w:cs="Courier New" w:eastAsia="Courier New" w:hAnsi="Courier New"/>
          <w:sz w:val="15"/>
          <w:szCs w:val="15"/>
          <w:color w:val="auto"/>
        </w:rPr>
      </w:pPr>
    </w:p>
    <w:p>
      <w:pPr>
        <w:ind w:left="3" w:right="3499" w:hanging="3"/>
        <w:spacing w:after="0" w:line="236" w:lineRule="auto"/>
        <w:tabs>
          <w:tab w:leader="none" w:pos="44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beginning from the date of the Pricing Agreement for such Designated Securities and continuing to and including the earlier of (i) the termination of trading restrictions for such Designated Securities, as notified to the Company by the Representatives and (ii) the Time of Delivery for such Designated Securities, not to offer, sell, contract to sell or otherwise issue any debt securities of the Company which mature more than one year after such Time of Delivery and which are substantially similar to such Designated Securities, without the prior written consent of the Representatives;</w:t>
      </w:r>
    </w:p>
    <w:p>
      <w:pPr>
        <w:spacing w:after="0" w:line="179" w:lineRule="exact"/>
        <w:rPr>
          <w:rFonts w:ascii="Courier New" w:cs="Courier New" w:eastAsia="Courier New" w:hAnsi="Courier New"/>
          <w:sz w:val="15"/>
          <w:szCs w:val="15"/>
          <w:color w:val="auto"/>
        </w:rPr>
      </w:pPr>
    </w:p>
    <w:p>
      <w:pPr>
        <w:ind w:left="3" w:right="3319" w:hanging="3"/>
        <w:spacing w:after="0" w:line="235" w:lineRule="auto"/>
        <w:tabs>
          <w:tab w:leader="none" w:pos="44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the net proceeds received by it from the sale of the Securities in the manner specified in the Prospectus under the caption "Use of Proceeds"; and</w:t>
      </w:r>
    </w:p>
    <w:p>
      <w:pPr>
        <w:spacing w:after="0" w:line="173" w:lineRule="exact"/>
        <w:rPr>
          <w:rFonts w:ascii="Courier New" w:cs="Courier New" w:eastAsia="Courier New" w:hAnsi="Courier New"/>
          <w:sz w:val="15"/>
          <w:szCs w:val="15"/>
          <w:color w:val="auto"/>
        </w:rPr>
      </w:pPr>
    </w:p>
    <w:p>
      <w:pPr>
        <w:jc w:val="both"/>
        <w:ind w:left="3" w:right="3319" w:hanging="3"/>
        <w:spacing w:after="0" w:line="235" w:lineRule="auto"/>
        <w:tabs>
          <w:tab w:leader="none" w:pos="44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to qualify as a "real estate investment trust" under the Code, and to use its best efforts to continue to meet the requirements to qualify as a "real estate investment trust".</w:t>
      </w:r>
    </w:p>
    <w:p>
      <w:pPr>
        <w:spacing w:after="0" w:line="167"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442"/>
          </w:cols>
          <w:pgMar w:left="1017" w:top="624" w:right="1440" w:bottom="1440" w:gutter="0" w:footer="0" w:header="0"/>
        </w:sectPr>
      </w:pPr>
    </w:p>
    <w:bookmarkStart w:id="44" w:name="page45"/>
    <w:bookmarkEnd w:id="44"/>
    <w:p>
      <w:pPr>
        <w:ind w:left="-10" w:right="3239" w:firstLine="447"/>
        <w:spacing w:after="0" w:line="254" w:lineRule="auto"/>
        <w:tabs>
          <w:tab w:leader="none" w:pos="777"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and the Prospectus and amendments and supplements thereto (including each abbreviated term sheet delivered by the Company pursuant to Rule 434 under the Act) and the mailing and delivering of copies thereof to the Underwriters and dealers; (ii) the cost of printing or producing any Agreement among Underwriters, this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5(b)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National Association of Securities Dealers, Inc. of the terms of the sale of the Securities; (vi) the cost of preparing the Securities;</w:t>
      </w:r>
    </w:p>
    <w:p>
      <w:pPr>
        <w:spacing w:after="0" w:line="6" w:lineRule="exact"/>
        <w:rPr>
          <w:rFonts w:ascii="Courier New" w:cs="Courier New" w:eastAsia="Courier New" w:hAnsi="Courier New"/>
          <w:sz w:val="14"/>
          <w:szCs w:val="14"/>
          <w:color w:val="auto"/>
        </w:rPr>
      </w:pPr>
    </w:p>
    <w:p>
      <w:pPr>
        <w:ind w:left="-10" w:right="3239" w:firstLine="10"/>
        <w:spacing w:after="0" w:line="255" w:lineRule="auto"/>
        <w:tabs>
          <w:tab w:leader="none" w:pos="51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fees and expenses of any Trustee and any agent of any Trustee and the fees and disbursements of counsel for any Trustee in connection with any Indenture and the Securities; and (viii) all other costs and expenses incident to the performance of its obligations hereunder which are not otherwise specifically provided for in this Section. It is understood, however, that, except as provided in this Section,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65" w:lineRule="exact"/>
        <w:rPr>
          <w:rFonts w:ascii="Courier New" w:cs="Courier New" w:eastAsia="Courier New" w:hAnsi="Courier New"/>
          <w:sz w:val="14"/>
          <w:szCs w:val="14"/>
          <w:color w:val="auto"/>
        </w:rPr>
      </w:pPr>
    </w:p>
    <w:p>
      <w:pPr>
        <w:ind w:left="-10" w:right="3319" w:firstLine="447"/>
        <w:spacing w:after="0" w:line="236" w:lineRule="auto"/>
        <w:tabs>
          <w:tab w:leader="none" w:pos="777"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in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178" w:lineRule="exact"/>
        <w:rPr>
          <w:rFonts w:ascii="Courier New" w:cs="Courier New" w:eastAsia="Courier New" w:hAnsi="Courier New"/>
          <w:sz w:val="15"/>
          <w:szCs w:val="15"/>
          <w:color w:val="auto"/>
        </w:rPr>
      </w:pPr>
    </w:p>
    <w:p>
      <w:pPr>
        <w:ind w:left="790" w:right="3399" w:hanging="3"/>
        <w:spacing w:after="0" w:line="255" w:lineRule="auto"/>
        <w:tabs>
          <w:tab w:leader="none" w:pos="1228"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Prospectus as amended or supplemented in relation to the applicable Designated Securities shall have been filed with the Commission pursuant to Rule 424(b) within the applicable time period prescribed for such filing by the rules and regulations under the Act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15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624" w:right="1440" w:bottom="1440" w:gutter="0" w:footer="0" w:header="0"/>
        </w:sectPr>
      </w:pPr>
    </w:p>
    <w:bookmarkStart w:id="45" w:name="page46"/>
    <w:bookmarkEnd w:id="45"/>
    <w:p>
      <w:pPr>
        <w:ind w:left="443" w:hanging="443"/>
        <w:spacing w:after="0"/>
        <w:tabs>
          <w:tab w:leader="none" w:pos="44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Brown &amp; Wood LLP, counsel for the Underwriters, shall have</w:t>
      </w:r>
    </w:p>
    <w:p>
      <w:pPr>
        <w:spacing w:after="0" w:line="4" w:lineRule="exact"/>
        <w:rPr>
          <w:rFonts w:ascii="Courier New" w:cs="Courier New" w:eastAsia="Courier New" w:hAnsi="Courier New"/>
          <w:sz w:val="15"/>
          <w:szCs w:val="15"/>
          <w:color w:val="auto"/>
        </w:rPr>
      </w:pPr>
    </w:p>
    <w:p>
      <w:pPr>
        <w:ind w:left="3"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furnished to the Representatives such opinion or opinions, dated the Time of Delivery for such Designated Securities, with respect to the organization of the Company, the validity of the Indenture, the Registration Statement, the Prospectus as amended or supplemented and other related matters as the Underwriters may reasonably request, and such counsel shall have received such papers and information as they may reasonably request to enable them to pass upon such matters;</w:t>
      </w:r>
    </w:p>
    <w:p>
      <w:pPr>
        <w:spacing w:after="0" w:line="166" w:lineRule="exact"/>
        <w:rPr>
          <w:rFonts w:ascii="Courier New" w:cs="Courier New" w:eastAsia="Courier New" w:hAnsi="Courier New"/>
          <w:sz w:val="15"/>
          <w:szCs w:val="15"/>
          <w:color w:val="auto"/>
        </w:rPr>
      </w:pPr>
    </w:p>
    <w:p>
      <w:pPr>
        <w:ind w:left="3" w:right="3319" w:hanging="3"/>
        <w:spacing w:after="0" w:line="235" w:lineRule="auto"/>
        <w:tabs>
          <w:tab w:leader="none" w:pos="44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Kirkpatrick &amp; Lockhart LLP, counsel for the Company, shall have furnished to the Representatives their written opinion, dated the Time of Delivery for such Designated Securities, in form and substance satisfactory to the Representatives, to the effect that:</w:t>
      </w:r>
    </w:p>
    <w:p>
      <w:pPr>
        <w:spacing w:after="0" w:line="175" w:lineRule="exact"/>
        <w:rPr>
          <w:rFonts w:ascii="Courier New" w:cs="Courier New" w:eastAsia="Courier New" w:hAnsi="Courier New"/>
          <w:sz w:val="15"/>
          <w:szCs w:val="15"/>
          <w:color w:val="auto"/>
        </w:rPr>
      </w:pPr>
    </w:p>
    <w:p>
      <w:pPr>
        <w:ind w:left="3" w:right="3319" w:firstLine="434"/>
        <w:spacing w:after="0" w:line="254" w:lineRule="auto"/>
        <w:tabs>
          <w:tab w:leader="none" w:pos="878"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organized and is validly existing as a business trust in good standing under the laws of the District of Columbia, with full power and authority to own its properties and conduct its business as described in the Prospectus; the Entities have been duly organized and are validly existing as corporations, limited partnerships, general partnerships, limited liability corporations, or joint ventures as the case may be, in good standing under the laws of the jurisdictions of their organization (except for joint ventures, which have no good standing certificate requirements); the Entities have power and authority to own their properties and conduct their businesses as described in the Prospectus; to the best of such counsel's knowledge, except as otherwise denoted in Annex III hereto, all of the equity interests in the Entities are owned by the Company and, to the best of such counsel's knowledge, are owned free and clear of all pledges, liens, encumbrances, claims and security interests, and to the best of such counsel's knowledge, no options, warrants or other rights to convert any obligations into partnership or other ownership interests in the Entities are outstanding; all of the issued and outstanding stock of each Entity that is a corporation has been duly authorized and validly issued, is fully paid and non-assessable and is owned by the Company, except as otherwise denoted in Annex III hereto, free and clear of all pledges, liens, encumbrances, claims and security interests; the Company and the Entities are duly qualified to transact business in all jurisdictions in which the Company and the Entities are, to such counsel's knowledge,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 and the conditions for use of a registration statement on Form S-3 have been satisfied; one of the Company's subsidiaries, FRIT-WM, Inc., has been organized as a Maryland corporation, and has conducted no business since the date of its organization and has no assets as of the date hereof;</w:t>
      </w:r>
    </w:p>
    <w:p>
      <w:pPr>
        <w:spacing w:after="0" w:line="174"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442"/>
          </w:cols>
          <w:pgMar w:left="1017" w:top="617" w:right="1440" w:bottom="1440" w:gutter="0" w:footer="0" w:header="0"/>
        </w:sectPr>
      </w:pPr>
    </w:p>
    <w:bookmarkStart w:id="46" w:name="page47"/>
    <w:bookmarkEnd w:id="46"/>
    <w:p>
      <w:pPr>
        <w:ind w:left="-420" w:right="3239" w:firstLine="434"/>
        <w:spacing w:after="0" w:line="236" w:lineRule="auto"/>
        <w:tabs>
          <w:tab w:leader="none" w:pos="54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authorized capitalization as set forth in the Prospectus as amended or supplemented and all of the issued shares of capital stock of the Company have been duly and validly authorized and issued and are fully paid and, except as set forth in the Prospectus under the captions "Description of Common Shares-- Shareholder Liability" and "Description of Preferred Shares-- Shareholder Liability", non-assessable;</w:t>
      </w:r>
    </w:p>
    <w:p>
      <w:pPr>
        <w:spacing w:after="0" w:line="175" w:lineRule="exact"/>
        <w:rPr>
          <w:rFonts w:ascii="Courier New" w:cs="Courier New" w:eastAsia="Courier New" w:hAnsi="Courier New"/>
          <w:sz w:val="15"/>
          <w:szCs w:val="15"/>
          <w:color w:val="auto"/>
        </w:rPr>
      </w:pPr>
    </w:p>
    <w:p>
      <w:pPr>
        <w:ind w:left="-420" w:right="3239" w:firstLine="434"/>
        <w:spacing w:after="0" w:line="236" w:lineRule="auto"/>
        <w:tabs>
          <w:tab w:leader="none" w:pos="6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such counsel's knowledge and other than as set forth in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such counsel's knowledge, no such proceedings are threatened or contemplated by governmental authorities or threatened by others;</w:t>
      </w:r>
    </w:p>
    <w:p>
      <w:pPr>
        <w:spacing w:after="0" w:line="180" w:lineRule="exact"/>
        <w:rPr>
          <w:rFonts w:ascii="Courier New" w:cs="Courier New" w:eastAsia="Courier New" w:hAnsi="Courier New"/>
          <w:sz w:val="15"/>
          <w:szCs w:val="15"/>
          <w:color w:val="auto"/>
        </w:rPr>
      </w:pPr>
    </w:p>
    <w:p>
      <w:pPr>
        <w:ind w:left="-420" w:right="3839" w:firstLine="434"/>
        <w:spacing w:after="0" w:line="234" w:lineRule="auto"/>
        <w:tabs>
          <w:tab w:leader="none" w:pos="54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the Company;</w:t>
      </w:r>
    </w:p>
    <w:p>
      <w:pPr>
        <w:spacing w:after="0" w:line="173" w:lineRule="exact"/>
        <w:rPr>
          <w:rFonts w:ascii="Courier New" w:cs="Courier New" w:eastAsia="Courier New" w:hAnsi="Courier New"/>
          <w:sz w:val="15"/>
          <w:szCs w:val="15"/>
          <w:color w:val="auto"/>
        </w:rPr>
      </w:pPr>
    </w:p>
    <w:p>
      <w:pPr>
        <w:ind w:left="-420" w:right="3319" w:firstLine="434"/>
        <w:spacing w:after="0" w:line="236" w:lineRule="auto"/>
        <w:tabs>
          <w:tab w:leader="none" w:pos="45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Designated Securities have been duly authorized, executed, authenticated, issued and delivered and constitute valid and legally binding obligations of the Company entitled to the benefits provided by the Indenture; and the Designated Securities and the Indenture conform to the descriptions thereof in the Prospectus as amended or supplemented;</w:t>
      </w:r>
    </w:p>
    <w:p>
      <w:pPr>
        <w:spacing w:after="0" w:line="174" w:lineRule="exact"/>
        <w:rPr>
          <w:rFonts w:ascii="Courier New" w:cs="Courier New" w:eastAsia="Courier New" w:hAnsi="Courier New"/>
          <w:sz w:val="15"/>
          <w:szCs w:val="15"/>
          <w:color w:val="auto"/>
        </w:rPr>
      </w:pPr>
    </w:p>
    <w:p>
      <w:pPr>
        <w:ind w:left="-420" w:right="3319" w:firstLine="434"/>
        <w:spacing w:after="0" w:line="255" w:lineRule="auto"/>
        <w:tabs>
          <w:tab w:leader="none" w:pos="54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 has been duly authorized, executed and delivered by the parties thereto and constitutes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has been duly qualified under the Trust Indenture Act;</w:t>
      </w:r>
    </w:p>
    <w:p>
      <w:pPr>
        <w:spacing w:after="0" w:line="166" w:lineRule="exact"/>
        <w:rPr>
          <w:rFonts w:ascii="Courier New" w:cs="Courier New" w:eastAsia="Courier New" w:hAnsi="Courier New"/>
          <w:sz w:val="14"/>
          <w:szCs w:val="14"/>
          <w:color w:val="auto"/>
        </w:rPr>
      </w:pPr>
    </w:p>
    <w:p>
      <w:pPr>
        <w:ind w:left="-420" w:right="3319" w:firstLine="434"/>
        <w:spacing w:after="0" w:line="255" w:lineRule="auto"/>
        <w:tabs>
          <w:tab w:leader="none" w:pos="63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 and sale of the Designated Securities being delivered at such Time of Delivery and the compliance by the Company with all of the provisions of the Designated Securities, the Indenture, this Agreement and the Pricing Agreement with respect to the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known to such counsel to which the Company or any of the Entities is a party or by which the Company or any of the Entities is bound or to which any of the property or assets of the Company or any of the Entities is subject, nor will such actions result in any violation of the provisions of the</w:t>
      </w:r>
    </w:p>
    <w:p>
      <w:pPr>
        <w:spacing w:after="0" w:line="15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624" w:right="1440" w:bottom="1440" w:gutter="0" w:footer="0" w:header="0"/>
        </w:sectPr>
      </w:pPr>
    </w:p>
    <w:bookmarkStart w:id="47" w:name="page48"/>
    <w:bookmarkEnd w:id="47"/>
    <w:p>
      <w:pPr>
        <w:ind w:right="3499"/>
        <w:spacing w:after="0" w:line="256" w:lineRule="auto"/>
        <w:rPr>
          <w:sz w:val="20"/>
          <w:szCs w:val="20"/>
          <w:color w:val="auto"/>
        </w:rPr>
      </w:pPr>
      <w:r>
        <w:rPr>
          <w:rFonts w:ascii="Courier New" w:cs="Courier New" w:eastAsia="Courier New" w:hAnsi="Courier New"/>
          <w:sz w:val="14"/>
          <w:szCs w:val="14"/>
          <w:color w:val="auto"/>
        </w:rPr>
        <w:t>Declaration of Trust or By-laws of the Company or any statute or any order, rule or regulation known to such counsel of any court or governmental agency or body having jurisdiction over the Company or any of the Entities or any of their respective properties;</w:t>
      </w:r>
    </w:p>
    <w:p>
      <w:pPr>
        <w:spacing w:after="0" w:line="164" w:lineRule="exact"/>
        <w:rPr>
          <w:sz w:val="20"/>
          <w:szCs w:val="20"/>
          <w:color w:val="auto"/>
        </w:rPr>
      </w:pPr>
    </w:p>
    <w:p>
      <w:pPr>
        <w:ind w:right="3239" w:firstLine="434"/>
        <w:spacing w:after="0" w:line="237" w:lineRule="auto"/>
        <w:tabs>
          <w:tab w:leader="none" w:pos="113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approval, authorization, order, registration or qualification of or with any court or governmental agency or body is required for the issue and sale of the Designated Securities being delivered at such Time of Delivery or the consummation by the Company of the transactions contemplated by this Agreement or the Pricing Agreement or the Indenture, except such as have been obtained under the Act and the Trust Indenture Act and except for the listing of the Designated Securities on the NYSE, or other stock exchanges and such consents, approvals, authorizations, registrations or qualifications as may be required under state securities or Blue Sky laws in connection with the purchase and distribution of the Designated Securities by the Underwriters;</w:t>
      </w:r>
    </w:p>
    <w:p>
      <w:pPr>
        <w:spacing w:after="0" w:line="173" w:lineRule="exact"/>
        <w:rPr>
          <w:rFonts w:ascii="Courier New" w:cs="Courier New" w:eastAsia="Courier New" w:hAnsi="Courier New"/>
          <w:sz w:val="15"/>
          <w:szCs w:val="15"/>
          <w:color w:val="auto"/>
        </w:rPr>
      </w:pPr>
    </w:p>
    <w:p>
      <w:pPr>
        <w:ind w:right="3319" w:firstLine="434"/>
        <w:spacing w:after="0" w:line="255" w:lineRule="auto"/>
        <w:tabs>
          <w:tab w:leader="none" w:pos="96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under caption "Item 3. Legal Proceedings" in the Company's most recent Form 10-K filed with the Commission, and under the captions "Remuneration of Executive Officers and Trustees" and "Certain Transactions" in the Company's most recent Proxy Statement filed with the Commission, insofar as such statements constitute a summary of documents referred to therein or matters of law, are accurate summaries and fairly and correctly present the information called for with respect to such documents and matters;</w:t>
      </w:r>
    </w:p>
    <w:p>
      <w:pPr>
        <w:spacing w:after="0" w:line="165" w:lineRule="exact"/>
        <w:rPr>
          <w:rFonts w:ascii="Courier New" w:cs="Courier New" w:eastAsia="Courier New" w:hAnsi="Courier New"/>
          <w:sz w:val="14"/>
          <w:szCs w:val="14"/>
          <w:color w:val="auto"/>
        </w:rPr>
      </w:pPr>
    </w:p>
    <w:p>
      <w:pPr>
        <w:ind w:right="3499" w:firstLine="434"/>
        <w:spacing w:after="0" w:line="261" w:lineRule="auto"/>
        <w:tabs>
          <w:tab w:leader="none" w:pos="87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investments of the Company described in the Prospectus are permitted investments under the Declaration of Trust;</w:t>
      </w:r>
    </w:p>
    <w:p>
      <w:pPr>
        <w:spacing w:after="0" w:line="159" w:lineRule="exact"/>
        <w:rPr>
          <w:rFonts w:ascii="Courier New" w:cs="Courier New" w:eastAsia="Courier New" w:hAnsi="Courier New"/>
          <w:sz w:val="14"/>
          <w:szCs w:val="14"/>
          <w:color w:val="auto"/>
        </w:rPr>
      </w:pPr>
    </w:p>
    <w:p>
      <w:pPr>
        <w:ind w:right="3239" w:firstLine="434"/>
        <w:spacing w:after="0" w:line="255" w:lineRule="auto"/>
        <w:tabs>
          <w:tab w:leader="none" w:pos="96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 they have no reason to believe that any of such documents, when they became effective or were so filed, as the case may be, contained, in the case of a registration statement which became effective under the Act, an untrue statement of a material act or omitted to state a material fact required to be stated therein or necessary to make the statements therein not misleading, or, in the case of other documents which were filed under the Act or the Exchange Act with the Commission, an untrue statement of a material fact or omitted to state a material fact necessary in order to make the statements therein, in the light of the circumstances under which they were made when such documents were so filed, not misleading; and</w:t>
      </w:r>
    </w:p>
    <w:p>
      <w:pPr>
        <w:spacing w:after="0" w:line="32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439"/>
          </w:cols>
          <w:pgMar w:left="1020" w:top="624" w:right="1440" w:bottom="1440" w:gutter="0" w:footer="0" w:header="0"/>
        </w:sectPr>
      </w:pPr>
    </w:p>
    <w:bookmarkStart w:id="48" w:name="page49"/>
    <w:bookmarkEnd w:id="48"/>
    <w:p>
      <w:pPr>
        <w:ind w:left="3" w:right="3239" w:firstLine="434"/>
        <w:spacing w:after="0" w:line="254" w:lineRule="auto"/>
        <w:tabs>
          <w:tab w:leader="none" w:pos="105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and the Prospectus as amended or supplemented and any further amendments and supplements thereto made by the Company prior to the Time of Delivery for the Designated Securities (other than the financial statements and related schedules therein, as to which such counsel need express no opinion) comply as to form in all material respects with the requirements of the Act and the Trust Indenture Act and the rules and regulations thereunder; if applicable, the Rule 434 Prospectus complies as to form in all material respects with the requirements of Rule 434 under the Act; they have no reason to believe that, as of its effective date, the Registration Statement or any further amendment thereto made by the Company prior to the Time of Delivery (other than the financial statements and related schedules therein, as to which such counsel need express no opinion) contained an untrue statement of a material fact or omitted to state a material fact required to be stated therein or necessary to make the statements therein not misleading or that, as of its date, the Prospectus as amended or supplemented or any further amendment or supplement thereto made by the Company prior to the Time of Delivery (other than the financial statements and related schedules therein, as to which such counsel need express no opinion) contained an untrue statement of a material fact or omitted to state a material fact necessary to make the statements therein, in light of the circumstances in which they were made, not misleading or that, as of the Time of Delivery, either the Registration Statement or the Prospectus as amended or supplemented or any further amendment or supplement thereto made by the Company prior to the Time of Delivery (other than the financial statements and related schedules therein, as to which such counsel need express no opinion) contains an untrue statement of a material fact or omits to state a material fact necessary to make the statements therein, in light of the circumstances in which they were made, not misleading; and they do not know of any amendment to the Registration Statement required to be filed or any contracts or other documents of a character required to be filed as an exhibit to the Registration Statement or required to be incorporated by reference into the Prospectus as amended or supplemented or required to be described in the Registration Statement or the Prospectus as amended or supplemented which are not filed or incorporated by reference or described as required.</w:t>
      </w:r>
    </w:p>
    <w:p>
      <w:pPr>
        <w:spacing w:after="0" w:line="349" w:lineRule="exact"/>
        <w:rPr>
          <w:sz w:val="20"/>
          <w:szCs w:val="20"/>
          <w:color w:val="auto"/>
        </w:rPr>
      </w:pPr>
    </w:p>
    <w:p>
      <w:pPr>
        <w:ind w:left="3" w:right="3319"/>
        <w:spacing w:after="0" w:line="236" w:lineRule="auto"/>
        <w:rPr>
          <w:sz w:val="20"/>
          <w:szCs w:val="20"/>
          <w:color w:val="auto"/>
        </w:rPr>
      </w:pPr>
      <w:r>
        <w:rPr>
          <w:rFonts w:ascii="Courier New" w:cs="Courier New" w:eastAsia="Courier New" w:hAnsi="Courier New"/>
          <w:sz w:val="15"/>
          <w:szCs w:val="15"/>
          <w:color w:val="auto"/>
        </w:rPr>
        <w:t>In delivering such opinion, counsel shall be entitled to rely in respect of the opinion in this clause upon opinions of local counsel and in respect of certain matters of fact upon certificates of officers of the Company, provided that such counsel shall state that they believe that both you and they are justified in relying upon such opinions and certificates.</w:t>
      </w:r>
    </w:p>
    <w:p>
      <w:pPr>
        <w:spacing w:after="0" w:line="175" w:lineRule="exact"/>
        <w:rPr>
          <w:sz w:val="20"/>
          <w:szCs w:val="20"/>
          <w:color w:val="auto"/>
        </w:rPr>
      </w:pPr>
    </w:p>
    <w:p>
      <w:pPr>
        <w:ind w:left="3" w:right="3319" w:hanging="3"/>
        <w:spacing w:after="0" w:line="236" w:lineRule="auto"/>
        <w:tabs>
          <w:tab w:leader="none" w:pos="44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above opinion, the Underwriters shall have received the opinion or opinions of Goodwin, Procter &amp; Hoar LLP, Special Tax Counsel to the Company, or other counsel to the Company, dated the Time of Delivery for such Designated Securities, in form and substance</w:t>
      </w:r>
    </w:p>
    <w:p>
      <w:pPr>
        <w:spacing w:after="0" w:line="167"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442"/>
          </w:cols>
          <w:pgMar w:left="1017" w:top="624" w:right="1440" w:bottom="1440" w:gutter="0" w:footer="0" w:header="0"/>
        </w:sectPr>
      </w:pPr>
    </w:p>
    <w:bookmarkStart w:id="49" w:name="page50"/>
    <w:bookmarkEnd w:id="49"/>
    <w:p>
      <w:pPr>
        <w:ind w:left="3" w:right="3239"/>
        <w:spacing w:after="0" w:line="255" w:lineRule="auto"/>
        <w:rPr>
          <w:sz w:val="20"/>
          <w:szCs w:val="20"/>
          <w:color w:val="auto"/>
        </w:rPr>
      </w:pPr>
      <w:r>
        <w:rPr>
          <w:rFonts w:ascii="Courier New" w:cs="Courier New" w:eastAsia="Courier New" w:hAnsi="Courier New"/>
          <w:sz w:val="14"/>
          <w:szCs w:val="14"/>
          <w:color w:val="auto"/>
        </w:rPr>
        <w:t>satisfactory to the Underwriters, to the effect that (1) the Company has qualified to be taxed as a real estate investment trust pursuant to Sections 856-860 of the Code, for the fiscal years ended December 31, 1987 through the date of its most recent fiscal year ended and that the form of organization of the Company and its current operations, assets and contemplated income are such that the Company is in a position under present law to so qualify for the current taxable year and should so qualify for such taxable year provided that the Company continues to meet the asset composition, source of income, shareholder diversification, distribution and other requirements of the Code necessary for the Company to qualify as a real estate investment trust and (2) such Special Tax Counsel concurs with the accuracy of the legal statements set forth in "Description of Common Shares--Restriction on Ownership" and "Federal Income Tax Considerations" in the Prospectus.</w:t>
      </w:r>
    </w:p>
    <w:p>
      <w:pPr>
        <w:spacing w:after="0" w:line="164" w:lineRule="exact"/>
        <w:rPr>
          <w:sz w:val="20"/>
          <w:szCs w:val="20"/>
          <w:color w:val="auto"/>
        </w:rPr>
      </w:pPr>
    </w:p>
    <w:p>
      <w:pPr>
        <w:ind w:left="3" w:right="3319" w:hanging="3"/>
        <w:spacing w:after="0" w:line="255" w:lineRule="auto"/>
        <w:tabs>
          <w:tab w:leader="none" w:pos="44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of the Pricing Agreement for such Designated Securities and at the Time of Delivery for such Designated Securities, the independent accountants of the Company who have certified the financial statements of the Company included or incorporated by reference in the Registration Statement shall have furnished to the Representatives a letter, dated the effective date of the Registration Statement or the date of the most recent report filed with the Commission containing financial statements and incorporated by reference in the Registration Statement, if the date of such report is later than such effective date, and a letter dated such Time of Delivery, respectively, to the effect set forth in Annex II hereto, and with respect to such letter dated such Time of Delivery, as to such other matters as the Representatives may reasonably request and in form and substance satisfactory to the Representatives;</w:t>
      </w:r>
    </w:p>
    <w:p>
      <w:pPr>
        <w:spacing w:after="0" w:line="163" w:lineRule="exact"/>
        <w:rPr>
          <w:rFonts w:ascii="Courier New" w:cs="Courier New" w:eastAsia="Courier New" w:hAnsi="Courier New"/>
          <w:sz w:val="14"/>
          <w:szCs w:val="14"/>
          <w:color w:val="auto"/>
        </w:rPr>
      </w:pPr>
    </w:p>
    <w:p>
      <w:pPr>
        <w:ind w:left="3" w:right="3319" w:hanging="3"/>
        <w:spacing w:after="0" w:line="254" w:lineRule="auto"/>
        <w:tabs>
          <w:tab w:leader="none" w:pos="44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as amended or supplemented there shall not have been any change in the capital stock or long-term debt of the Company or any of the Entities or any change, or any development involving a prospective change, in or affecting the general affairs, management, financial position, shareholders' equity or results of operations of the Company and the Entities, otherwise than as set forth or contemplated in the Prospectus as amended or supplemented, the effect of which, in any such case described in Clause (i) or (ii), is in the judgment of the Representatives so material and adverse as to make it impracticable or inadvisable to proceed with the public offering or the delivery of the Designated Securities on the terms</w:t>
      </w:r>
    </w:p>
    <w:p>
      <w:pPr>
        <w:spacing w:after="0" w:line="337"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442"/>
          </w:cols>
          <w:pgMar w:left="1017" w:top="624" w:right="1440" w:bottom="1440" w:gutter="0" w:footer="0" w:header="0"/>
        </w:sectPr>
      </w:pPr>
    </w:p>
    <w:bookmarkStart w:id="50" w:name="page51"/>
    <w:bookmarkEnd w:id="50"/>
    <w:p>
      <w:pPr>
        <w:ind w:left="353" w:right="4019"/>
        <w:spacing w:after="0" w:line="234" w:lineRule="auto"/>
        <w:rPr>
          <w:sz w:val="20"/>
          <w:szCs w:val="20"/>
          <w:color w:val="auto"/>
        </w:rPr>
      </w:pPr>
      <w:r>
        <w:rPr>
          <w:rFonts w:ascii="Courier New" w:cs="Courier New" w:eastAsia="Courier New" w:hAnsi="Courier New"/>
          <w:sz w:val="15"/>
          <w:szCs w:val="15"/>
          <w:color w:val="auto"/>
        </w:rPr>
        <w:t>and in the manner contemplated in the Prospectus as amended or supplemented;</w:t>
      </w:r>
    </w:p>
    <w:p>
      <w:pPr>
        <w:spacing w:after="0" w:line="173" w:lineRule="exact"/>
        <w:rPr>
          <w:sz w:val="20"/>
          <w:szCs w:val="20"/>
          <w:color w:val="auto"/>
        </w:rPr>
      </w:pPr>
    </w:p>
    <w:p>
      <w:pPr>
        <w:ind w:left="353" w:right="3319" w:hanging="3"/>
        <w:spacing w:after="0" w:line="236" w:lineRule="auto"/>
        <w:tabs>
          <w:tab w:leader="none" w:pos="79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shares;</w:t>
      </w:r>
    </w:p>
    <w:p>
      <w:pPr>
        <w:spacing w:after="0" w:line="178" w:lineRule="exact"/>
        <w:rPr>
          <w:rFonts w:ascii="Courier New" w:cs="Courier New" w:eastAsia="Courier New" w:hAnsi="Courier New"/>
          <w:sz w:val="15"/>
          <w:szCs w:val="15"/>
          <w:color w:val="auto"/>
        </w:rPr>
      </w:pPr>
    </w:p>
    <w:p>
      <w:pPr>
        <w:ind w:left="353" w:right="3319" w:hanging="3"/>
        <w:spacing w:after="0" w:line="237" w:lineRule="auto"/>
        <w:tabs>
          <w:tab w:leader="none" w:pos="79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(iv) the outbreak or escalation of hostilities involving the United States or the declaration by the United States of a national emergency or war if the effect of any such event specified in this Clause (iv) in the judgment of the Representatives makes it impracticable or inadvisable to proceed with the public offering or the delivery of the Designated Securities on the terms and in the manner contemplated in the Prospectus as amended or supplemented;</w:t>
      </w:r>
    </w:p>
    <w:p>
      <w:pPr>
        <w:spacing w:after="0" w:line="167" w:lineRule="exact"/>
        <w:rPr>
          <w:rFonts w:ascii="Courier New" w:cs="Courier New" w:eastAsia="Courier New" w:hAnsi="Courier New"/>
          <w:sz w:val="15"/>
          <w:szCs w:val="15"/>
          <w:color w:val="auto"/>
        </w:rPr>
      </w:pPr>
    </w:p>
    <w:p>
      <w:pPr>
        <w:ind w:left="793" w:hanging="443"/>
        <w:spacing w:after="0"/>
        <w:tabs>
          <w:tab w:leader="none" w:pos="793"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complied with the provisions of Section</w:t>
      </w:r>
    </w:p>
    <w:p>
      <w:pPr>
        <w:spacing w:after="0" w:line="4" w:lineRule="exact"/>
        <w:rPr>
          <w:rFonts w:ascii="Courier New" w:cs="Courier New" w:eastAsia="Courier New" w:hAnsi="Courier New"/>
          <w:sz w:val="15"/>
          <w:szCs w:val="15"/>
          <w:color w:val="auto"/>
        </w:rPr>
      </w:pPr>
    </w:p>
    <w:p>
      <w:pPr>
        <w:ind w:left="353"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5(c) hereof with respect to the furnishing of prospectuses on the New York business day next succeeding the date of the applicable Pricing Agreement; and</w:t>
      </w:r>
    </w:p>
    <w:p>
      <w:pPr>
        <w:spacing w:after="0" w:line="173" w:lineRule="exact"/>
        <w:rPr>
          <w:rFonts w:ascii="Courier New" w:cs="Courier New" w:eastAsia="Courier New" w:hAnsi="Courier New"/>
          <w:sz w:val="15"/>
          <w:szCs w:val="15"/>
          <w:color w:val="auto"/>
        </w:rPr>
      </w:pPr>
    </w:p>
    <w:p>
      <w:pPr>
        <w:ind w:left="353" w:right="3319" w:hanging="3"/>
        <w:spacing w:after="0" w:line="236" w:lineRule="auto"/>
        <w:tabs>
          <w:tab w:leader="none" w:pos="79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furnished or caused to be furnished to the Representatives at the Time of Delivery for the Designated Securities a certificate or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the Representatives may reasonably request.</w:t>
      </w:r>
    </w:p>
    <w:p>
      <w:pPr>
        <w:spacing w:after="0" w:line="179" w:lineRule="exact"/>
        <w:rPr>
          <w:rFonts w:ascii="Courier New" w:cs="Courier New" w:eastAsia="Courier New" w:hAnsi="Courier New"/>
          <w:sz w:val="15"/>
          <w:szCs w:val="15"/>
          <w:color w:val="auto"/>
        </w:rPr>
      </w:pPr>
    </w:p>
    <w:p>
      <w:pPr>
        <w:ind w:left="353" w:right="3399" w:hanging="353"/>
        <w:spacing w:after="0" w:line="236" w:lineRule="auto"/>
        <w:tabs>
          <w:tab w:leader="none" w:pos="35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w:t>
      </w:r>
    </w:p>
    <w:p>
      <w:pPr>
        <w:spacing w:after="0" w:line="169"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92"/>
          </w:cols>
          <w:pgMar w:left="667" w:top="624" w:right="1440" w:bottom="1440" w:gutter="0" w:footer="0" w:header="0"/>
        </w:sectPr>
      </w:pPr>
    </w:p>
    <w:bookmarkStart w:id="51" w:name="page52"/>
    <w:bookmarkEnd w:id="51"/>
    <w:p>
      <w:pPr>
        <w:ind w:left="3" w:right="3239"/>
        <w:spacing w:after="0" w:line="254" w:lineRule="auto"/>
        <w:rPr>
          <w:sz w:val="20"/>
          <w:szCs w:val="20"/>
          <w:color w:val="auto"/>
        </w:rPr>
      </w:pPr>
      <w:r>
        <w:rPr>
          <w:rFonts w:ascii="Courier New" w:cs="Courier New" w:eastAsia="Courier New" w:hAnsi="Courier New"/>
          <w:sz w:val="14"/>
          <w:szCs w:val="14"/>
          <w:color w:val="auto"/>
        </w:rPr>
        <w:t>preliminary prospectus supplement, the Registration Statement, the Prospectus as amended or supplemented and any other prospectus relating to the Securities,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any Underwriter expressly for use in the Prospectus as amended or supplemented relating to such Securities.</w:t>
      </w:r>
    </w:p>
    <w:p>
      <w:pPr>
        <w:spacing w:after="0" w:line="343" w:lineRule="exact"/>
        <w:rPr>
          <w:sz w:val="20"/>
          <w:szCs w:val="20"/>
          <w:color w:val="auto"/>
        </w:rPr>
      </w:pPr>
    </w:p>
    <w:p>
      <w:pPr>
        <w:ind w:left="3" w:right="3319" w:hanging="3"/>
        <w:spacing w:after="0" w:line="254" w:lineRule="auto"/>
        <w:tabs>
          <w:tab w:leader="none" w:pos="44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such Underwriter expressly for use therein; and will reimburse the Company for any legal or other expenses reasonably incurred by the Company in connection with investigating or defending any such action or claim as such expenses are incurred.</w:t>
      </w:r>
    </w:p>
    <w:p>
      <w:pPr>
        <w:spacing w:after="0" w:line="338"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442"/>
          </w:cols>
          <w:pgMar w:left="1017" w:top="624" w:right="1440" w:bottom="1440" w:gutter="0" w:footer="0" w:header="0"/>
        </w:sectPr>
      </w:pPr>
    </w:p>
    <w:bookmarkStart w:id="52" w:name="page53"/>
    <w:bookmarkEnd w:id="52"/>
    <w:p>
      <w:pPr>
        <w:ind w:left="443" w:hanging="443"/>
        <w:spacing w:after="0"/>
        <w:tabs>
          <w:tab w:leader="none" w:pos="44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receipt by an indemnified party under subsection</w:t>
      </w:r>
    </w:p>
    <w:p>
      <w:pPr>
        <w:spacing w:after="0" w:line="4" w:lineRule="exact"/>
        <w:rPr>
          <w:rFonts w:ascii="Courier New" w:cs="Courier New" w:eastAsia="Courier New" w:hAnsi="Courier New"/>
          <w:sz w:val="15"/>
          <w:szCs w:val="15"/>
          <w:color w:val="auto"/>
        </w:rPr>
      </w:pPr>
    </w:p>
    <w:p>
      <w:pPr>
        <w:ind w:left="3" w:right="3319" w:hanging="3"/>
        <w:spacing w:after="0" w:line="254" w:lineRule="auto"/>
        <w:tabs>
          <w:tab w:leader="none" w:pos="353"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w:t>
      </w:r>
    </w:p>
    <w:p>
      <w:pPr>
        <w:spacing w:after="0" w:line="175" w:lineRule="exact"/>
        <w:rPr>
          <w:rFonts w:ascii="Courier New" w:cs="Courier New" w:eastAsia="Courier New" w:hAnsi="Courier New"/>
          <w:sz w:val="14"/>
          <w:szCs w:val="14"/>
          <w:color w:val="auto"/>
        </w:rPr>
      </w:pPr>
    </w:p>
    <w:p>
      <w:pPr>
        <w:ind w:left="3" w:right="3319" w:hanging="3"/>
        <w:spacing w:after="0" w:line="254" w:lineRule="auto"/>
        <w:tabs>
          <w:tab w:leader="none" w:pos="44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each Underwriter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each Underwriter on the other in connection with the statements or omissions which resulted in such losses, claims, damages or liabilities (or actions in respect thereof), as well as any other relevant equitable considerations. The relative benefits received by the Company on the one hand and each Underwriter shall be deemed to be in the same proportion as the total net proceeds from such offering (before deducting expenses) received by the Company and the total discounts and commissions received by each Underwriter in respect thereof bear to the aggregate offering price of such Designated Securities. The relative fault shall be</w:t>
      </w:r>
    </w:p>
    <w:p>
      <w:pPr>
        <w:spacing w:after="0" w:line="171"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442"/>
          </w:cols>
          <w:pgMar w:left="1017" w:top="617" w:right="1440" w:bottom="1440" w:gutter="0" w:footer="0" w:header="0"/>
        </w:sectPr>
      </w:pPr>
    </w:p>
    <w:bookmarkStart w:id="53" w:name="page54"/>
    <w:bookmarkEnd w:id="53"/>
    <w:p>
      <w:pPr>
        <w:ind w:left="353" w:right="3319"/>
        <w:spacing w:after="0" w:line="254" w:lineRule="auto"/>
        <w:rPr>
          <w:sz w:val="20"/>
          <w:szCs w:val="20"/>
          <w:color w:val="auto"/>
        </w:rPr>
      </w:pPr>
      <w:r>
        <w:rPr>
          <w:rFonts w:ascii="Courier New" w:cs="Courier New" w:eastAsia="Courier New" w:hAnsi="Courier New"/>
          <w:sz w:val="14"/>
          <w:szCs w:val="14"/>
          <w:color w:val="auto"/>
        </w:rPr>
        <w:t>determined by reference to, among other things, whether the untrue or alleged untrue statement of a material fact or the omission or alleged omission to state a material fact relates to information supplied by the Company on the one hand or such Underwriter on the other and the parties' relative intent, knowledge, access to information and opportunity to correct or prevent such statement or omission. The Company and the Underwriter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79" w:lineRule="exact"/>
        <w:rPr>
          <w:sz w:val="20"/>
          <w:szCs w:val="20"/>
          <w:color w:val="auto"/>
        </w:rPr>
      </w:pPr>
    </w:p>
    <w:p>
      <w:pPr>
        <w:ind w:left="353" w:right="3319" w:hanging="3"/>
        <w:spacing w:after="0" w:line="255" w:lineRule="auto"/>
        <w:tabs>
          <w:tab w:leader="none" w:pos="79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trustee of the Company and to each person, if any, who controls the Company within the meaning of the Act.</w:t>
      </w:r>
    </w:p>
    <w:p>
      <w:pPr>
        <w:spacing w:after="0" w:line="165" w:lineRule="exact"/>
        <w:rPr>
          <w:rFonts w:ascii="Courier New" w:cs="Courier New" w:eastAsia="Courier New" w:hAnsi="Courier New"/>
          <w:sz w:val="14"/>
          <w:szCs w:val="14"/>
          <w:color w:val="auto"/>
        </w:rPr>
      </w:pPr>
    </w:p>
    <w:p>
      <w:pPr>
        <w:ind w:left="353" w:right="3399" w:hanging="353"/>
        <w:spacing w:after="0" w:line="236" w:lineRule="auto"/>
        <w:tabs>
          <w:tab w:leader="none" w:pos="353"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If any Underwriter shall default in its obligation to purchase the Designated Securities which it has agreed to purchase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w:t>
      </w:r>
    </w:p>
    <w:p>
      <w:pPr>
        <w:spacing w:after="0" w:line="171"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792"/>
          </w:cols>
          <w:pgMar w:left="667" w:top="624" w:right="1440" w:bottom="1440" w:gutter="0" w:footer="0" w:header="0"/>
        </w:sectPr>
      </w:pPr>
    </w:p>
    <w:bookmarkStart w:id="54" w:name="page55"/>
    <w:bookmarkEnd w:id="54"/>
    <w:p>
      <w:pPr>
        <w:ind w:right="3239"/>
        <w:spacing w:after="0" w:line="237" w:lineRule="auto"/>
        <w:rPr>
          <w:sz w:val="20"/>
          <w:szCs w:val="20"/>
          <w:color w:val="auto"/>
        </w:rPr>
      </w:pPr>
      <w:r>
        <w:rPr>
          <w:rFonts w:ascii="Courier New" w:cs="Courier New" w:eastAsia="Courier New" w:hAnsi="Courier New"/>
          <w:sz w:val="15"/>
          <w:szCs w:val="15"/>
          <w:color w:val="auto"/>
        </w:rPr>
        <w:t>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Securities.</w:t>
      </w:r>
    </w:p>
    <w:p>
      <w:pPr>
        <w:spacing w:after="0" w:line="176" w:lineRule="exact"/>
        <w:rPr>
          <w:sz w:val="20"/>
          <w:szCs w:val="20"/>
          <w:color w:val="auto"/>
        </w:rPr>
      </w:pPr>
    </w:p>
    <w:p>
      <w:pPr>
        <w:ind w:right="3239" w:firstLine="4"/>
        <w:spacing w:after="0" w:line="255" w:lineRule="auto"/>
        <w:tabs>
          <w:tab w:leader="none" w:pos="437"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then the Company shall have the right to require each non-defaulting Underwriter to purchase the principal amount of Designated Securities which such Underwriter agreed to purchase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331" w:lineRule="exact"/>
        <w:rPr>
          <w:rFonts w:ascii="Courier New" w:cs="Courier New" w:eastAsia="Courier New" w:hAnsi="Courier New"/>
          <w:sz w:val="14"/>
          <w:szCs w:val="14"/>
          <w:color w:val="auto"/>
        </w:rPr>
      </w:pPr>
    </w:p>
    <w:p>
      <w:pPr>
        <w:ind w:right="3239" w:firstLine="4"/>
        <w:spacing w:after="0" w:line="255" w:lineRule="auto"/>
        <w:tabs>
          <w:tab w:leader="none" w:pos="437"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as referred to in subsection (b) above, or if the Company shall not exercise the right described in subsection (b) above to require non-defaulting Underwriters to purchase Designated Securities of a defaulting Underwriter or Underwriters, then the Pricing Agreement relating to such Designated Securities shall thereupon terminate, without liability on the part of any non-defaulting Underwriter or the Company, except for the expenses to be borne by the Company and the Underwriters</w:t>
      </w:r>
    </w:p>
    <w:p>
      <w:pPr>
        <w:spacing w:after="0" w:line="15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359"/>
          </w:cols>
          <w:pgMar w:left="1100" w:top="624" w:right="1440" w:bottom="1440" w:gutter="0" w:footer="0" w:header="0"/>
        </w:sectPr>
      </w:pPr>
    </w:p>
    <w:bookmarkStart w:id="55" w:name="page56"/>
    <w:bookmarkEnd w:id="55"/>
    <w:p>
      <w:pPr>
        <w:jc w:val="both"/>
        <w:ind w:left="880" w:right="3579"/>
        <w:spacing w:after="0" w:line="258" w:lineRule="auto"/>
        <w:rPr>
          <w:sz w:val="20"/>
          <w:szCs w:val="20"/>
          <w:color w:val="auto"/>
        </w:rPr>
      </w:pPr>
      <w:r>
        <w:rPr>
          <w:rFonts w:ascii="Courier New" w:cs="Courier New" w:eastAsia="Courier New" w:hAnsi="Courier New"/>
          <w:sz w:val="14"/>
          <w:szCs w:val="14"/>
          <w:color w:val="auto"/>
        </w:rPr>
        <w:t>as provided in Section 6 hereof and the indemnity and contribution agreements in Section 8 hereof; but nothing herein shall relieve a defaulting Underwriter from liability for its default.</w:t>
      </w:r>
    </w:p>
    <w:p>
      <w:pPr>
        <w:spacing w:after="0" w:line="161" w:lineRule="exact"/>
        <w:rPr>
          <w:sz w:val="20"/>
          <w:szCs w:val="20"/>
          <w:color w:val="auto"/>
        </w:rPr>
      </w:pPr>
    </w:p>
    <w:p>
      <w:pPr>
        <w:ind w:right="3239" w:firstLine="447"/>
        <w:spacing w:after="0" w:line="236" w:lineRule="auto"/>
        <w:tabs>
          <w:tab w:leader="none" w:pos="87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77" w:lineRule="exact"/>
        <w:rPr>
          <w:rFonts w:ascii="Courier New" w:cs="Courier New" w:eastAsia="Courier New" w:hAnsi="Courier New"/>
          <w:sz w:val="15"/>
          <w:szCs w:val="15"/>
          <w:color w:val="auto"/>
        </w:rPr>
      </w:pPr>
    </w:p>
    <w:p>
      <w:pPr>
        <w:ind w:right="3239" w:firstLine="447"/>
        <w:spacing w:after="0" w:line="237" w:lineRule="auto"/>
        <w:tabs>
          <w:tab w:leader="none" w:pos="87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Pricing Agreement shall be terminated pursuant to Section 9 hereof, the Company shall not then be under any liability to any Underwriter with respect to the Designated Securities covered by such Pricing Agreement except as provided in Section 6 and Section 8 hereof. If this Agreement shall be terminated as a result of any of the conditions set forth in Section 7 hereof (other than Section 7(h)(i), (iii) or (iv)) not being satisfied, the Company will reimburse the Underwriters through the Representatives for all out-of-pocket expenses approved in writing by the Representatives, including fees and disbursements to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 6 and Section 8 hereof.</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87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All statements, requests, notices and agreements hereunder shall be in writing, and if to the Underwriters shall be delivered or sent by mail, telex or facsimile transmission to the address of the Representatives as set forth in the Pricing Agreement; and if to the Company shall be delivered or sent by mail, telex or facsimile transmission to the address of the Company set forth in the Registration Statement: Attention: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173" w:lineRule="exact"/>
        <w:rPr>
          <w:sz w:val="20"/>
          <w:szCs w:val="20"/>
          <w:color w:val="auto"/>
        </w:rPr>
      </w:pPr>
    </w:p>
    <w:p>
      <w:pPr>
        <w:ind w:right="3239" w:firstLine="447"/>
        <w:spacing w:after="0" w:line="236" w:lineRule="auto"/>
        <w:tabs>
          <w:tab w:leader="none" w:pos="87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each Pricing Agreement shall be binding upon, and inure solely to the benefit of, the Underwriters, the Company and, to the extent provided in Section 8 and Section 10 hereof, the officers and trustees of the Company and each person who controls the Company or any Underwriter, and their respective heirs,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56" w:name="page57"/>
    <w:bookmarkEnd w:id="56"/>
    <w:p>
      <w:pPr>
        <w:ind w:right="3399"/>
        <w:spacing w:after="0" w:line="256" w:lineRule="auto"/>
        <w:rPr>
          <w:sz w:val="20"/>
          <w:szCs w:val="20"/>
          <w:color w:val="auto"/>
        </w:rPr>
      </w:pPr>
      <w:r>
        <w:rPr>
          <w:rFonts w:ascii="Courier New" w:cs="Courier New" w:eastAsia="Courier New" w:hAnsi="Courier New"/>
          <w:sz w:val="14"/>
          <w:szCs w:val="14"/>
          <w:color w:val="auto"/>
        </w:rPr>
        <w:t>executors, administrators, successors and assigns, and no other person shall acquire or have any right under or by virtue of this Agreement or any such Pricing, Agreement. No purchaser of any of the Securities from any Underwriter shall be deemed a successor or assign by reason merely of such purchase.</w:t>
      </w:r>
    </w:p>
    <w:p>
      <w:pPr>
        <w:spacing w:after="0" w:line="164" w:lineRule="exact"/>
        <w:rPr>
          <w:sz w:val="20"/>
          <w:szCs w:val="20"/>
          <w:color w:val="auto"/>
        </w:rPr>
      </w:pPr>
    </w:p>
    <w:p>
      <w:pPr>
        <w:ind w:right="3759" w:firstLine="447"/>
        <w:spacing w:after="0" w:line="235" w:lineRule="auto"/>
        <w:tabs>
          <w:tab w:leader="none" w:pos="87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shall be of the essence of each Pricing Agreement. As used herein, "business day" shall mean any day when the Commission's office in Washington, D.C. is open for business.</w:t>
      </w:r>
    </w:p>
    <w:p>
      <w:pPr>
        <w:spacing w:after="0" w:line="173" w:lineRule="exact"/>
        <w:rPr>
          <w:rFonts w:ascii="Courier New" w:cs="Courier New" w:eastAsia="Courier New" w:hAnsi="Courier New"/>
          <w:sz w:val="15"/>
          <w:szCs w:val="15"/>
          <w:color w:val="auto"/>
        </w:rPr>
      </w:pPr>
    </w:p>
    <w:p>
      <w:pPr>
        <w:ind w:right="3579" w:firstLine="447"/>
        <w:spacing w:after="0" w:line="234" w:lineRule="auto"/>
        <w:tabs>
          <w:tab w:leader="none" w:pos="87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each Pricing Agreement shall be governed by and construed in accordance with the laws of the State of New York.</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87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Federal Realty Investment Trust is a business trust organized under District of Columbia law. Under the terms of Article VIII of the Company's Third Amended and Restated Declaration of Trust, all persons shall look solely to the Company's property, real, personal or otherwise, tangible or intangible, for the payment of any claim under or for the performance of this Agreement, and no trustee, officer, employee or Underwriter of the Company shall be subject to any personal liability whatsoever, in tort, contract or otherwise in connection with the obligations of the Company hereunder.</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If the foregoing is in accordance with your understanding, please sign and return to us one for the Trust and each of the Representatives plus one for each counsel counterparts hereof.</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By:______________________________</w:t>
      </w:r>
    </w:p>
    <w:p>
      <w:pPr>
        <w:ind w:left="2640"/>
        <w:spacing w:after="0" w:line="237" w:lineRule="auto"/>
        <w:rPr>
          <w:sz w:val="20"/>
          <w:szCs w:val="20"/>
          <w:color w:val="auto"/>
        </w:rPr>
      </w:pPr>
      <w:r>
        <w:rPr>
          <w:rFonts w:ascii="Courier New" w:cs="Courier New" w:eastAsia="Courier New" w:hAnsi="Courier New"/>
          <w:sz w:val="15"/>
          <w:szCs w:val="15"/>
          <w:color w:val="auto"/>
        </w:rPr>
        <w:t>Name:</w:t>
      </w:r>
    </w:p>
    <w:p>
      <w:pPr>
        <w:ind w:left="2640"/>
        <w:spacing w:after="0" w:line="238"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line="166" w:lineRule="exact"/>
        <w:rPr>
          <w:sz w:val="20"/>
          <w:szCs w:val="20"/>
          <w:color w:val="auto"/>
        </w:rPr>
      </w:pPr>
    </w:p>
    <w:p>
      <w:pPr>
        <w:ind w:left="180" w:hanging="170"/>
        <w:spacing w:after="0"/>
        <w:tabs>
          <w:tab w:leader="none" w:pos="1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of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57" w:name="page58"/>
    <w:bookmarkEnd w:id="57"/>
    <w:p>
      <w:pPr>
        <w:jc w:val="right"/>
        <w:ind w:right="3239"/>
        <w:spacing w:after="0"/>
        <w:rPr>
          <w:sz w:val="20"/>
          <w:szCs w:val="20"/>
          <w:color w:val="auto"/>
        </w:rPr>
      </w:pPr>
      <w:r>
        <w:rPr>
          <w:rFonts w:ascii="Courier New" w:cs="Courier New" w:eastAsia="Courier New" w:hAnsi="Courier New"/>
          <w:sz w:val="15"/>
          <w:szCs w:val="15"/>
          <w:color w:val="auto"/>
        </w:rPr>
        <w:t>ANNEX I</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Pricing Agreement</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As Representatives of the several</w:t>
      </w:r>
    </w:p>
    <w:p>
      <w:pPr>
        <w:ind w:left="100"/>
        <w:spacing w:after="0" w:line="237" w:lineRule="auto"/>
        <w:rPr>
          <w:sz w:val="20"/>
          <w:szCs w:val="20"/>
          <w:color w:val="auto"/>
        </w:rPr>
      </w:pPr>
      <w:r>
        <w:rPr>
          <w:rFonts w:ascii="Courier New" w:cs="Courier New" w:eastAsia="Courier New" w:hAnsi="Courier New"/>
          <w:sz w:val="15"/>
          <w:szCs w:val="15"/>
          <w:color w:val="auto"/>
        </w:rPr>
        <w:t>Underwriters named in Schedule I hereto,</w:t>
      </w:r>
    </w:p>
    <w:p>
      <w:pPr>
        <w:spacing w:after="0" w:line="238" w:lineRule="auto"/>
        <w:rPr>
          <w:sz w:val="20"/>
          <w:szCs w:val="20"/>
          <w:color w:val="auto"/>
        </w:rPr>
      </w:pPr>
      <w:r>
        <w:rPr>
          <w:rFonts w:ascii="Courier New" w:cs="Courier New" w:eastAsia="Courier New" w:hAnsi="Courier New"/>
          <w:sz w:val="15"/>
          <w:szCs w:val="15"/>
          <w:color w:val="auto"/>
        </w:rPr>
        <w:t>[Name and address of Representative]</w:t>
      </w:r>
    </w:p>
    <w:p>
      <w:pPr>
        <w:spacing w:after="0" w:line="167"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_________________, 199__</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Federal Realty Investment Trust, a business trust organized under the laws of the District of Columbia (the "Company"), proposes, subject to the terms and conditions stated herein and in the Underwriting Agreement, dated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 __, 199__ (the "Underwriting Agreement"), between the Company on</w:t>
      </w:r>
    </w:p>
    <w:p>
      <w:pPr>
        <w:spacing w:after="0" w:line="10"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one hand and [names of Representatives] on the other hand, to issue and sell to the Underwriters named in Schedule I hereto (the "Underwriters") the Securities specified in Schedules I and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Securities pursuant to Section 12 of the Underwriting Agreement and the address of the Representatives referred to in such Section 12 are set forth at the end of Schedule II hereto.</w:t>
      </w:r>
    </w:p>
    <w:p>
      <w:pPr>
        <w:spacing w:after="0" w:line="34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Subject to the terms and conditions set forth herein and in the Underwriting Agreement incorporated herein by reference, the Company agrees to issue and sell to</w:t>
      </w:r>
    </w:p>
    <w:p>
      <w:pPr>
        <w:sectPr>
          <w:pgSz w:w="11900" w:h="16838" w:orient="portrait"/>
          <w:cols w:equalWidth="0" w:num="1">
            <w:col w:w="10239"/>
          </w:cols>
          <w:pgMar w:left="220" w:top="617"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each of the Underwriters, and each of the Underwriters agrees,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severally and not jointly, to purchase from the Company, at the time and place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at the purchase price to the Underwriters set forth in Schedule II hereto,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principal amount of Designated Securities set forth opposite the name of</w:t>
      </w:r>
    </w:p>
    <w:p>
      <w:pPr>
        <w:spacing w:after="0" w:line="237" w:lineRule="auto"/>
        <w:rPr>
          <w:sz w:val="20"/>
          <w:szCs w:val="20"/>
          <w:color w:val="auto"/>
        </w:rPr>
      </w:pPr>
      <w:r>
        <w:rPr>
          <w:rFonts w:ascii="Courier New" w:cs="Courier New" w:eastAsia="Courier New" w:hAnsi="Courier New"/>
          <w:sz w:val="15"/>
          <w:szCs w:val="15"/>
          <w:color w:val="auto"/>
        </w:rPr>
        <w:t>such Underwriter in Schedule I hereto.</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the foregoing is in accordance with your understanding, please sign and return to us [one for the Company and each of the Representatives plus one for each counsel]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w:t>
      </w:r>
    </w:p>
    <w:p>
      <w:pPr>
        <w:spacing w:after="0" w:line="15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FEDERAL REALTY INVESTMENT TRUST</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__________________________________________</w:t>
      </w:r>
    </w:p>
    <w:p>
      <w:pPr>
        <w:ind w:left="308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UNDERWRITER]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w:t>
      </w:r>
    </w:p>
    <w:p>
      <w:pPr>
        <w:ind w:left="440"/>
        <w:spacing w:after="0" w:line="237" w:lineRule="auto"/>
        <w:rPr>
          <w:sz w:val="20"/>
          <w:szCs w:val="20"/>
          <w:color w:val="auto"/>
        </w:rPr>
      </w:pPr>
      <w:r>
        <w:rPr>
          <w:rFonts w:ascii="Courier New" w:cs="Courier New" w:eastAsia="Courier New" w:hAnsi="Courier New"/>
          <w:sz w:val="15"/>
          <w:szCs w:val="15"/>
          <w:color w:val="auto"/>
        </w:rPr>
        <w:t>Name:</w:t>
      </w:r>
    </w:p>
    <w:p>
      <w:pPr>
        <w:ind w:left="440"/>
        <w:spacing w:after="0" w:line="238"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59" w:name="page60"/>
    <w:bookmarkEnd w:id="59"/>
    <w:p>
      <w:pPr>
        <w:ind w:left="2460"/>
        <w:spacing w:after="0"/>
        <w:rPr>
          <w:sz w:val="20"/>
          <w:szCs w:val="20"/>
          <w:color w:val="auto"/>
        </w:rPr>
      </w:pPr>
      <w:r>
        <w:rPr>
          <w:rFonts w:ascii="Courier New" w:cs="Courier New" w:eastAsia="Courier New" w:hAnsi="Courier New"/>
          <w:sz w:val="14"/>
          <w:szCs w:val="14"/>
          <w:color w:val="auto"/>
        </w:rPr>
        <w:t>SCHEDULE I</w:t>
      </w:r>
    </w:p>
    <w:p>
      <w:pPr>
        <w:sectPr>
          <w:pgSz w:w="11900" w:h="16838" w:orient="portrait"/>
          <w:cols w:equalWidth="0" w:num="1">
            <w:col w:w="9619"/>
          </w:cols>
          <w:pgMar w:left="840" w:top="6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Underwriter</w:t>
      </w:r>
    </w:p>
    <w:p>
      <w:pPr>
        <w:spacing w:after="0" w:line="5"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Number of</w:t>
      </w:r>
    </w:p>
    <w:p>
      <w:pPr>
        <w:spacing w:after="0" w:line="5"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4"/>
          <w:szCs w:val="14"/>
          <w:color w:val="auto"/>
        </w:rPr>
        <w:t>Designated Securities</w:t>
      </w:r>
    </w:p>
    <w:p>
      <w:pPr>
        <w:spacing w:after="0" w:line="3"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to be Purchased</w:t>
      </w:r>
    </w:p>
    <w:p>
      <w:pPr>
        <w:spacing w:after="0" w:line="5"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040" w:space="720"/>
            <w:col w:w="5859"/>
          </w:cols>
          <w:pgMar w:left="840" w:top="62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400" w:space="720"/>
            <w:col w:w="5499"/>
          </w:cols>
          <w:pgMar w:left="840" w:top="624" w:right="1440" w:bottom="1440" w:gutter="0" w:footer="0" w:header="0"/>
          <w:type w:val="continuous"/>
        </w:sectPr>
      </w:pPr>
    </w:p>
    <w:bookmarkStart w:id="60" w:name="page61"/>
    <w:bookmarkEnd w:id="60"/>
    <w:p>
      <w:pPr>
        <w:ind w:left="2980"/>
        <w:spacing w:after="0"/>
        <w:rPr>
          <w:sz w:val="20"/>
          <w:szCs w:val="20"/>
          <w:color w:val="auto"/>
        </w:rPr>
      </w:pPr>
      <w:r>
        <w:rPr>
          <w:rFonts w:ascii="Courier New" w:cs="Courier New" w:eastAsia="Courier New" w:hAnsi="Courier New"/>
          <w:sz w:val="15"/>
          <w:szCs w:val="15"/>
          <w:color w:val="auto"/>
        </w:rPr>
        <w:t>SCHEDULE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Designated Securities:</w:t>
      </w:r>
    </w:p>
    <w:p>
      <w:pPr>
        <w:spacing w:after="0" w:line="173" w:lineRule="exact"/>
        <w:rPr>
          <w:sz w:val="20"/>
          <w:szCs w:val="20"/>
          <w:color w:val="auto"/>
        </w:rPr>
      </w:pPr>
    </w:p>
    <w:p>
      <w:pPr>
        <w:ind w:right="3499" w:firstLine="447"/>
        <w:spacing w:after="0" w:line="234" w:lineRule="auto"/>
        <w:tabs>
          <w:tab w:leader="none" w:pos="7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[Senior] [Subordinated] [Floating Rate] [Zero Coupon] [Designated Securities]</w:t>
      </w:r>
    </w:p>
    <w:p>
      <w:pPr>
        <w:spacing w:after="0" w:line="167"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5"/>
          <w:szCs w:val="15"/>
          <w:color w:val="auto"/>
        </w:rPr>
        <w:t>[Debentures] due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principal amount</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to Public:</w:t>
      </w:r>
    </w:p>
    <w:p>
      <w:pPr>
        <w:spacing w:after="0" w:line="173" w:lineRule="exact"/>
        <w:rPr>
          <w:sz w:val="20"/>
          <w:szCs w:val="20"/>
          <w:color w:val="auto"/>
        </w:rPr>
      </w:pPr>
    </w:p>
    <w:p>
      <w:pPr>
        <w:ind w:left="440" w:right="3839"/>
        <w:spacing w:after="0" w:line="234" w:lineRule="auto"/>
        <w:rPr>
          <w:sz w:val="20"/>
          <w:szCs w:val="20"/>
          <w:color w:val="auto"/>
        </w:rPr>
      </w:pPr>
      <w:r>
        <w:rPr>
          <w:rFonts w:ascii="Courier New" w:cs="Courier New" w:eastAsia="Courier New" w:hAnsi="Courier New"/>
          <w:sz w:val="15"/>
          <w:szCs w:val="15"/>
          <w:color w:val="auto"/>
        </w:rPr>
        <w:t>% of the principal amount of the Designated Securities, plus accrued interest from to</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accrued amortization, if any, from</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93" w:lineRule="exact"/>
        <w:rPr>
          <w:sz w:val="20"/>
          <w:szCs w:val="20"/>
          <w:color w:val="auto"/>
        </w:rPr>
      </w:pPr>
    </w:p>
    <w:p>
      <w:pPr>
        <w:sectPr>
          <w:pgSz w:w="11900" w:h="16838" w:orient="portrait"/>
          <w:cols w:equalWidth="0" w:num="3">
            <w:col w:w="3860" w:space="340"/>
            <w:col w:w="180" w:space="360"/>
            <w:col w:w="54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Purchase Price by Underwriters:</w:t>
      </w:r>
    </w:p>
    <w:p>
      <w:pPr>
        <w:spacing w:after="0" w:line="173" w:lineRule="exact"/>
        <w:rPr>
          <w:sz w:val="20"/>
          <w:szCs w:val="20"/>
          <w:color w:val="auto"/>
        </w:rPr>
      </w:pPr>
    </w:p>
    <w:p>
      <w:pPr>
        <w:ind w:left="440" w:right="3839"/>
        <w:spacing w:after="0" w:line="234" w:lineRule="auto"/>
        <w:rPr>
          <w:sz w:val="20"/>
          <w:szCs w:val="20"/>
          <w:color w:val="auto"/>
        </w:rPr>
      </w:pPr>
      <w:r>
        <w:rPr>
          <w:rFonts w:ascii="Courier New" w:cs="Courier New" w:eastAsia="Courier New" w:hAnsi="Courier New"/>
          <w:sz w:val="15"/>
          <w:szCs w:val="15"/>
          <w:color w:val="auto"/>
        </w:rPr>
        <w:t>% of the principal amount of the Designated Securities, plus accrued interest from to</w:t>
      </w:r>
    </w:p>
    <w:p>
      <w:pPr>
        <w:sectPr>
          <w:pgSz w:w="11900" w:h="16838" w:orient="portrait"/>
          <w:cols w:equalWidth="0" w:num="1">
            <w:col w:w="10239"/>
          </w:cols>
          <w:pgMar w:left="220" w:top="617" w:right="1440" w:bottom="1440" w:gutter="0" w:footer="0" w:header="0"/>
          <w:type w:val="continuous"/>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accrued amortization, if any, from</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93" w:lineRule="exact"/>
        <w:rPr>
          <w:sz w:val="20"/>
          <w:szCs w:val="20"/>
          <w:color w:val="auto"/>
        </w:rPr>
      </w:pPr>
    </w:p>
    <w:p>
      <w:pPr>
        <w:sectPr>
          <w:pgSz w:w="11900" w:h="16838" w:orient="portrait"/>
          <w:cols w:equalWidth="0" w:num="3">
            <w:col w:w="3860" w:space="340"/>
            <w:col w:w="180" w:space="360"/>
            <w:col w:w="54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Specified funds for payment of purchase price: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York] Clearing House funds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Indenture:</w:t>
      </w:r>
    </w:p>
    <w:p>
      <w:pPr>
        <w:spacing w:after="0" w:line="166" w:lineRule="exact"/>
        <w:rPr>
          <w:sz w:val="20"/>
          <w:szCs w:val="20"/>
          <w:color w:val="auto"/>
        </w:rPr>
      </w:pPr>
    </w:p>
    <w:p>
      <w:pPr>
        <w:ind w:left="440"/>
        <w:spacing w:after="0"/>
        <w:tabs>
          <w:tab w:leader="none" w:pos="2620" w:val="left"/>
          <w:tab w:leader="none" w:pos="3140" w:val="left"/>
          <w:tab w:leader="none" w:pos="5760" w:val="left"/>
        </w:tabs>
        <w:rPr>
          <w:sz w:val="20"/>
          <w:szCs w:val="20"/>
          <w:color w:val="auto"/>
        </w:rPr>
      </w:pPr>
      <w:r>
        <w:rPr>
          <w:rFonts w:ascii="Courier New" w:cs="Courier New" w:eastAsia="Courier New" w:hAnsi="Courier New"/>
          <w:sz w:val="15"/>
          <w:szCs w:val="15"/>
          <w:color w:val="auto"/>
        </w:rPr>
        <w:t>Indenture dated</w:t>
      </w:r>
      <w:r>
        <w:rPr>
          <w:sz w:val="20"/>
          <w:szCs w:val="20"/>
          <w:color w:val="auto"/>
        </w:rPr>
        <w:tab/>
      </w:r>
      <w:r>
        <w:rPr>
          <w:rFonts w:ascii="Courier New" w:cs="Courier New" w:eastAsia="Courier New" w:hAnsi="Courier New"/>
          <w:sz w:val="15"/>
          <w:szCs w:val="15"/>
          <w:color w:val="auto"/>
        </w:rPr>
        <w:t>, 19</w:t>
        <w:tab/>
        <w:t>, between the Company and</w:t>
      </w:r>
      <w:r>
        <w:rPr>
          <w:sz w:val="20"/>
          <w:szCs w:val="20"/>
          <w:color w:val="auto"/>
        </w:rPr>
        <w:tab/>
      </w:r>
      <w:r>
        <w:rPr>
          <w:rFonts w:ascii="Courier New" w:cs="Courier New" w:eastAsia="Courier New" w:hAnsi="Courier New"/>
          <w:sz w:val="14"/>
          <w:szCs w:val="14"/>
          <w:color w:val="auto"/>
        </w:rPr>
        <w:t>, as Trustee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w:t>
      </w:r>
    </w:p>
    <w:p>
      <w:pPr>
        <w:ind w:left="800" w:hanging="353"/>
        <w:spacing w:after="0" w:line="237" w:lineRule="auto"/>
        <w:tabs>
          <w:tab w:leader="none" w:pos="8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[Zero Coupon] [See Floating Rate Provisions]</w:t>
      </w:r>
    </w:p>
    <w:p>
      <w:pPr>
        <w:spacing w:after="0" w:line="173" w:lineRule="exact"/>
        <w:rPr>
          <w:sz w:val="20"/>
          <w:szCs w:val="20"/>
          <w:color w:val="auto"/>
        </w:rPr>
      </w:pPr>
    </w:p>
    <w:p>
      <w:pPr>
        <w:jc w:val="right"/>
        <w:ind w:right="8219"/>
        <w:spacing w:after="0"/>
        <w:rPr>
          <w:sz w:val="20"/>
          <w:szCs w:val="20"/>
          <w:color w:val="auto"/>
        </w:rPr>
      </w:pPr>
      <w:r>
        <w:rPr>
          <w:rFonts w:ascii="Courier New" w:cs="Courier New" w:eastAsia="Courier New" w:hAnsi="Courier New"/>
          <w:sz w:val="14"/>
          <w:szCs w:val="14"/>
          <w:color w:val="auto"/>
        </w:rPr>
        <w:t>Interest Payment Dates:</w:t>
      </w:r>
    </w:p>
    <w:p>
      <w:pPr>
        <w:spacing w:after="0" w:line="3" w:lineRule="exact"/>
        <w:rPr>
          <w:sz w:val="20"/>
          <w:szCs w:val="20"/>
          <w:color w:val="auto"/>
        </w:rPr>
      </w:pPr>
    </w:p>
    <w:p>
      <w:pPr>
        <w:jc w:val="right"/>
        <w:ind w:right="8219"/>
        <w:spacing w:after="0"/>
        <w:rPr>
          <w:sz w:val="20"/>
          <w:szCs w:val="20"/>
          <w:color w:val="auto"/>
        </w:rPr>
      </w:pPr>
      <w:r>
        <w:rPr>
          <w:rFonts w:ascii="Courier New" w:cs="Courier New" w:eastAsia="Courier New" w:hAnsi="Courier New"/>
          <w:sz w:val="15"/>
          <w:szCs w:val="15"/>
          <w:color w:val="auto"/>
        </w:rPr>
        <w:t>[months and dates]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Provisions: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 provisions for redemption]</w:t>
      </w:r>
    </w:p>
    <w:p>
      <w:pPr>
        <w:spacing w:after="0" w:line="5" w:lineRule="exact"/>
        <w:rPr>
          <w:sz w:val="20"/>
          <w:szCs w:val="20"/>
          <w:color w:val="auto"/>
        </w:rPr>
      </w:pPr>
    </w:p>
    <w:p>
      <w:pPr>
        <w:ind w:left="440" w:right="3679"/>
        <w:spacing w:after="0" w:line="254" w:lineRule="auto"/>
        <w:rPr>
          <w:sz w:val="20"/>
          <w:szCs w:val="20"/>
          <w:color w:val="auto"/>
        </w:rPr>
      </w:pPr>
      <w:r>
        <w:rPr>
          <w:rFonts w:ascii="Courier New" w:cs="Courier New" w:eastAsia="Courier New" w:hAnsi="Courier New"/>
          <w:sz w:val="14"/>
          <w:szCs w:val="14"/>
          <w:color w:val="auto"/>
        </w:rPr>
        <w:t>[The Designated Securities may be redeemed, otherwise than through the sinking fund, in whole or in part at the option of the Company, in the</w:t>
      </w:r>
    </w:p>
    <w:p>
      <w:pPr>
        <w:ind w:left="440"/>
        <w:spacing w:after="0"/>
        <w:tabs>
          <w:tab w:leader="none" w:pos="2260" w:val="left"/>
        </w:tabs>
        <w:rPr>
          <w:sz w:val="20"/>
          <w:szCs w:val="20"/>
          <w:color w:val="auto"/>
        </w:rPr>
      </w:pPr>
      <w:r>
        <w:rPr>
          <w:rFonts w:ascii="Courier New" w:cs="Courier New" w:eastAsia="Courier New" w:hAnsi="Courier New"/>
          <w:sz w:val="15"/>
          <w:szCs w:val="15"/>
          <w:color w:val="auto"/>
        </w:rPr>
        <w:t>amount of [$]</w:t>
      </w:r>
      <w:r>
        <w:rPr>
          <w:sz w:val="20"/>
          <w:szCs w:val="20"/>
          <w:color w:val="auto"/>
        </w:rPr>
        <w:tab/>
      </w:r>
      <w:r>
        <w:rPr>
          <w:rFonts w:ascii="Courier New" w:cs="Courier New" w:eastAsia="Courier New" w:hAnsi="Courier New"/>
          <w:sz w:val="14"/>
          <w:szCs w:val="14"/>
          <w:color w:val="auto"/>
        </w:rPr>
        <w:t>or an integral multiple thereof,</w:t>
      </w:r>
    </w:p>
    <w:p>
      <w:pPr>
        <w:sectPr>
          <w:pgSz w:w="11900" w:h="16838" w:orient="portrait"/>
          <w:cols w:equalWidth="0" w:num="1">
            <w:col w:w="10239"/>
          </w:cols>
          <w:pgMar w:left="220" w:top="617" w:right="1440" w:bottom="1440" w:gutter="0" w:footer="0" w:header="0"/>
          <w:type w:val="continuous"/>
        </w:sectPr>
      </w:pPr>
    </w:p>
    <w:bookmarkStart w:id="61" w:name="page62"/>
    <w:bookmarkEnd w:id="61"/>
    <w:p>
      <w:pPr>
        <w:ind w:left="440"/>
        <w:spacing w:after="0"/>
        <w:tabs>
          <w:tab w:leader="none" w:pos="2360" w:val="left"/>
          <w:tab w:leader="none" w:pos="2780" w:val="left"/>
        </w:tabs>
        <w:rPr>
          <w:sz w:val="20"/>
          <w:szCs w:val="20"/>
          <w:color w:val="auto"/>
        </w:rPr>
      </w:pPr>
      <w:r>
        <w:rPr>
          <w:rFonts w:ascii="Courier New" w:cs="Courier New" w:eastAsia="Courier New" w:hAnsi="Courier New"/>
          <w:sz w:val="15"/>
          <w:szCs w:val="15"/>
          <w:color w:val="auto"/>
        </w:rPr>
        <w:t>[on or after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at the following redemption prices (expressed in</w:t>
      </w:r>
    </w:p>
    <w:p>
      <w:pPr>
        <w:ind w:left="440"/>
        <w:spacing w:after="0" w:line="237" w:lineRule="auto"/>
        <w:tabs>
          <w:tab w:leader="none" w:pos="3480" w:val="left"/>
          <w:tab w:leader="none" w:pos="6540" w:val="left"/>
        </w:tabs>
        <w:rPr>
          <w:sz w:val="20"/>
          <w:szCs w:val="20"/>
          <w:color w:val="auto"/>
        </w:rPr>
      </w:pPr>
      <w:r>
        <w:rPr>
          <w:rFonts w:ascii="Courier New" w:cs="Courier New" w:eastAsia="Courier New" w:hAnsi="Courier New"/>
          <w:sz w:val="15"/>
          <w:szCs w:val="15"/>
          <w:color w:val="auto"/>
        </w:rPr>
        <w:t>percentages of principal amount).</w:t>
        <w:tab/>
        <w:t>If [redeemed on or before</w:t>
      </w:r>
      <w:r>
        <w:rPr>
          <w:sz w:val="20"/>
          <w:szCs w:val="20"/>
          <w:color w:val="auto"/>
        </w:rPr>
        <w:tab/>
      </w:r>
      <w:r>
        <w:rPr>
          <w:rFonts w:ascii="Courier New" w:cs="Courier New" w:eastAsia="Courier New" w:hAnsi="Courier New"/>
          <w:sz w:val="15"/>
          <w:szCs w:val="15"/>
          <w:color w:val="auto"/>
        </w:rPr>
        <w:t>,</w:t>
      </w:r>
    </w:p>
    <w:p>
      <w:pPr>
        <w:ind w:left="800"/>
        <w:spacing w:after="0" w:line="238" w:lineRule="auto"/>
        <w:tabs>
          <w:tab w:leader="none" w:pos="6540" w:val="left"/>
        </w:tabs>
        <w:rPr>
          <w:sz w:val="20"/>
          <w:szCs w:val="20"/>
          <w:color w:val="auto"/>
        </w:rPr>
      </w:pPr>
      <w:r>
        <w:rPr>
          <w:rFonts w:ascii="Courier New" w:cs="Courier New" w:eastAsia="Courier New" w:hAnsi="Courier New"/>
          <w:sz w:val="15"/>
          <w:szCs w:val="15"/>
          <w:color w:val="auto"/>
        </w:rPr>
        <w:t>%, and if] redeemed during the 12-month period beginning</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sectPr>
      </w:pPr>
    </w:p>
    <w:p>
      <w:pPr>
        <w:spacing w:after="0" w:line="341"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Year</w:t>
      </w:r>
    </w:p>
    <w:p>
      <w:pPr>
        <w:spacing w:after="0" w:line="10"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580" w:space="720"/>
            <w:col w:w="5939"/>
          </w:cols>
          <w:pgMar w:left="220" w:top="617" w:right="1440" w:bottom="1440" w:gutter="0" w:footer="0" w:header="0"/>
          <w:type w:val="continuous"/>
        </w:sectPr>
      </w:pPr>
    </w:p>
    <w:p>
      <w:pPr>
        <w:spacing w:after="0" w:line="314"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and thereafter at 100% of their principal amount, together in each case with accrued interest to the redemption date.]</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w w:val="97"/>
              </w:rPr>
              <w:t>[on any interest payment date falling 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or after</w:t>
            </w:r>
          </w:p>
        </w:tc>
        <w:tc>
          <w:tcPr>
            <w:tcW w:w="26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 at the</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election of the Company, at a redemption</w:t>
            </w:r>
          </w:p>
        </w:tc>
        <w:tc>
          <w:tcPr>
            <w:tcW w:w="106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price equal</w:t>
            </w:r>
          </w:p>
        </w:tc>
        <w:tc>
          <w:tcPr>
            <w:tcW w:w="1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to the principal</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amount thereof, plus accrued interest to</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the date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redemption.]</w:t>
            </w:r>
          </w:p>
        </w:tc>
        <w:tc>
          <w:tcPr>
            <w:tcW w:w="700" w:type="dxa"/>
            <w:vAlign w:val="bottom"/>
          </w:tcPr>
          <w:p>
            <w:pPr>
              <w:spacing w:after="0"/>
              <w:rPr>
                <w:sz w:val="14"/>
                <w:szCs w:val="14"/>
                <w:color w:val="auto"/>
              </w:rPr>
            </w:pPr>
          </w:p>
        </w:tc>
      </w:tr>
    </w:tbl>
    <w:p>
      <w:pPr>
        <w:spacing w:after="0" w:line="173" w:lineRule="exact"/>
        <w:rPr>
          <w:sz w:val="20"/>
          <w:szCs w:val="20"/>
          <w:color w:val="auto"/>
        </w:rPr>
      </w:pPr>
    </w:p>
    <w:p>
      <w:pPr>
        <w:ind w:left="440" w:right="3499"/>
        <w:spacing w:after="0" w:line="261" w:lineRule="auto"/>
        <w:rPr>
          <w:sz w:val="20"/>
          <w:szCs w:val="20"/>
          <w:color w:val="auto"/>
        </w:rPr>
      </w:pPr>
      <w:r>
        <w:rPr>
          <w:rFonts w:ascii="Courier New" w:cs="Courier New" w:eastAsia="Courier New" w:hAnsi="Courier New"/>
          <w:sz w:val="14"/>
          <w:szCs w:val="14"/>
          <w:color w:val="auto"/>
        </w:rPr>
        <w:t>[Other possible redemption provisions, such as mandatory redemption upon occurrence of certain events or redemption for changes in tax law]</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[Restriction on refunding]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Sinking Fund Provisions: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 sinking fund provisions]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Designated Securities are entitled to the benefit of a sinking fund to</w:t>
      </w:r>
    </w:p>
    <w:p>
      <w:pPr>
        <w:spacing w:after="0" w:line="10"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retire [$] principal amount of Designated Securities on in each of the years through at 100% of their principal amount plus accrued interest] [,together with [cumulative] [noncumulative] redemptions at the option of the Company to retire an additional [$] principal amount of Designated Securities in the years through at 100% of their principal amount plus accrued interest].</w:t>
      </w:r>
    </w:p>
    <w:p>
      <w:pPr>
        <w:spacing w:after="0" w:line="16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[If Securities are extendable debt Securities, insert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Extendable provisions:</w:t>
      </w:r>
    </w:p>
    <w:p>
      <w:pPr>
        <w:spacing w:after="0" w:line="173"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Securities are repayable on , [insert date and years], at the option of the holder, at their principal amount with accrued interest. Initial annual interest rate will be %, and thereafter annual interest rate will be adjusted on , and to a rate not less than % of the effective annual interest rate on U.S. Treasury obligations with -year maturities as of the [insert</w:t>
      </w:r>
    </w:p>
    <w:p>
      <w:pPr>
        <w:spacing w:after="0" w:line="7" w:lineRule="exact"/>
        <w:rPr>
          <w:sz w:val="20"/>
          <w:szCs w:val="20"/>
          <w:color w:val="auto"/>
        </w:rPr>
      </w:pPr>
    </w:p>
    <w:p>
      <w:pPr>
        <w:ind w:left="880" w:right="3499"/>
        <w:spacing w:after="0" w:line="234" w:lineRule="auto"/>
        <w:rPr>
          <w:sz w:val="20"/>
          <w:szCs w:val="20"/>
          <w:color w:val="auto"/>
        </w:rPr>
      </w:pPr>
      <w:r>
        <w:rPr>
          <w:rFonts w:ascii="Courier New" w:cs="Courier New" w:eastAsia="Courier New" w:hAnsi="Courier New"/>
          <w:sz w:val="15"/>
          <w:szCs w:val="15"/>
          <w:color w:val="auto"/>
        </w:rPr>
        <w:t>date 15 days prior to maturity date] prior to such [insert maturity date].]</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[If Securities are Floating Rate debt Securities, insert --</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Floating rate provisions:</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120" w:type="dxa"/>
            <w:vAlign w:val="bottom"/>
            <w:gridSpan w:val="4"/>
          </w:tcPr>
          <w:p>
            <w:pPr>
              <w:ind w:left="880"/>
              <w:spacing w:after="0"/>
              <w:rPr>
                <w:sz w:val="20"/>
                <w:szCs w:val="20"/>
                <w:color w:val="auto"/>
              </w:rPr>
            </w:pPr>
            <w:r>
              <w:rPr>
                <w:rFonts w:ascii="Courier New" w:cs="Courier New" w:eastAsia="Courier New" w:hAnsi="Courier New"/>
                <w:sz w:val="15"/>
                <w:szCs w:val="15"/>
                <w:color w:val="auto"/>
                <w:w w:val="99"/>
              </w:rPr>
              <w:t>Initial annual interest rate will be</w:t>
            </w:r>
          </w:p>
        </w:tc>
        <w:tc>
          <w:tcPr>
            <w:tcW w:w="26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 through</w:t>
            </w:r>
          </w:p>
        </w:tc>
        <w:tc>
          <w:tcPr>
            <w:tcW w:w="380" w:type="dxa"/>
            <w:vAlign w:val="bottom"/>
          </w:tcPr>
          <w:p>
            <w:pPr>
              <w:spacing w:after="0"/>
              <w:rPr>
                <w:sz w:val="24"/>
                <w:szCs w:val="2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[and</w:t>
            </w:r>
          </w:p>
        </w:tc>
      </w:tr>
      <w:tr>
        <w:trPr>
          <w:trHeight w:val="168"/>
        </w:trPr>
        <w:tc>
          <w:tcPr>
            <w:tcW w:w="22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w w:val="99"/>
              </w:rPr>
              <w:t>thereafter will</w:t>
            </w:r>
          </w:p>
        </w:tc>
        <w:tc>
          <w:tcPr>
            <w:tcW w:w="32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be adjusted [monthly] [on each</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and</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[to</w:t>
            </w:r>
          </w:p>
        </w:tc>
        <w:tc>
          <w:tcPr>
            <w:tcW w:w="1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an annual rate of</w:t>
            </w:r>
          </w:p>
        </w:tc>
        <w:tc>
          <w:tcPr>
            <w:tcW w:w="2880" w:type="dxa"/>
            <w:vAlign w:val="bottom"/>
            <w:gridSpan w:val="4"/>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 above the average rate for</w:t>
            </w:r>
          </w:p>
        </w:tc>
      </w:tr>
      <w:tr>
        <w:trPr>
          <w:trHeight w:val="168"/>
        </w:trPr>
        <w:tc>
          <w:tcPr>
            <w:tcW w:w="1240" w:type="dxa"/>
            <w:vAlign w:val="bottom"/>
          </w:tcPr>
          <w:p>
            <w:pPr>
              <w:spacing w:after="0"/>
              <w:rPr>
                <w:sz w:val="14"/>
                <w:szCs w:val="14"/>
                <w:color w:val="auto"/>
              </w:rPr>
            </w:pPr>
          </w:p>
        </w:tc>
        <w:tc>
          <w:tcPr>
            <w:tcW w:w="5760" w:type="dxa"/>
            <w:vAlign w:val="bottom"/>
            <w:gridSpan w:val="7"/>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-year [month] [securities] [certificates of deposit] issued by</w:t>
            </w:r>
          </w:p>
        </w:tc>
      </w:tr>
      <w:tr>
        <w:trPr>
          <w:trHeight w:val="168"/>
        </w:trPr>
        <w:tc>
          <w:tcPr>
            <w:tcW w:w="12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and</w:t>
            </w:r>
          </w:p>
        </w:tc>
        <w:tc>
          <w:tcPr>
            <w:tcW w:w="576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rPr>
              <w:t>[insert names of banks],] [and the annual interest rate</w:t>
            </w:r>
          </w:p>
        </w:tc>
      </w:tr>
      <w:tr>
        <w:trPr>
          <w:trHeight w:val="168"/>
        </w:trPr>
        <w:tc>
          <w:tcPr>
            <w:tcW w:w="3240" w:type="dxa"/>
            <w:vAlign w:val="bottom"/>
            <w:gridSpan w:val="3"/>
          </w:tcPr>
          <w:p>
            <w:pPr>
              <w:ind w:left="880"/>
              <w:spacing w:after="0" w:line="168" w:lineRule="exact"/>
              <w:rPr>
                <w:sz w:val="20"/>
                <w:szCs w:val="20"/>
                <w:color w:val="auto"/>
              </w:rPr>
            </w:pPr>
            <w:r>
              <w:rPr>
                <w:rFonts w:ascii="Courier New" w:cs="Courier New" w:eastAsia="Courier New" w:hAnsi="Courier New"/>
                <w:sz w:val="15"/>
                <w:szCs w:val="15"/>
                <w:color w:val="auto"/>
              </w:rPr>
              <w:t>[thereafter] [from</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through</w:t>
            </w:r>
          </w:p>
        </w:tc>
        <w:tc>
          <w:tcPr>
            <w:tcW w:w="260" w:type="dxa"/>
            <w:vAlign w:val="bottom"/>
          </w:tcPr>
          <w:p>
            <w:pPr>
              <w:spacing w:after="0"/>
              <w:rPr>
                <w:sz w:val="14"/>
                <w:szCs w:val="14"/>
                <w:color w:val="auto"/>
              </w:rPr>
            </w:pPr>
          </w:p>
        </w:tc>
        <w:tc>
          <w:tcPr>
            <w:tcW w:w="262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 will be the interest</w:t>
            </w:r>
          </w:p>
        </w:tc>
      </w:tr>
      <w:tr>
        <w:trPr>
          <w:trHeight w:val="168"/>
        </w:trPr>
        <w:tc>
          <w:tcPr>
            <w:tcW w:w="7000" w:type="dxa"/>
            <w:vAlign w:val="bottom"/>
            <w:gridSpan w:val="8"/>
          </w:tcPr>
          <w:p>
            <w:pPr>
              <w:ind w:left="880"/>
              <w:spacing w:after="0" w:line="168" w:lineRule="exact"/>
              <w:rPr>
                <w:sz w:val="20"/>
                <w:szCs w:val="20"/>
                <w:color w:val="auto"/>
              </w:rPr>
            </w:pPr>
            <w:r>
              <w:rPr>
                <w:rFonts w:ascii="Courier New" w:cs="Courier New" w:eastAsia="Courier New" w:hAnsi="Courier New"/>
                <w:sz w:val="15"/>
                <w:szCs w:val="15"/>
                <w:color w:val="auto"/>
                <w:w w:val="98"/>
              </w:rPr>
              <w:t>yield equivalent of the weekly average per annum market discount rate</w:t>
            </w:r>
          </w:p>
        </w:tc>
      </w:tr>
      <w:tr>
        <w:trPr>
          <w:trHeight w:val="168"/>
        </w:trPr>
        <w:tc>
          <w:tcPr>
            <w:tcW w:w="12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for</w:t>
            </w:r>
          </w:p>
        </w:tc>
        <w:tc>
          <w:tcPr>
            <w:tcW w:w="3140" w:type="dxa"/>
            <w:vAlign w:val="bottom"/>
            <w:gridSpan w:val="4"/>
          </w:tcPr>
          <w:p>
            <w:pPr>
              <w:ind w:left="780"/>
              <w:spacing w:after="0" w:line="168" w:lineRule="exact"/>
              <w:rPr>
                <w:sz w:val="20"/>
                <w:szCs w:val="20"/>
                <w:color w:val="auto"/>
              </w:rPr>
            </w:pPr>
            <w:r>
              <w:rPr>
                <w:rFonts w:ascii="Courier New" w:cs="Courier New" w:eastAsia="Courier New" w:hAnsi="Courier New"/>
                <w:sz w:val="15"/>
                <w:szCs w:val="15"/>
                <w:color w:val="auto"/>
                <w:w w:val="99"/>
              </w:rPr>
              <w:t>-month Treasury bills plus</w:t>
            </w:r>
          </w:p>
        </w:tc>
        <w:tc>
          <w:tcPr>
            <w:tcW w:w="26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of Interest Differential</w:t>
            </w:r>
          </w:p>
        </w:tc>
      </w:tr>
      <w:tr>
        <w:trPr>
          <w:trHeight w:val="168"/>
        </w:trPr>
        <w:tc>
          <w:tcPr>
            <w:tcW w:w="22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w w:val="99"/>
              </w:rPr>
              <w:t>(the excess, if</w:t>
            </w:r>
          </w:p>
        </w:tc>
        <w:tc>
          <w:tcPr>
            <w:tcW w:w="476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any, of (i) then current weekly average per annum</w:t>
            </w:r>
          </w:p>
        </w:tc>
      </w:tr>
      <w:tr>
        <w:trPr>
          <w:trHeight w:val="168"/>
        </w:trPr>
        <w:tc>
          <w:tcPr>
            <w:tcW w:w="3240" w:type="dxa"/>
            <w:vAlign w:val="bottom"/>
            <w:gridSpan w:val="3"/>
          </w:tcPr>
          <w:p>
            <w:pPr>
              <w:ind w:left="880"/>
              <w:spacing w:after="0" w:line="168" w:lineRule="exact"/>
              <w:rPr>
                <w:sz w:val="20"/>
                <w:szCs w:val="20"/>
                <w:color w:val="auto"/>
              </w:rPr>
            </w:pPr>
            <w:r>
              <w:rPr>
                <w:rFonts w:ascii="Courier New" w:cs="Courier New" w:eastAsia="Courier New" w:hAnsi="Courier New"/>
                <w:sz w:val="15"/>
                <w:szCs w:val="15"/>
                <w:color w:val="auto"/>
                <w:w w:val="99"/>
              </w:rPr>
              <w:t>secondary market yield for</w:t>
            </w:r>
          </w:p>
        </w:tc>
        <w:tc>
          <w:tcPr>
            <w:tcW w:w="37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-month certificates of deposit over (ii)</w:t>
            </w:r>
          </w:p>
        </w:tc>
      </w:tr>
      <w:tr>
        <w:trPr>
          <w:trHeight w:val="168"/>
        </w:trPr>
        <w:tc>
          <w:tcPr>
            <w:tcW w:w="7000" w:type="dxa"/>
            <w:vAlign w:val="bottom"/>
            <w:gridSpan w:val="8"/>
          </w:tcPr>
          <w:p>
            <w:pPr>
              <w:ind w:left="880"/>
              <w:spacing w:after="0" w:line="168" w:lineRule="exact"/>
              <w:rPr>
                <w:sz w:val="20"/>
                <w:szCs w:val="20"/>
                <w:color w:val="auto"/>
              </w:rPr>
            </w:pPr>
            <w:r>
              <w:rPr>
                <w:rFonts w:ascii="Courier New" w:cs="Courier New" w:eastAsia="Courier New" w:hAnsi="Courier New"/>
                <w:sz w:val="15"/>
                <w:szCs w:val="15"/>
                <w:color w:val="auto"/>
                <w:w w:val="96"/>
              </w:rPr>
              <w:t>then current interest yield equivalent of the weekly average per annum</w:t>
            </w:r>
          </w:p>
        </w:tc>
      </w:tr>
      <w:tr>
        <w:trPr>
          <w:trHeight w:val="168"/>
        </w:trPr>
        <w:tc>
          <w:tcPr>
            <w:tcW w:w="22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w w:val="99"/>
              </w:rPr>
              <w:t>market discount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rate for</w:t>
            </w:r>
          </w:p>
        </w:tc>
        <w:tc>
          <w:tcPr>
            <w:tcW w:w="3760" w:type="dxa"/>
            <w:vAlign w:val="bottom"/>
            <w:gridSpan w:val="5"/>
          </w:tcPr>
          <w:p>
            <w:pPr>
              <w:jc w:val="right"/>
              <w:ind w:right="787"/>
              <w:spacing w:after="0" w:line="168" w:lineRule="exact"/>
              <w:rPr>
                <w:sz w:val="20"/>
                <w:szCs w:val="20"/>
                <w:color w:val="auto"/>
              </w:rPr>
            </w:pPr>
            <w:r>
              <w:rPr>
                <w:rFonts w:ascii="Courier New" w:cs="Courier New" w:eastAsia="Courier New" w:hAnsi="Courier New"/>
                <w:sz w:val="15"/>
                <w:szCs w:val="15"/>
                <w:color w:val="auto"/>
              </w:rPr>
              <w:t>-month Treasury bills); from</w:t>
            </w:r>
          </w:p>
        </w:tc>
      </w:tr>
      <w:tr>
        <w:trPr>
          <w:trHeight w:val="168"/>
        </w:trPr>
        <w:tc>
          <w:tcPr>
            <w:tcW w:w="7000" w:type="dxa"/>
            <w:vAlign w:val="bottom"/>
            <w:gridSpan w:val="8"/>
          </w:tcPr>
          <w:p>
            <w:pPr>
              <w:ind w:left="880"/>
              <w:spacing w:after="0" w:line="168" w:lineRule="exact"/>
              <w:rPr>
                <w:sz w:val="20"/>
                <w:szCs w:val="20"/>
                <w:color w:val="auto"/>
              </w:rPr>
            </w:pPr>
            <w:r>
              <w:rPr>
                <w:rFonts w:ascii="Courier New" w:cs="Courier New" w:eastAsia="Courier New" w:hAnsi="Courier New"/>
                <w:sz w:val="15"/>
                <w:szCs w:val="15"/>
                <w:color w:val="auto"/>
              </w:rPr>
              <w:t>and thereafter the rate will be the then current interest yield</w:t>
            </w:r>
          </w:p>
        </w:tc>
      </w:tr>
      <w:tr>
        <w:trPr>
          <w:trHeight w:val="168"/>
        </w:trPr>
        <w:tc>
          <w:tcPr>
            <w:tcW w:w="22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w w:val="99"/>
              </w:rPr>
              <w:t>equivalent plus</w:t>
            </w:r>
          </w:p>
        </w:tc>
        <w:tc>
          <w:tcPr>
            <w:tcW w:w="3240" w:type="dxa"/>
            <w:vAlign w:val="bottom"/>
            <w:gridSpan w:val="4"/>
          </w:tcPr>
          <w:p>
            <w:pPr>
              <w:ind w:left="400"/>
              <w:spacing w:after="0" w:line="168" w:lineRule="exact"/>
              <w:rPr>
                <w:sz w:val="20"/>
                <w:szCs w:val="20"/>
                <w:color w:val="auto"/>
              </w:rPr>
            </w:pPr>
            <w:r>
              <w:rPr>
                <w:rFonts w:ascii="Courier New" w:cs="Courier New" w:eastAsia="Courier New" w:hAnsi="Courier New"/>
                <w:sz w:val="15"/>
                <w:szCs w:val="15"/>
                <w:color w:val="auto"/>
              </w:rPr>
              <w:t>% of interest Differential].]</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 provisions: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of Delivery: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Location: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Names and addresses of Representatives: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Designated Representatives: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Address for Notices, etc.:</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Terms]*: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w:t>
      </w:r>
    </w:p>
    <w:p>
      <w:pPr>
        <w:spacing w:after="0" w:line="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 description of particular tax, accounting or other unusual features (such as the addition of event risk provisions) of the Securities should be set forth, or referenced to an attached and accompanying description, if necessary to ensure agreement as to the terms of the Securities to be purchased and sold. Such a description might appropriately be in the form in which such features will be described in the Prospectus Supplement for the offering.</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63" w:name="page64"/>
    <w:bookmarkEnd w:id="63"/>
    <w:p>
      <w:pPr>
        <w:ind w:left="440"/>
        <w:spacing w:after="0"/>
        <w:rPr>
          <w:sz w:val="20"/>
          <w:szCs w:val="20"/>
          <w:color w:val="auto"/>
        </w:rPr>
      </w:pPr>
      <w:r>
        <w:rPr>
          <w:rFonts w:ascii="Courier New" w:cs="Courier New" w:eastAsia="Courier New" w:hAnsi="Courier New"/>
          <w:sz w:val="15"/>
          <w:szCs w:val="15"/>
          <w:color w:val="auto"/>
        </w:rPr>
        <w:t>ANNEX II</w:t>
      </w:r>
    </w:p>
    <w:p>
      <w:pPr>
        <w:spacing w:after="0" w:line="341"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Pursuant to Section 7(e) of the Underwriting Agreement, the accountants shall furnish letters to the Underwriters to the effect that:</w:t>
      </w:r>
    </w:p>
    <w:p>
      <w:pPr>
        <w:spacing w:after="0" w:line="173" w:lineRule="exact"/>
        <w:rPr>
          <w:sz w:val="20"/>
          <w:szCs w:val="20"/>
          <w:color w:val="auto"/>
        </w:rPr>
      </w:pPr>
    </w:p>
    <w:p>
      <w:pPr>
        <w:ind w:left="440" w:right="3239" w:firstLine="444"/>
        <w:spacing w:after="0" w:line="235" w:lineRule="auto"/>
        <w:tabs>
          <w:tab w:leader="none" w:pos="131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are independent certified public accountants with respect to the Company and its subsidiaries within the meaning of the Act and the applicable published rules and regulations thereunder;</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40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opinion, the financial statements and any supplementary financial information and schedules audited (and, if applicable, financial forecasts and/or pro forma financial information)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consolidated interim financial statements, selected financial data, pro forma financial information, financial forecasts and/or condensed financial statements derived from audited financial statements of the Company for the periods specified in such letter, as indicated in their reports thereon, copies of which have been furnished to the representatives of the Underwriters (the "Representatives");</w:t>
      </w:r>
    </w:p>
    <w:p>
      <w:pPr>
        <w:spacing w:after="0" w:line="332" w:lineRule="exact"/>
        <w:rPr>
          <w:rFonts w:ascii="Courier New" w:cs="Courier New" w:eastAsia="Courier New" w:hAnsi="Courier New"/>
          <w:sz w:val="14"/>
          <w:szCs w:val="14"/>
          <w:color w:val="auto"/>
        </w:rPr>
      </w:pPr>
    </w:p>
    <w:p>
      <w:pPr>
        <w:ind w:left="440" w:right="3239" w:firstLine="444"/>
        <w:spacing w:after="0" w:line="255" w:lineRule="auto"/>
        <w:tabs>
          <w:tab w:leader="none" w:pos="149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have made a review in accordance with standards established by the American Institute of Certified Public Accountants of the unaudited condensed consolidated statements of income, consolidated balance sheets and consolidated statements of cash flows included in the Prospectus and/or included in the Company's quarterly report on Form 10-Q incorporated by reference into the Prospectus as indicated in their reports thereon copies of which are attached hereto; and on the basis of specified procedures including inquiries of officials of the Company who have responsibility for financial and accounting matters regarding whether the unaudited condensed consolidated financial statements referred to in paragraph (vi)(A)(i) below comply as to form in all material respects with the applicable accounting requirements of the Act and the Exchange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Exchange Act and the related published rules and regulations;</w:t>
      </w:r>
    </w:p>
    <w:p>
      <w:pPr>
        <w:spacing w:after="0" w:line="331" w:lineRule="exact"/>
        <w:rPr>
          <w:rFonts w:ascii="Courier New" w:cs="Courier New" w:eastAsia="Courier New" w:hAnsi="Courier New"/>
          <w:sz w:val="14"/>
          <w:szCs w:val="14"/>
          <w:color w:val="auto"/>
        </w:rPr>
      </w:pPr>
    </w:p>
    <w:p>
      <w:pPr>
        <w:ind w:left="440" w:right="3239" w:firstLine="444"/>
        <w:spacing w:after="0" w:line="236" w:lineRule="auto"/>
        <w:tabs>
          <w:tab w:leader="none" w:pos="140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selected financial information with respect to the consolidated results of operations and financial position of the Company for the five most recent fiscal years included in the Prospectus and included or incorporated by reference in Item 6 of the Company's Annual Report on Form 10-K for the most recent fiscal year agrees with the corresponding amounts (after</w:t>
      </w:r>
    </w:p>
    <w:p>
      <w:pPr>
        <w:sectPr>
          <w:pgSz w:w="11900" w:h="16838" w:orient="portrait"/>
          <w:cols w:equalWidth="0" w:num="1">
            <w:col w:w="10239"/>
          </w:cols>
          <w:pgMar w:left="220" w:top="617" w:right="1440" w:bottom="1440" w:gutter="0" w:footer="0" w:header="0"/>
        </w:sectPr>
      </w:pPr>
    </w:p>
    <w:bookmarkStart w:id="64" w:name="page65"/>
    <w:bookmarkEnd w:id="64"/>
    <w:p>
      <w:pPr>
        <w:ind w:right="3399"/>
        <w:spacing w:after="0" w:line="235" w:lineRule="auto"/>
        <w:rPr>
          <w:sz w:val="20"/>
          <w:szCs w:val="20"/>
          <w:color w:val="auto"/>
        </w:rPr>
      </w:pPr>
      <w:r>
        <w:rPr>
          <w:rFonts w:ascii="Courier New" w:cs="Courier New" w:eastAsia="Courier New" w:hAnsi="Courier New"/>
          <w:sz w:val="15"/>
          <w:szCs w:val="15"/>
          <w:color w:val="auto"/>
        </w:rPr>
        <w:t>restatement where applicable) in the audited consolidated financial statements for five such fiscal years which were included or incorporated by reference in the Company's Annual Reports on Form 10-K for such fiscal years;</w:t>
      </w:r>
    </w:p>
    <w:p>
      <w:pPr>
        <w:spacing w:after="0" w:line="175" w:lineRule="exact"/>
        <w:rPr>
          <w:sz w:val="20"/>
          <w:szCs w:val="20"/>
          <w:color w:val="auto"/>
        </w:rPr>
      </w:pPr>
    </w:p>
    <w:p>
      <w:pPr>
        <w:ind w:right="3239" w:firstLine="444"/>
        <w:spacing w:after="0" w:line="236" w:lineRule="auto"/>
        <w:tabs>
          <w:tab w:leader="none" w:pos="96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have compared the information in the Prospectus under selected captions with the disclosure requirements of Regulation S-K and on the basis of limited procedures specified in such letter nothing came to their attention as a result to the foregoing procedures that caused them to believe that this information does not conform in all material respects with the disclosure requirements of Items 301, 302, 402 and 503(d), respectively, of Regulation S-K;</w:t>
      </w:r>
    </w:p>
    <w:p>
      <w:pPr>
        <w:spacing w:after="0" w:line="175" w:lineRule="exact"/>
        <w:rPr>
          <w:rFonts w:ascii="Courier New" w:cs="Courier New" w:eastAsia="Courier New" w:hAnsi="Courier New"/>
          <w:sz w:val="15"/>
          <w:szCs w:val="15"/>
          <w:color w:val="auto"/>
        </w:rPr>
      </w:pPr>
    </w:p>
    <w:p>
      <w:pPr>
        <w:ind w:right="3239" w:firstLine="444"/>
        <w:spacing w:after="0" w:line="236" w:lineRule="auto"/>
        <w:tabs>
          <w:tab w:leader="none" w:pos="96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or incorporated by reference in the Prospectus, inquiries of officials of the Company and its subsidiaries responsible for financial and accounting matters and such other inquiries and procedures as may be specified in such letter, nothing came to their attention that caused them to believe that:</w:t>
      </w:r>
    </w:p>
    <w:p>
      <w:pPr>
        <w:spacing w:after="0" w:line="180" w:lineRule="exact"/>
        <w:rPr>
          <w:rFonts w:ascii="Courier New" w:cs="Courier New" w:eastAsia="Courier New" w:hAnsi="Courier New"/>
          <w:sz w:val="15"/>
          <w:szCs w:val="15"/>
          <w:color w:val="auto"/>
        </w:rPr>
      </w:pPr>
    </w:p>
    <w:p>
      <w:pPr>
        <w:ind w:left="440" w:right="3239" w:firstLine="529"/>
        <w:spacing w:after="0" w:line="254" w:lineRule="auto"/>
        <w:tabs>
          <w:tab w:leader="none" w:pos="1402"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unaudited condensed consolidated statements of income, consolidated balance sheets and consolidated statements of cash flows included in the Prospectus and/or included or incorporated by reference in the Company's Quarterly Reports on Form 10-Q incorporated by reference in the Prospectus do not comply as to form in all material respects with the applicable accounting requirements of the Exchange Act and the related published rules and regulations or</w:t>
      </w:r>
    </w:p>
    <w:p>
      <w:pPr>
        <w:spacing w:after="0" w:line="2" w:lineRule="exact"/>
        <w:rPr>
          <w:rFonts w:ascii="Courier New" w:cs="Courier New" w:eastAsia="Courier New" w:hAnsi="Courier New"/>
          <w:sz w:val="14"/>
          <w:szCs w:val="14"/>
          <w:color w:val="auto"/>
        </w:rPr>
      </w:pPr>
    </w:p>
    <w:p>
      <w:pPr>
        <w:ind w:left="440" w:right="3239" w:firstLine="4"/>
        <w:spacing w:after="0" w:line="236" w:lineRule="auto"/>
        <w:tabs>
          <w:tab w:leader="none" w:pos="87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modifications should be made to the unaudited condensed consolidated statements of income, consolidated balance sheets and consolidated statements of cash flows included in the Prospectus or included in the Company's Quarterly Reports on Form 10-Q incorporated by reference in the Prospectus for them to be in conformity with generally accepted accounting principles;</w:t>
      </w:r>
    </w:p>
    <w:p>
      <w:pPr>
        <w:spacing w:after="0" w:line="174" w:lineRule="exact"/>
        <w:rPr>
          <w:rFonts w:ascii="Courier New" w:cs="Courier New" w:eastAsia="Courier New" w:hAnsi="Courier New"/>
          <w:sz w:val="15"/>
          <w:szCs w:val="15"/>
          <w:color w:val="auto"/>
        </w:rPr>
      </w:pPr>
    </w:p>
    <w:p>
      <w:pPr>
        <w:ind w:left="440" w:right="3239" w:firstLine="529"/>
        <w:spacing w:after="0" w:line="255" w:lineRule="auto"/>
        <w:tabs>
          <w:tab w:leader="none" w:pos="1402"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or incorporated by reference in the Company's Annual Report on Form 10-K for the most recent fiscal year;</w:t>
      </w:r>
    </w:p>
    <w:p>
      <w:pPr>
        <w:spacing w:after="0" w:line="165" w:lineRule="exact"/>
        <w:rPr>
          <w:rFonts w:ascii="Courier New" w:cs="Courier New" w:eastAsia="Courier New" w:hAnsi="Courier New"/>
          <w:sz w:val="14"/>
          <w:szCs w:val="14"/>
          <w:color w:val="auto"/>
        </w:rPr>
      </w:pPr>
    </w:p>
    <w:p>
      <w:pPr>
        <w:jc w:val="both"/>
        <w:ind w:left="440" w:right="3319" w:firstLine="529"/>
        <w:spacing w:after="0" w:line="261" w:lineRule="auto"/>
        <w:tabs>
          <w:tab w:leader="none" w:pos="1402"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financial statements which were not included in the Prospectus but from which were derived the unaudited condensed</w:t>
      </w:r>
    </w:p>
    <w:p>
      <w:pPr>
        <w:spacing w:after="0" w:line="15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9"/>
          </w:cols>
          <w:pgMar w:left="660" w:top="624" w:right="1440" w:bottom="1440" w:gutter="0" w:footer="0" w:header="0"/>
        </w:sectPr>
      </w:pPr>
    </w:p>
    <w:bookmarkStart w:id="65" w:name="page66"/>
    <w:bookmarkEnd w:id="65"/>
    <w:p>
      <w:pPr>
        <w:ind w:left="440" w:right="3319"/>
        <w:spacing w:after="0" w:line="255" w:lineRule="auto"/>
        <w:rPr>
          <w:sz w:val="20"/>
          <w:szCs w:val="20"/>
          <w:color w:val="auto"/>
        </w:rPr>
      </w:pPr>
      <w:r>
        <w:rPr>
          <w:rFonts w:ascii="Courier New" w:cs="Courier New" w:eastAsia="Courier New" w:hAnsi="Courier New"/>
          <w:sz w:val="14"/>
          <w:szCs w:val="14"/>
          <w:color w:val="auto"/>
        </w:rPr>
        <w:t>financial statements referred to in Clause (A) and any unaudited income statement data and balance sheet items included in the Prospectus and referred to in Clause (B) were not determined on a basis substantially consistent with the basis for the audited financial statements included or incorporated by reference in the Company's Annual Report on Form 10-K for the most recent fiscal year;</w:t>
      </w:r>
    </w:p>
    <w:p>
      <w:pPr>
        <w:spacing w:after="0" w:line="166" w:lineRule="exact"/>
        <w:rPr>
          <w:sz w:val="20"/>
          <w:szCs w:val="20"/>
          <w:color w:val="auto"/>
        </w:rPr>
      </w:pPr>
    </w:p>
    <w:p>
      <w:pPr>
        <w:ind w:left="440" w:right="3239" w:firstLine="529"/>
        <w:spacing w:after="0" w:line="236" w:lineRule="auto"/>
        <w:tabs>
          <w:tab w:leader="none" w:pos="1402"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unaudited pro forma consolidated condensed financial statements included or incorporated by reference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175" w:lineRule="exact"/>
        <w:rPr>
          <w:rFonts w:ascii="Courier New" w:cs="Courier New" w:eastAsia="Courier New" w:hAnsi="Courier New"/>
          <w:sz w:val="15"/>
          <w:szCs w:val="15"/>
          <w:color w:val="auto"/>
        </w:rPr>
      </w:pPr>
    </w:p>
    <w:p>
      <w:pPr>
        <w:ind w:left="440" w:right="3239" w:firstLine="529"/>
        <w:spacing w:after="0" w:line="255" w:lineRule="auto"/>
        <w:tabs>
          <w:tab w:leader="none" w:pos="1402"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a specified date not more than three 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balance sheet included or incorporated by reference in the Prospectus) or any increase in the consolidated long-term debt of the Company, or any decreases in consolidated net current assets or net assets or other items specified by the Representatives, or any increases in any items specified by the Representatives,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163" w:lineRule="exact"/>
        <w:rPr>
          <w:rFonts w:ascii="Courier New" w:cs="Courier New" w:eastAsia="Courier New" w:hAnsi="Courier New"/>
          <w:sz w:val="14"/>
          <w:szCs w:val="14"/>
          <w:color w:val="auto"/>
        </w:rPr>
      </w:pPr>
    </w:p>
    <w:p>
      <w:pPr>
        <w:ind w:left="440" w:right="3319" w:firstLine="529"/>
        <w:spacing w:after="0" w:line="255" w:lineRule="auto"/>
        <w:tabs>
          <w:tab w:leader="none" w:pos="1402"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period from the date of the latest financial statements included or incorporated by reference in the Prospectus to the specified date referred to in Clause (E) there were any decreases in revenue, or in income before gain on sale of real estate and extraordinary items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increases or decreases which the Prospectus discloses have occurred or may occur or which are described in such letter; and</w:t>
      </w:r>
    </w:p>
    <w:p>
      <w:pPr>
        <w:spacing w:after="0" w:line="157" w:lineRule="exact"/>
        <w:rPr>
          <w:rFonts w:ascii="Courier New" w:cs="Courier New" w:eastAsia="Courier New" w:hAnsi="Courier New"/>
          <w:sz w:val="14"/>
          <w:szCs w:val="14"/>
          <w:color w:val="auto"/>
        </w:rPr>
      </w:pPr>
    </w:p>
    <w:p>
      <w:pPr>
        <w:ind w:left="1060" w:hanging="616"/>
        <w:spacing w:after="0"/>
        <w:tabs>
          <w:tab w:leader="none" w:pos="10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audit referred to in their reports</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included or incorporated by reference in the Prospectus and the limited procedures, inspection of minute books, inquiries and other procedures referred to in paragraphs (iii) and (vi) above, they have carried out certain specified procedures, not constituting an audit in accordance with generally accepted auditing standards, with respect to certain amounts, percentages and financial information specified by the Representatives</w:t>
      </w:r>
    </w:p>
    <w:p>
      <w:pPr>
        <w:spacing w:after="0" w:line="16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9"/>
          </w:cols>
          <w:pgMar w:left="660" w:top="624" w:right="1440" w:bottom="1440" w:gutter="0" w:footer="0" w:header="0"/>
        </w:sectPr>
      </w:pPr>
    </w:p>
    <w:bookmarkStart w:id="66" w:name="page67"/>
    <w:bookmarkEnd w:id="66"/>
    <w:p>
      <w:pPr>
        <w:ind w:left="440" w:right="3239"/>
        <w:spacing w:after="0" w:line="255" w:lineRule="auto"/>
        <w:rPr>
          <w:sz w:val="20"/>
          <w:szCs w:val="20"/>
          <w:color w:val="auto"/>
        </w:rPr>
      </w:pPr>
      <w:r>
        <w:rPr>
          <w:rFonts w:ascii="Courier New" w:cs="Courier New" w:eastAsia="Courier New" w:hAnsi="Courier New"/>
          <w:sz w:val="14"/>
          <w:szCs w:val="14"/>
          <w:color w:val="auto"/>
        </w:rPr>
        <w:t>which are derived from the general accounting records of the Company and its subsidiaries, which appear in the Prospectus (excluding documents incorporated by reference), or in Part II of, or in exhibits and schedules to, the Registration Statement specified by the Representatives or in documents incorporated by reference in the Prospectus specified by the Representatives, and have compared certain of such amounts, percentages and financial information with the accounting records of the Company and its subsidiaries and have found them to be in agreement.</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references in this Annex II to the Prospectus shall be deemed to refer to the Prospectus (including the documents incorporated by reference therein) as defined in the Underwriting Agreement as of the date of the letter delivered on the date of the Pricing Agreement for purposes of such letter and to the Prospectus as amended or supplemented (including the documents incorporated by reference therein) in relation to the applicable Designated Securities for purposes of the letter delivered at the Time of Delivery for such Designated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67" w:name="page68"/>
    <w:bookmarkEnd w:id="67"/>
    <w:p>
      <w:pPr>
        <w:ind w:left="6220"/>
        <w:spacing w:after="0"/>
        <w:rPr>
          <w:sz w:val="20"/>
          <w:szCs w:val="20"/>
          <w:color w:val="auto"/>
        </w:rPr>
      </w:pPr>
      <w:r>
        <w:rPr>
          <w:rFonts w:ascii="Courier New" w:cs="Courier New" w:eastAsia="Courier New" w:hAnsi="Courier New"/>
          <w:sz w:val="15"/>
          <w:szCs w:val="15"/>
          <w:color w:val="auto"/>
        </w:rPr>
        <w:t>ANNEX III</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Corporations (including Subsidiaries), Partnerships, Limited Liability Companies</w:t>
      </w:r>
    </w:p>
    <w:p>
      <w:pPr>
        <w:spacing w:after="0" w:line="10" w:lineRule="exact"/>
        <w:rPr>
          <w:sz w:val="20"/>
          <w:szCs w:val="20"/>
          <w:color w:val="auto"/>
        </w:rPr>
      </w:pPr>
    </w:p>
    <w:p>
      <w:pPr>
        <w:ind w:left="180" w:hanging="170"/>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Joint Venture of Federal Realty Investment Trust ("FRIT")</w:t>
      </w: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FRIT</w:t>
            </w:r>
          </w:p>
        </w:tc>
      </w:tr>
      <w:tr>
        <w:trPr>
          <w:trHeight w:val="168"/>
        </w:trPr>
        <w:tc>
          <w:tcPr>
            <w:tcW w:w="4600" w:type="dxa"/>
            <w:vAlign w:val="bottom"/>
          </w:tcPr>
          <w:p>
            <w:pPr>
              <w:spacing w:after="0"/>
              <w:rPr>
                <w:sz w:val="14"/>
                <w:szCs w:val="14"/>
                <w:color w:val="auto"/>
              </w:rPr>
            </w:pP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Type</w:t>
            </w:r>
          </w:p>
        </w:tc>
        <w:tc>
          <w:tcPr>
            <w:tcW w:w="2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Ownership Interest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8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Subsidiaries:</w:t>
            </w:r>
          </w:p>
        </w:tc>
        <w:tc>
          <w:tcPr>
            <w:tcW w:w="2580" w:type="dxa"/>
            <w:vAlign w:val="bottom"/>
          </w:tcPr>
          <w:p>
            <w:pPr>
              <w:spacing w:after="0"/>
              <w:rPr>
                <w:sz w:val="24"/>
                <w:szCs w:val="24"/>
                <w:color w:val="auto"/>
              </w:rPr>
            </w:pPr>
          </w:p>
        </w:tc>
      </w:tr>
      <w:tr>
        <w:trPr>
          <w:trHeight w:val="336"/>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FRIT-WM, Inc.</w:t>
            </w:r>
          </w:p>
        </w:tc>
        <w:tc>
          <w:tcPr>
            <w:tcW w:w="2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FR Acquisitions Holding Co., Inc.</w:t>
            </w:r>
          </w:p>
        </w:tc>
        <w:tc>
          <w:tcPr>
            <w:tcW w:w="2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Street Retail Inc. ("SRI")</w:t>
            </w:r>
          </w:p>
        </w:tc>
        <w:tc>
          <w:tcPr>
            <w:tcW w:w="2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4600" w:type="dxa"/>
            <w:vAlign w:val="bottom"/>
          </w:tcPr>
          <w:p>
            <w:pPr>
              <w:ind w:left="880"/>
              <w:spacing w:after="0"/>
              <w:rPr>
                <w:sz w:val="20"/>
                <w:szCs w:val="20"/>
                <w:color w:val="auto"/>
              </w:rPr>
            </w:pPr>
            <w:r>
              <w:rPr>
                <w:rFonts w:ascii="Courier New" w:cs="Courier New" w:eastAsia="Courier New" w:hAnsi="Courier New"/>
                <w:sz w:val="15"/>
                <w:szCs w:val="15"/>
                <w:color w:val="auto"/>
              </w:rPr>
              <w:t>Subsidiary of Street Retail, Inc.</w:t>
            </w:r>
          </w:p>
        </w:tc>
        <w:tc>
          <w:tcPr>
            <w:tcW w:w="2580" w:type="dxa"/>
            <w:vAlign w:val="bottom"/>
          </w:tcPr>
          <w:p>
            <w:pPr>
              <w:spacing w:after="0"/>
              <w:rPr>
                <w:sz w:val="24"/>
                <w:szCs w:val="24"/>
                <w:color w:val="auto"/>
              </w:rPr>
            </w:pPr>
          </w:p>
        </w:tc>
      </w:tr>
      <w:tr>
        <w:trPr>
          <w:trHeight w:val="336"/>
        </w:trPr>
        <w:tc>
          <w:tcPr>
            <w:tcW w:w="4600" w:type="dxa"/>
            <w:vAlign w:val="bottom"/>
          </w:tcPr>
          <w:p>
            <w:pPr>
              <w:ind w:left="1320"/>
              <w:spacing w:after="0"/>
              <w:rPr>
                <w:sz w:val="20"/>
                <w:szCs w:val="20"/>
                <w:color w:val="auto"/>
              </w:rPr>
            </w:pPr>
            <w:r>
              <w:rPr>
                <w:rFonts w:ascii="Courier New" w:cs="Courier New" w:eastAsia="Courier New" w:hAnsi="Courier New"/>
                <w:sz w:val="15"/>
                <w:szCs w:val="15"/>
                <w:color w:val="auto"/>
              </w:rPr>
              <w:t>Street Retail West GP, Inc.</w:t>
            </w:r>
          </w:p>
        </w:tc>
        <w:tc>
          <w:tcPr>
            <w:tcW w:w="2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FR Pike 7 Limited Partnership</w:t>
            </w:r>
          </w:p>
        </w:tc>
        <w:tc>
          <w:tcPr>
            <w:tcW w:w="2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99%</w:t>
            </w:r>
          </w:p>
        </w:tc>
      </w:tr>
      <w:tr>
        <w:trPr>
          <w:trHeight w:val="336"/>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FRLP, Inc.</w:t>
            </w:r>
          </w:p>
        </w:tc>
        <w:tc>
          <w:tcPr>
            <w:tcW w:w="2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Federal Realty Partners, Inc.</w:t>
            </w:r>
          </w:p>
        </w:tc>
        <w:tc>
          <w:tcPr>
            <w:tcW w:w="2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Federal Realty Partners, L.P.</w:t>
            </w:r>
          </w:p>
        </w:tc>
        <w:tc>
          <w:tcPr>
            <w:tcW w:w="2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SRI Holding Company, Inc.</w:t>
            </w:r>
          </w:p>
        </w:tc>
        <w:tc>
          <w:tcPr>
            <w:tcW w:w="2580" w:type="dxa"/>
            <w:vAlign w:val="bottom"/>
          </w:tcPr>
          <w:p>
            <w:pPr>
              <w:ind w:left="1000"/>
              <w:spacing w:after="0"/>
              <w:rPr>
                <w:sz w:val="20"/>
                <w:szCs w:val="20"/>
                <w:color w:val="auto"/>
              </w:rPr>
            </w:pPr>
            <w:r>
              <w:rPr>
                <w:rFonts w:ascii="Courier New" w:cs="Courier New" w:eastAsia="Courier New" w:hAnsi="Courier New"/>
                <w:sz w:val="15"/>
                <w:szCs w:val="15"/>
                <w:color w:val="auto"/>
              </w:rPr>
              <w:t>SRI owns 100%</w:t>
            </w:r>
          </w:p>
        </w:tc>
      </w:tr>
      <w:tr>
        <w:trPr>
          <w:trHeight w:val="168"/>
        </w:trPr>
        <w:tc>
          <w:tcPr>
            <w:tcW w:w="4600" w:type="dxa"/>
            <w:vAlign w:val="bottom"/>
          </w:tcPr>
          <w:p>
            <w:pPr>
              <w:spacing w:after="0"/>
              <w:rPr>
                <w:sz w:val="14"/>
                <w:szCs w:val="14"/>
                <w:color w:val="auto"/>
              </w:rPr>
            </w:pPr>
          </w:p>
        </w:tc>
        <w:tc>
          <w:tcPr>
            <w:tcW w:w="258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of voting stock</w:t>
            </w:r>
          </w:p>
        </w:tc>
      </w:tr>
      <w:tr>
        <w:trPr>
          <w:trHeight w:val="336"/>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SRI Texas, Inc.</w:t>
            </w:r>
          </w:p>
        </w:tc>
        <w:tc>
          <w:tcPr>
            <w:tcW w:w="2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Street Retail San Antonio, L.P.</w:t>
            </w:r>
          </w:p>
        </w:tc>
        <w:tc>
          <w:tcPr>
            <w:tcW w:w="2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TRS Development, Inc.</w:t>
            </w:r>
          </w:p>
        </w:tc>
        <w:tc>
          <w:tcPr>
            <w:tcW w:w="2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Terranomics Retail Services, Inc.</w:t>
            </w:r>
          </w:p>
        </w:tc>
        <w:tc>
          <w:tcPr>
            <w:tcW w:w="2580" w:type="dxa"/>
            <w:vAlign w:val="bottom"/>
          </w:tcPr>
          <w:p>
            <w:pPr>
              <w:ind w:left="920"/>
              <w:spacing w:after="0"/>
              <w:rPr>
                <w:sz w:val="20"/>
                <w:szCs w:val="20"/>
                <w:color w:val="auto"/>
              </w:rPr>
            </w:pPr>
            <w:r>
              <w:rPr>
                <w:rFonts w:ascii="Courier New" w:cs="Courier New" w:eastAsia="Courier New" w:hAnsi="Courier New"/>
                <w:sz w:val="15"/>
                <w:szCs w:val="15"/>
                <w:color w:val="auto"/>
              </w:rPr>
              <w:t>FRIT owns 100%</w:t>
            </w:r>
          </w:p>
        </w:tc>
      </w:tr>
      <w:tr>
        <w:trPr>
          <w:trHeight w:val="168"/>
        </w:trPr>
        <w:tc>
          <w:tcPr>
            <w:tcW w:w="4600" w:type="dxa"/>
            <w:vAlign w:val="bottom"/>
          </w:tcPr>
          <w:p>
            <w:pPr>
              <w:spacing w:after="0"/>
              <w:rPr>
                <w:sz w:val="14"/>
                <w:szCs w:val="14"/>
                <w:color w:val="auto"/>
              </w:rPr>
            </w:pPr>
          </w:p>
        </w:tc>
        <w:tc>
          <w:tcPr>
            <w:tcW w:w="258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of voting stock</w:t>
            </w:r>
          </w:p>
        </w:tc>
      </w:tr>
    </w:tbl>
    <w:p>
      <w:pPr>
        <w:sectPr>
          <w:pgSz w:w="11900" w:h="16838" w:orient="portrait"/>
          <w:cols w:equalWidth="0" w:num="1">
            <w:col w:w="10239"/>
          </w:cols>
          <w:pgMar w:left="220" w:top="617" w:right="1440"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20"/>
                <w:szCs w:val="20"/>
                <w:color w:val="auto"/>
              </w:rPr>
            </w:pPr>
            <w:r>
              <w:rPr>
                <w:rFonts w:ascii="Courier New" w:cs="Courier New" w:eastAsia="Courier New" w:hAnsi="Courier New"/>
                <w:sz w:val="15"/>
                <w:szCs w:val="15"/>
                <w:color w:val="auto"/>
              </w:rPr>
              <w:t>Corporations, Partnerships and Limited Liability Companies:</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Andorra Associates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420" w:type="dxa"/>
            <w:vAlign w:val="bottom"/>
          </w:tcPr>
          <w:p>
            <w:pPr>
              <w:ind w:left="80"/>
              <w:spacing w:after="0"/>
              <w:rPr>
                <w:sz w:val="20"/>
                <w:szCs w:val="20"/>
                <w:color w:val="auto"/>
              </w:rPr>
            </w:pPr>
            <w:r>
              <w:rPr>
                <w:rFonts w:ascii="Courier New" w:cs="Courier New" w:eastAsia="Courier New" w:hAnsi="Courier New"/>
                <w:sz w:val="15"/>
                <w:szCs w:val="15"/>
                <w:color w:val="auto"/>
                <w:w w:val="88"/>
              </w:rPr>
              <w:t>FRIT</w:t>
            </w:r>
          </w:p>
        </w:tc>
      </w:tr>
      <w:tr>
        <w:trPr>
          <w:trHeight w:val="168"/>
        </w:trPr>
        <w:tc>
          <w:tcPr>
            <w:tcW w:w="55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4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FRA</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Berman Enterprises II Limited Partnership</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c>
          <w:tcPr>
            <w:tcW w:w="4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FRIT</w:t>
            </w:r>
          </w:p>
        </w:tc>
      </w:tr>
      <w:tr>
        <w:trPr>
          <w:trHeight w:val="168"/>
        </w:trPr>
        <w:tc>
          <w:tcPr>
            <w:tcW w:w="55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4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FRA</w:t>
            </w: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FR Associates Limited Partnership ("FRA")</w:t>
            </w:r>
          </w:p>
        </w:tc>
        <w:tc>
          <w:tcPr>
            <w:tcW w:w="620" w:type="dxa"/>
            <w:vAlign w:val="bottom"/>
          </w:tcPr>
          <w:p>
            <w:pPr>
              <w:spacing w:after="0"/>
              <w:rPr>
                <w:sz w:val="24"/>
                <w:szCs w:val="24"/>
                <w:color w:val="auto"/>
              </w:rPr>
            </w:pPr>
          </w:p>
        </w:tc>
        <w:tc>
          <w:tcPr>
            <w:tcW w:w="4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99%</w:t>
            </w: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FRIT Escondido Promenade, LLC</w:t>
            </w:r>
          </w:p>
        </w:tc>
        <w:tc>
          <w:tcPr>
            <w:tcW w:w="620" w:type="dxa"/>
            <w:vAlign w:val="bottom"/>
          </w:tcPr>
          <w:p>
            <w:pPr>
              <w:spacing w:after="0"/>
              <w:rPr>
                <w:sz w:val="24"/>
                <w:szCs w:val="24"/>
                <w:color w:val="auto"/>
              </w:rPr>
            </w:pPr>
          </w:p>
        </w:tc>
        <w:tc>
          <w:tcPr>
            <w:tcW w:w="4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70%</w:t>
            </w: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FRIT San Jose Town and Country Village LLC</w:t>
            </w:r>
          </w:p>
        </w:tc>
        <w:tc>
          <w:tcPr>
            <w:tcW w:w="620" w:type="dxa"/>
            <w:vAlign w:val="bottom"/>
          </w:tcPr>
          <w:p>
            <w:pPr>
              <w:spacing w:after="0"/>
              <w:rPr>
                <w:sz w:val="24"/>
                <w:szCs w:val="24"/>
                <w:color w:val="auto"/>
              </w:rPr>
            </w:pPr>
          </w:p>
        </w:tc>
        <w:tc>
          <w:tcPr>
            <w:tcW w:w="4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75%</w:t>
            </w: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Governor Plaza Associates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420" w:type="dxa"/>
            <w:vAlign w:val="bottom"/>
          </w:tcPr>
          <w:p>
            <w:pPr>
              <w:ind w:left="80"/>
              <w:spacing w:after="0"/>
              <w:rPr>
                <w:sz w:val="20"/>
                <w:szCs w:val="20"/>
                <w:color w:val="auto"/>
              </w:rPr>
            </w:pPr>
            <w:r>
              <w:rPr>
                <w:rFonts w:ascii="Courier New" w:cs="Courier New" w:eastAsia="Courier New" w:hAnsi="Courier New"/>
                <w:sz w:val="15"/>
                <w:szCs w:val="15"/>
                <w:color w:val="auto"/>
                <w:w w:val="88"/>
              </w:rPr>
              <w:t>FRIT</w:t>
            </w:r>
          </w:p>
        </w:tc>
      </w:tr>
      <w:tr>
        <w:trPr>
          <w:trHeight w:val="168"/>
        </w:trPr>
        <w:tc>
          <w:tcPr>
            <w:tcW w:w="55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4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FRA</w:t>
            </w: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Loehmann's Plaza Limited Partnership</w:t>
            </w:r>
          </w:p>
        </w:tc>
        <w:tc>
          <w:tcPr>
            <w:tcW w:w="620" w:type="dxa"/>
            <w:vAlign w:val="bottom"/>
          </w:tcPr>
          <w:p>
            <w:pPr>
              <w:spacing w:after="0"/>
              <w:rPr>
                <w:sz w:val="24"/>
                <w:szCs w:val="24"/>
                <w:color w:val="auto"/>
              </w:rPr>
            </w:pPr>
          </w:p>
        </w:tc>
        <w:tc>
          <w:tcPr>
            <w:tcW w:w="4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San Jose Residential, Inc.</w:t>
            </w:r>
          </w:p>
        </w:tc>
        <w:tc>
          <w:tcPr>
            <w:tcW w:w="2220" w:type="dxa"/>
            <w:vAlign w:val="bottom"/>
          </w:tcPr>
          <w:p>
            <w:pPr>
              <w:spacing w:after="0"/>
              <w:rPr>
                <w:sz w:val="14"/>
                <w:szCs w:val="14"/>
                <w:color w:val="auto"/>
              </w:rPr>
            </w:pPr>
          </w:p>
        </w:tc>
        <w:tc>
          <w:tcPr>
            <w:tcW w:w="1920" w:type="dxa"/>
            <w:vAlign w:val="bottom"/>
          </w:tcPr>
          <w:p>
            <w:pPr>
              <w:ind w:left="260"/>
              <w:spacing w:after="0"/>
              <w:rPr>
                <w:sz w:val="20"/>
                <w:szCs w:val="20"/>
                <w:color w:val="auto"/>
              </w:rPr>
            </w:pPr>
            <w:r>
              <w:rPr>
                <w:rFonts w:ascii="Courier New" w:cs="Courier New" w:eastAsia="Courier New" w:hAnsi="Courier New"/>
                <w:sz w:val="15"/>
                <w:szCs w:val="15"/>
                <w:color w:val="auto"/>
              </w:rPr>
              <w:t>FRIT San Jose Town</w:t>
            </w:r>
          </w:p>
        </w:tc>
      </w:tr>
      <w:tr>
        <w:trPr>
          <w:trHeight w:val="168"/>
        </w:trPr>
        <w:tc>
          <w:tcPr>
            <w:tcW w:w="2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and Country Village</w:t>
            </w:r>
          </w:p>
        </w:tc>
      </w:tr>
      <w:tr>
        <w:trPr>
          <w:trHeight w:val="168"/>
        </w:trPr>
        <w:tc>
          <w:tcPr>
            <w:tcW w:w="2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LLC owns 100% of</w:t>
            </w:r>
          </w:p>
        </w:tc>
      </w:tr>
      <w:tr>
        <w:trPr>
          <w:trHeight w:val="168"/>
        </w:trPr>
        <w:tc>
          <w:tcPr>
            <w:tcW w:w="2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non-voting stock</w:t>
            </w:r>
          </w:p>
        </w:tc>
      </w:tr>
      <w:tr>
        <w:trPr>
          <w:trHeight w:val="336"/>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SRI Old Town, LLC</w:t>
            </w:r>
          </w:p>
        </w:tc>
        <w:tc>
          <w:tcPr>
            <w:tcW w:w="2220" w:type="dxa"/>
            <w:vAlign w:val="bottom"/>
          </w:tcPr>
          <w:p>
            <w:pPr>
              <w:spacing w:after="0"/>
              <w:rPr>
                <w:sz w:val="24"/>
                <w:szCs w:val="24"/>
                <w:color w:val="auto"/>
              </w:rPr>
            </w:pP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SRI San Antonio, Inc.</w:t>
            </w:r>
          </w:p>
        </w:tc>
        <w:tc>
          <w:tcPr>
            <w:tcW w:w="2220" w:type="dxa"/>
            <w:vAlign w:val="bottom"/>
          </w:tcPr>
          <w:p>
            <w:pPr>
              <w:spacing w:after="0"/>
              <w:rPr>
                <w:sz w:val="24"/>
                <w:szCs w:val="24"/>
                <w:color w:val="auto"/>
              </w:rPr>
            </w:pP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5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Shopping Center Associates Limited Partnership</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 FRIT</w:t>
            </w:r>
          </w:p>
        </w:tc>
      </w:tr>
      <w:tr>
        <w:trPr>
          <w:trHeight w:val="168"/>
        </w:trPr>
        <w:tc>
          <w:tcPr>
            <w:tcW w:w="2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 FRA</w:t>
            </w:r>
          </w:p>
        </w:tc>
      </w:tr>
      <w:tr>
        <w:trPr>
          <w:trHeight w:val="336"/>
        </w:trPr>
        <w:tc>
          <w:tcPr>
            <w:tcW w:w="5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Street Retail Forest Hills I, LLC</w:t>
            </w: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90%</w:t>
            </w:r>
          </w:p>
        </w:tc>
      </w:tr>
      <w:tr>
        <w:trPr>
          <w:trHeight w:val="336"/>
        </w:trPr>
        <w:tc>
          <w:tcPr>
            <w:tcW w:w="5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Street Retail Forest Hills II, LLC</w:t>
            </w: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90%</w:t>
            </w:r>
          </w:p>
        </w:tc>
      </w:tr>
      <w:tr>
        <w:trPr>
          <w:trHeight w:val="336"/>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Street Retail Tempe I, LLC</w:t>
            </w:r>
          </w:p>
        </w:tc>
        <w:tc>
          <w:tcPr>
            <w:tcW w:w="2220" w:type="dxa"/>
            <w:vAlign w:val="bottom"/>
          </w:tcPr>
          <w:p>
            <w:pPr>
              <w:spacing w:after="0"/>
              <w:rPr>
                <w:sz w:val="24"/>
                <w:szCs w:val="24"/>
                <w:color w:val="auto"/>
              </w:rPr>
            </w:pP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90%</w:t>
            </w:r>
          </w:p>
        </w:tc>
      </w:tr>
      <w:tr>
        <w:trPr>
          <w:trHeight w:val="336"/>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Street Retail West I, L.P.</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(indirect partnership)</w:t>
            </w: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90%</w:t>
            </w:r>
          </w:p>
        </w:tc>
      </w:tr>
      <w:tr>
        <w:trPr>
          <w:trHeight w:val="336"/>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w w:val="98"/>
              </w:rPr>
              <w:t>Street Retail West II, L.P.</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(indirect partnership)</w:t>
            </w: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90%</w:t>
            </w:r>
          </w:p>
        </w:tc>
      </w:tr>
      <w:tr>
        <w:trPr>
          <w:trHeight w:val="336"/>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Street Retail West 3, L.P.</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(indirect partnership)</w:t>
            </w: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90%</w:t>
            </w:r>
          </w:p>
        </w:tc>
      </w:tr>
      <w:tr>
        <w:trPr>
          <w:trHeight w:val="336"/>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Street Retail West 4, L.P.</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(indirect partnership)</w:t>
            </w: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90%</w:t>
            </w:r>
          </w:p>
        </w:tc>
      </w:tr>
      <w:tr>
        <w:trPr>
          <w:trHeight w:val="336"/>
        </w:trPr>
        <w:tc>
          <w:tcPr>
            <w:tcW w:w="5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Virginia Real Estate Investors Limited Partnership</w:t>
            </w:r>
          </w:p>
        </w:tc>
        <w:tc>
          <w:tcPr>
            <w:tcW w:w="1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99%</w:t>
            </w:r>
          </w:p>
        </w:tc>
      </w:tr>
      <w:tr>
        <w:trPr>
          <w:trHeight w:val="505"/>
        </w:trPr>
        <w:tc>
          <w:tcPr>
            <w:tcW w:w="2860" w:type="dxa"/>
            <w:vAlign w:val="bottom"/>
          </w:tcPr>
          <w:p>
            <w:pPr>
              <w:spacing w:after="0"/>
              <w:rPr>
                <w:sz w:val="20"/>
                <w:szCs w:val="20"/>
                <w:color w:val="auto"/>
              </w:rPr>
            </w:pPr>
            <w:r>
              <w:rPr>
                <w:rFonts w:ascii="Courier New" w:cs="Courier New" w:eastAsia="Courier New" w:hAnsi="Courier New"/>
                <w:sz w:val="15"/>
                <w:szCs w:val="15"/>
                <w:color w:val="auto"/>
              </w:rPr>
              <w:t>Joint Venture:</w:t>
            </w:r>
          </w:p>
        </w:tc>
        <w:tc>
          <w:tcPr>
            <w:tcW w:w="2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36"/>
        </w:trPr>
        <w:tc>
          <w:tcPr>
            <w:tcW w:w="5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Congressional Plaza Associates</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55.7%</w:t>
            </w:r>
          </w:p>
        </w:tc>
      </w:tr>
    </w:tbl>
    <w:p>
      <w:pPr>
        <w:sectPr>
          <w:pgSz w:w="11900" w:h="16838" w:orient="portrait"/>
          <w:cols w:equalWidth="0" w:num="1">
            <w:col w:w="10239"/>
          </w:cols>
          <w:pgMar w:left="220" w:top="1290" w:right="1440" w:bottom="1440" w:gutter="0" w:footer="0" w:header="0"/>
        </w:sectPr>
      </w:pPr>
    </w:p>
    <w:bookmarkStart w:id="69" w:name="page70"/>
    <w:bookmarkEnd w:id="69"/>
    <w:p>
      <w:pPr>
        <w:jc w:val="right"/>
        <w:ind w:right="3239"/>
        <w:spacing w:after="0"/>
        <w:rPr>
          <w:sz w:val="20"/>
          <w:szCs w:val="20"/>
          <w:color w:val="auto"/>
        </w:rPr>
      </w:pPr>
      <w:r>
        <w:rPr>
          <w:rFonts w:ascii="Courier New" w:cs="Courier New" w:eastAsia="Courier New" w:hAnsi="Courier New"/>
          <w:sz w:val="15"/>
          <w:szCs w:val="15"/>
          <w:color w:val="auto"/>
        </w:rPr>
        <w:t>EXHIBIT 1(b)</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Common Shares and Preferred Shares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Underwriting Agreement</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Underwriter]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From time to time Federal Realty Investment Trust, a business trust organized under the laws of the District of Columbia (the "Company"), proposes to enter into one or more Pricing Agreements (each a "Pricing Agreement") in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shares of beneficial interest (the "Shares") specified in Schedule II to such Pricing Agreement (with respect to such Pricing Agreement, the "Designated Shares"). The Shares may include the Company's shares of beneficial interest, no par or stated value (the "Common Shares"), or preferred shares (the "Preferred Shares").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terms and rights of any particular issuance of Designated Shares shall be as specified in the Pricing Agreement relating thereto and in or pursuant to the resolutions of the board of trustees of the Company identified in such Pricing Agreement.</w:t>
      </w:r>
    </w:p>
    <w:p>
      <w:pPr>
        <w:spacing w:after="0" w:line="175" w:lineRule="exact"/>
        <w:rPr>
          <w:sz w:val="20"/>
          <w:szCs w:val="20"/>
          <w:color w:val="auto"/>
        </w:rPr>
      </w:pPr>
    </w:p>
    <w:p>
      <w:pPr>
        <w:ind w:right="3239" w:firstLine="447"/>
        <w:spacing w:after="0" w:line="255" w:lineRule="auto"/>
        <w:tabs>
          <w:tab w:leader="none" w:pos="70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Particular sales of Designated Shares may be made from time to time to the Underwriters of such Shares, for whom the firms designated as representatives of the Underwriters of such Shares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Shares or as an obligation of any of the Underwriters to purchase the Shares. The obligation of the Company to issue and sell any of the Shares and the obligation of any of the Underwriters to purchase any of the Shares shall be evidenced by the Pricing Agreement with respect to the Designated Shares specified therein. Each Pricing Agreement shall specify the aggregate number of such Designated Shares, the</w:t>
      </w:r>
    </w:p>
    <w:p>
      <w:pPr>
        <w:sectPr>
          <w:pgSz w:w="11900" w:h="16838" w:orient="portrait"/>
          <w:cols w:equalWidth="0" w:num="1">
            <w:col w:w="10239"/>
          </w:cols>
          <w:pgMar w:left="220" w:top="471" w:right="1440" w:bottom="1440" w:gutter="0" w:footer="0" w:header="0"/>
        </w:sectPr>
      </w:pPr>
    </w:p>
    <w:bookmarkStart w:id="70" w:name="page71"/>
    <w:bookmarkEnd w:id="70"/>
    <w:p>
      <w:pPr>
        <w:ind w:right="3239"/>
        <w:spacing w:after="0" w:line="255" w:lineRule="auto"/>
        <w:rPr>
          <w:sz w:val="20"/>
          <w:szCs w:val="20"/>
          <w:color w:val="auto"/>
        </w:rPr>
      </w:pPr>
      <w:r>
        <w:rPr>
          <w:rFonts w:ascii="Courier New" w:cs="Courier New" w:eastAsia="Courier New" w:hAnsi="Courier New"/>
          <w:sz w:val="14"/>
          <w:szCs w:val="14"/>
          <w:color w:val="auto"/>
        </w:rPr>
        <w:t>initial public offering price of such Designated Shares, the purchase price to the Underwriters of such Designated Shares, the names of the Underwriters of such Designated Shares, the names of the Representatives of such Underwriters and the number of such Designated Shares to be purchased by each Underwriter and shall set forth the date, time and manner of delivery of such Designated Shares and payment therefor. The Pricing Agreement shall also specify (to the extent not set forth in the registration statement and prospectus with respect thereto) the terms of such Designated Shares. A Pricing Agreement shall be in the form of an executed writing (which may be in counterparts), and may be evidenced by an exchange of telegraphic communications or any other rapid transmission device designed to produce a written record of communications transmitted. The obligations of the Underwriters under this Agreement and each Pricing Agreement shall be several and not joint.</w:t>
      </w:r>
    </w:p>
    <w:p>
      <w:pPr>
        <w:spacing w:after="0" w:line="333" w:lineRule="exact"/>
        <w:rPr>
          <w:sz w:val="20"/>
          <w:szCs w:val="20"/>
          <w:color w:val="auto"/>
        </w:rPr>
      </w:pPr>
    </w:p>
    <w:p>
      <w:pPr>
        <w:ind w:right="3579" w:firstLine="447"/>
        <w:spacing w:after="0" w:line="234" w:lineRule="auto"/>
        <w:tabs>
          <w:tab w:leader="none" w:pos="7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represents and warrants to, and agrees with, each of the Underwriters that:</w:t>
      </w:r>
    </w:p>
    <w:p>
      <w:pPr>
        <w:spacing w:after="0" w:line="173" w:lineRule="exact"/>
        <w:rPr>
          <w:rFonts w:ascii="Courier New" w:cs="Courier New" w:eastAsia="Courier New" w:hAnsi="Courier New"/>
          <w:sz w:val="15"/>
          <w:szCs w:val="15"/>
          <w:color w:val="auto"/>
        </w:rPr>
      </w:pPr>
    </w:p>
    <w:p>
      <w:pPr>
        <w:ind w:left="440" w:right="3239" w:firstLine="269"/>
        <w:spacing w:after="0" w:line="254" w:lineRule="auto"/>
        <w:tabs>
          <w:tab w:leader="none" w:pos="114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statements on Form S-3 (File No. 33-63687 and File No. 333-_______) (the "Initial Registration Statements") in respect of the Shares have been filed with the Securities and Exchange Commission (the "Commission"); the Initial Registration Statements and any post-effective amendments thereto, each in the form heretofore delivered or to be delivered to the Representatives and, excluding exhibits to such registration statements, but including all documents incorporated by reference in the prospectuses contained therein, to the Representatives for each of the other Underwriters,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documents with respect to the Initial Registration Statements or documents incorporated by reference therein have heretofore been filed or transmitted for filing with the Commission (other than prospectuses filed pursuant to Rule 424(b) under the Act, each in the form heretofore delivered to the Representatives); and no stop orders suspending the effectiveness of the Initial Registration Statements, any post-effective amendments thereto or the Rule 462(b) Registration Statement, if any, have been issued and no proceedings for that purpose have been initiated or threatened by the Commission (any preliminary prospectus included in the Initial Registration Statements or filed with the Commission pursuant to Rule 424(a) under the Act is hereinafter called a "Preliminary Prospectus"; the various parts of the Initial Registration Statements and the Rule 462(b) Registration Statement, if any, including all exhibits thereto and the documents incorporated by reference in the prospectuses contained in the Initial Registration Statements at the time such part of the registration statements became effective but excluding Form T-1, each as amended at the time such part of the Initial Registration Statements became effective or such part of the Rule 462(b) Registration Statement, if any, became or hereafter becomes effective, are hereinafter collectively called the "Registration Statement"; the prospectus relating to the Shares, in the form in which it has most recently been filed, or transmitted for filing, with the Commission on or prior to the date of this Agreement, is hereinafter called the "Prospectus"; any reference herein to any Preliminary Prospectus or the Prospectus shall be deemed to refer to and include the documents incorporated by reference therein pursuant to Item 12 of Form S-3 under the Act, as of the date of such Preliminary</w:t>
      </w:r>
    </w:p>
    <w:p>
      <w:pPr>
        <w:spacing w:after="0" w:line="3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71" w:name="page72"/>
    <w:bookmarkEnd w:id="71"/>
    <w:p>
      <w:pPr>
        <w:ind w:right="3239"/>
        <w:spacing w:after="0" w:line="254" w:lineRule="auto"/>
        <w:rPr>
          <w:sz w:val="20"/>
          <w:szCs w:val="20"/>
          <w:color w:val="auto"/>
        </w:rPr>
      </w:pPr>
      <w:r>
        <w:rPr>
          <w:rFonts w:ascii="Courier New" w:cs="Courier New" w:eastAsia="Courier New" w:hAnsi="Courier New"/>
          <w:sz w:val="14"/>
          <w:szCs w:val="14"/>
          <w:color w:val="auto"/>
        </w:rPr>
        <w:t>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reference to the Prospectus as amended or supplemented shall be deemed to refer to the Prospectus as amended or supplemented in relation to the applicable Designated Shares in the form in which it is filed with the Commission pursuant to Rule 424(b) under the Act in accordance with Section 5(a) hereof, including any documents incorporated by reference therein as of the date of such filing; and if the Company elects to rely on Rule 434 under the Act, any reference to the Prospectus shall be deemed to include, without limitation, the form of prospectus and the abbreviated term sheet, taken together, provided to the Underwriters by the Company in reliance on Rule 434 under the Act (the "Rule 434 Prospectus");</w:t>
      </w:r>
    </w:p>
    <w:p>
      <w:pPr>
        <w:spacing w:after="0" w:line="343" w:lineRule="exact"/>
        <w:rPr>
          <w:sz w:val="20"/>
          <w:szCs w:val="20"/>
          <w:color w:val="auto"/>
        </w:rPr>
      </w:pPr>
    </w:p>
    <w:p>
      <w:pPr>
        <w:ind w:right="3239" w:firstLine="269"/>
        <w:spacing w:after="0" w:line="254" w:lineRule="auto"/>
        <w:tabs>
          <w:tab w:leader="none" w:pos="70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in light of the circumstances under which they were made;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Shares through the Representatives expressly for use in the Prospectus as amended or supplemented relating to such Shares;</w:t>
      </w:r>
    </w:p>
    <w:p>
      <w:pPr>
        <w:spacing w:after="0" w:line="343" w:lineRule="exact"/>
        <w:rPr>
          <w:rFonts w:ascii="Courier New" w:cs="Courier New" w:eastAsia="Courier New" w:hAnsi="Courier New"/>
          <w:sz w:val="14"/>
          <w:szCs w:val="14"/>
          <w:color w:val="auto"/>
        </w:rPr>
      </w:pPr>
    </w:p>
    <w:p>
      <w:pPr>
        <w:ind w:right="3319" w:firstLine="269"/>
        <w:spacing w:after="0" w:line="236" w:lineRule="auto"/>
        <w:tabs>
          <w:tab w:leader="none" w:pos="7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and the Prospectus conform, and any further amendments or supplements to the Registration Statement or the Prospectus will conform, in all material respects to the requirements of the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in light of the circumstances under which they were made; provided, however, that this</w:t>
      </w:r>
    </w:p>
    <w:p>
      <w:pPr>
        <w:spacing w:after="0" w:line="17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9"/>
          </w:cols>
          <w:pgMar w:left="660" w:top="624" w:right="1440" w:bottom="1440" w:gutter="0" w:footer="0" w:header="0"/>
        </w:sectPr>
      </w:pPr>
    </w:p>
    <w:bookmarkStart w:id="72" w:name="page73"/>
    <w:bookmarkEnd w:id="72"/>
    <w:p>
      <w:pPr>
        <w:ind w:right="3319"/>
        <w:spacing w:after="0" w:line="236" w:lineRule="auto"/>
        <w:rPr>
          <w:sz w:val="20"/>
          <w:szCs w:val="20"/>
          <w:color w:val="auto"/>
        </w:rPr>
      </w:pPr>
      <w:r>
        <w:rPr>
          <w:rFonts w:ascii="Courier New" w:cs="Courier New" w:eastAsia="Courier New" w:hAnsi="Courier New"/>
          <w:sz w:val="15"/>
          <w:szCs w:val="15"/>
          <w:color w:val="auto"/>
        </w:rPr>
        <w:t>representation and warranty shall not apply to any statements or omissions made in reliance upon and in conformity with information furnished in writing to the Company by an Underwriter of Designated Shares through the Representatives expressly for use in the Prospectus as amended or supplemented relating to such Shares;</w:t>
      </w:r>
    </w:p>
    <w:p>
      <w:pPr>
        <w:spacing w:after="0" w:line="174" w:lineRule="exact"/>
        <w:rPr>
          <w:sz w:val="20"/>
          <w:szCs w:val="20"/>
          <w:color w:val="auto"/>
        </w:rPr>
      </w:pPr>
    </w:p>
    <w:p>
      <w:pPr>
        <w:ind w:right="3239" w:firstLine="269"/>
        <w:spacing w:after="0" w:line="254" w:lineRule="auto"/>
        <w:tabs>
          <w:tab w:leader="none" w:pos="7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organized and is validly existing as a business trust of unlimited duration with transferable shares of beneficial interest in good standing under the laws of the District of Columbia, with full power and authority to own, lease and operate its properties and conduct its business as described in the Prospectus; the Company has interests in a number of entities (collectively, the "Entities"), identified on Annex III, which have been duly organized and are validly existing as corporations, limited partnerships, general partnerships, limited liability corporations, or joint ventures as the case may be, in good standing under the laws of the jurisdictions of their organization (except for joint ventures, which have no good standing certificate requirements), with full power and authority to own, lease and operate their properties and conduct their businesses as described in the Prospectus; except as otherwise denoted in Annex III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is fully paid and non-assessable and is owned by the Company, except as otherwise denoted in Annex III hereto, free and clear of all pledges, liens, encumbrances, claims, security interests and defects; no options, warrants or other rights to convert any obligations into partnership or other ownership interests in the Entities are outstanding;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 one of the Company's subsidiaries, FRIT-WM, Inc., has been organized as a Maryland corporation, and has conducted no business since the date of its organization and has no assets as of the date hereof;</w:t>
      </w:r>
    </w:p>
    <w:p>
      <w:pPr>
        <w:spacing w:after="0" w:line="347" w:lineRule="exact"/>
        <w:rPr>
          <w:rFonts w:ascii="Courier New" w:cs="Courier New" w:eastAsia="Courier New" w:hAnsi="Courier New"/>
          <w:sz w:val="14"/>
          <w:szCs w:val="14"/>
          <w:color w:val="auto"/>
        </w:rPr>
      </w:pPr>
    </w:p>
    <w:p>
      <w:pPr>
        <w:ind w:right="3239" w:firstLine="269"/>
        <w:spacing w:after="0" w:line="237" w:lineRule="auto"/>
        <w:tabs>
          <w:tab w:leader="none" w:pos="7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the Entities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change in the consolidated capital stock (except for issuances of Common Shares pursuant to the Company's employee benefit plans and the Company's Dividend Reinvestment and Share Purchase Plan)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Prospectus;</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9"/>
          </w:cols>
          <w:pgMar w:left="660" w:top="624" w:right="1440" w:bottom="1440" w:gutter="0" w:footer="0" w:header="0"/>
        </w:sectPr>
      </w:pPr>
    </w:p>
    <w:bookmarkStart w:id="73" w:name="page74"/>
    <w:bookmarkEnd w:id="73"/>
    <w:p>
      <w:pPr>
        <w:ind w:left="-269" w:right="3239" w:firstLine="269"/>
        <w:spacing w:after="0" w:line="236" w:lineRule="auto"/>
        <w:tabs>
          <w:tab w:leader="none" w:pos="43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authorized capitalization as set forth in the Prospectus, and all of the issued shares of capital stock of the Company have been duly and validly authorized and issued and are fully paid and, except as set forth in the Prospectus under the captions "Description of Common Shares--Shareholder Liability" and "Description of Preferred Shares--Shareholder Liability", non-assessable;</w:t>
      </w:r>
    </w:p>
    <w:p>
      <w:pPr>
        <w:spacing w:after="0" w:line="174" w:lineRule="exact"/>
        <w:rPr>
          <w:rFonts w:ascii="Courier New" w:cs="Courier New" w:eastAsia="Courier New" w:hAnsi="Courier New"/>
          <w:sz w:val="15"/>
          <w:szCs w:val="15"/>
          <w:color w:val="auto"/>
        </w:rPr>
      </w:pPr>
    </w:p>
    <w:p>
      <w:pPr>
        <w:ind w:left="-269" w:right="3319" w:firstLine="269"/>
        <w:spacing w:after="0" w:line="236" w:lineRule="auto"/>
        <w:tabs>
          <w:tab w:leader="none" w:pos="43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have been duly and validly authorized, and, when Designated Shares are issued and delivered pursuant to this Agreement and the Pricing Agreement with respect to such Designated Shares, such Designated Shares will be duly and validly issued and fully paid and, except as set forth in the Prospectus under the captions "Description of Common Shares--Shareholder Liability" and "Description of Preferred Shares--Shareholder Liability", non-assessable; and the Shares conform to the description thereof contained in the Registration Statement, and the Designated Shares will conform to the description thereof contained in the Prospectus as amended or supplemented with respect to such Designated Shares;</w:t>
      </w:r>
    </w:p>
    <w:p>
      <w:pPr>
        <w:spacing w:after="0" w:line="180" w:lineRule="exact"/>
        <w:rPr>
          <w:rFonts w:ascii="Courier New" w:cs="Courier New" w:eastAsia="Courier New" w:hAnsi="Courier New"/>
          <w:sz w:val="15"/>
          <w:szCs w:val="15"/>
          <w:color w:val="auto"/>
        </w:rPr>
      </w:pPr>
    </w:p>
    <w:p>
      <w:pPr>
        <w:ind w:left="-269" w:right="3239" w:firstLine="269"/>
        <w:spacing w:after="0" w:line="254" w:lineRule="auto"/>
        <w:tabs>
          <w:tab w:leader="none" w:pos="43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 and sale of the Shares and the compliance by the Company with all of the provisions of this Agreement and any Pricing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or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Shares or the consummation by the Company of the transactions contemplated by this Agreement or any Pricing Agreement, except such as have been, or will have been prior to the Time of Delivery (as defined in Section 4 hereof), obtained under the Act and except for the listing of the Designated Shares on the New York Stock Exchange, Inc. ("NYSE") or other stock exchanges and such consents, approvals, authorizations, registrations or qualifications as may be required under state securities or Blue Sky laws in connection with the purchase and distribution of the Shares by the Underwriters;</w:t>
      </w:r>
    </w:p>
    <w:p>
      <w:pPr>
        <w:spacing w:after="0" w:line="344" w:lineRule="exact"/>
        <w:rPr>
          <w:rFonts w:ascii="Courier New" w:cs="Courier New" w:eastAsia="Courier New" w:hAnsi="Courier New"/>
          <w:sz w:val="14"/>
          <w:szCs w:val="14"/>
          <w:color w:val="auto"/>
        </w:rPr>
      </w:pPr>
    </w:p>
    <w:p>
      <w:pPr>
        <w:ind w:left="-269" w:right="3239" w:firstLine="269"/>
        <w:spacing w:after="0" w:line="255" w:lineRule="auto"/>
        <w:tabs>
          <w:tab w:leader="none" w:pos="43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as set forth in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the Company's knowledge, no such proceedings are threatened or contemplated by governmental authorities or threatened by others;</w:t>
      </w:r>
    </w:p>
    <w:p>
      <w:pPr>
        <w:spacing w:after="0" w:line="159" w:lineRule="exact"/>
        <w:rPr>
          <w:sz w:val="20"/>
          <w:szCs w:val="20"/>
          <w:color w:val="auto"/>
        </w:rPr>
      </w:pPr>
    </w:p>
    <w:p>
      <w:pPr>
        <w:ind w:left="2711"/>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530"/>
          </w:cols>
          <w:pgMar w:left="929" w:top="624" w:right="1440" w:bottom="1440" w:gutter="0" w:footer="0" w:header="0"/>
        </w:sectPr>
      </w:pPr>
    </w:p>
    <w:bookmarkStart w:id="74" w:name="page75"/>
    <w:bookmarkEnd w:id="74"/>
    <w:p>
      <w:pPr>
        <w:ind w:left="-269" w:right="3239" w:firstLine="269"/>
        <w:spacing w:after="0" w:line="255" w:lineRule="auto"/>
        <w:tabs>
          <w:tab w:leader="none" w:pos="43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financial statements of the Company and the Entities, together with related notes and schedules as set forth or incorporated by reference in the Registration Statement,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included in the Prospectus present fairly the information shown therein and have been compiled on a basis consistent with the consolidated financial statements incorporated by reference therein;</w:t>
      </w:r>
    </w:p>
    <w:p>
      <w:pPr>
        <w:spacing w:after="0" w:line="164" w:lineRule="exact"/>
        <w:rPr>
          <w:rFonts w:ascii="Courier New" w:cs="Courier New" w:eastAsia="Courier New" w:hAnsi="Courier New"/>
          <w:sz w:val="14"/>
          <w:szCs w:val="14"/>
          <w:color w:val="auto"/>
        </w:rPr>
      </w:pPr>
    </w:p>
    <w:p>
      <w:pPr>
        <w:ind w:left="-269" w:right="3239" w:firstLine="269"/>
        <w:spacing w:after="0" w:line="255" w:lineRule="auto"/>
        <w:tabs>
          <w:tab w:leader="none" w:pos="43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Entities have good and marketable title to, or valid and enforceable leasehold estates in, all items of real and personal property referred to in the Prospectus as owned or leased by the Company or any of the Entities, in each case free and clear of all pledges, liens, encumbrances, claims, security interests and defects, other than those referred to in the Prospectus or which are not material in amount;</w:t>
      </w:r>
    </w:p>
    <w:p>
      <w:pPr>
        <w:spacing w:after="0" w:line="166" w:lineRule="exact"/>
        <w:rPr>
          <w:rFonts w:ascii="Courier New" w:cs="Courier New" w:eastAsia="Courier New" w:hAnsi="Courier New"/>
          <w:sz w:val="14"/>
          <w:szCs w:val="14"/>
          <w:color w:val="auto"/>
        </w:rPr>
      </w:pPr>
    </w:p>
    <w:p>
      <w:pPr>
        <w:ind w:left="-269" w:right="3239" w:firstLine="269"/>
        <w:spacing w:after="0" w:line="236" w:lineRule="auto"/>
        <w:tabs>
          <w:tab w:leader="none" w:pos="43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Entities have filed all Federal, State, local and foreign income tax returns which have been required to be filed, or 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174" w:lineRule="exact"/>
        <w:rPr>
          <w:rFonts w:ascii="Courier New" w:cs="Courier New" w:eastAsia="Courier New" w:hAnsi="Courier New"/>
          <w:sz w:val="15"/>
          <w:szCs w:val="15"/>
          <w:color w:val="auto"/>
        </w:rPr>
      </w:pPr>
    </w:p>
    <w:p>
      <w:pPr>
        <w:ind w:left="-269" w:right="3239" w:firstLine="269"/>
        <w:spacing w:after="0" w:line="236" w:lineRule="auto"/>
        <w:tabs>
          <w:tab w:leader="none" w:pos="43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174" w:lineRule="exact"/>
        <w:rPr>
          <w:rFonts w:ascii="Courier New" w:cs="Courier New" w:eastAsia="Courier New" w:hAnsi="Courier New"/>
          <w:sz w:val="15"/>
          <w:szCs w:val="15"/>
          <w:color w:val="auto"/>
        </w:rPr>
      </w:pPr>
    </w:p>
    <w:p>
      <w:pPr>
        <w:ind w:left="-269" w:right="3319" w:firstLine="269"/>
        <w:spacing w:after="0" w:line="236" w:lineRule="auto"/>
        <w:tabs>
          <w:tab w:leader="none" w:pos="43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Thornton LLP, who have certified the consolidated financial statements filed with the Commission as part of, or incorporated by reference in, the Registration Statement and Prospectus, are independent public accountants as required by the Act and the rules and regulations of the Commission promulgated thereunder;</w:t>
      </w:r>
    </w:p>
    <w:p>
      <w:pPr>
        <w:spacing w:after="0" w:line="173" w:lineRule="exact"/>
        <w:rPr>
          <w:rFonts w:ascii="Courier New" w:cs="Courier New" w:eastAsia="Courier New" w:hAnsi="Courier New"/>
          <w:sz w:val="15"/>
          <w:szCs w:val="15"/>
          <w:color w:val="auto"/>
        </w:rPr>
      </w:pPr>
    </w:p>
    <w:p>
      <w:pPr>
        <w:jc w:val="both"/>
        <w:ind w:left="-269" w:right="3399" w:firstLine="269"/>
        <w:spacing w:after="0" w:line="235" w:lineRule="auto"/>
        <w:tabs>
          <w:tab w:leader="none" w:pos="43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conditions for use of registration statements on Form S-3 set forth in the General Instructions on Form S-3 have been satisfied and the Company is entitled to use such form for the transaction contemplated herein;</w:t>
      </w:r>
    </w:p>
    <w:p>
      <w:pPr>
        <w:spacing w:after="0" w:line="175" w:lineRule="exact"/>
        <w:rPr>
          <w:rFonts w:ascii="Courier New" w:cs="Courier New" w:eastAsia="Courier New" w:hAnsi="Courier New"/>
          <w:sz w:val="15"/>
          <w:szCs w:val="15"/>
          <w:color w:val="auto"/>
        </w:rPr>
      </w:pPr>
    </w:p>
    <w:p>
      <w:pPr>
        <w:ind w:left="-269" w:right="3239" w:firstLine="269"/>
        <w:spacing w:after="0" w:line="236" w:lineRule="auto"/>
        <w:tabs>
          <w:tab w:leader="none" w:pos="43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the Entities, the Company represents that, as of the date of this Agreement, it has no knowledge of any material failure by the Company or the Entities to comply with all applicable local, state and</w:t>
      </w:r>
    </w:p>
    <w:p>
      <w:pPr>
        <w:spacing w:after="0" w:line="174" w:lineRule="exact"/>
        <w:rPr>
          <w:sz w:val="20"/>
          <w:szCs w:val="20"/>
          <w:color w:val="auto"/>
        </w:rPr>
      </w:pPr>
    </w:p>
    <w:p>
      <w:pPr>
        <w:ind w:left="2711"/>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530"/>
          </w:cols>
          <w:pgMar w:left="929" w:top="624" w:right="1440" w:bottom="1440" w:gutter="0" w:footer="0" w:header="0"/>
        </w:sectPr>
      </w:pPr>
    </w:p>
    <w:bookmarkStart w:id="75" w:name="page76"/>
    <w:bookmarkEnd w:id="75"/>
    <w:p>
      <w:pPr>
        <w:ind w:left="440" w:right="3319"/>
        <w:spacing w:after="0" w:line="258" w:lineRule="auto"/>
        <w:rPr>
          <w:sz w:val="20"/>
          <w:szCs w:val="20"/>
          <w:color w:val="auto"/>
        </w:rPr>
      </w:pPr>
      <w:r>
        <w:rPr>
          <w:rFonts w:ascii="Courier New" w:cs="Courier New" w:eastAsia="Courier New" w:hAnsi="Courier New"/>
          <w:sz w:val="14"/>
          <w:szCs w:val="14"/>
          <w:color w:val="auto"/>
        </w:rPr>
        <w:t>federal environmental laws, regulations, ordinances and administrative and judicial orders relating to the generation, recycling, reuse, sale, storage, handling, transport and disposal of any Hazardous Materials; and</w:t>
      </w:r>
    </w:p>
    <w:p>
      <w:pPr>
        <w:spacing w:after="0" w:line="161" w:lineRule="exact"/>
        <w:rPr>
          <w:sz w:val="20"/>
          <w:szCs w:val="20"/>
          <w:color w:val="auto"/>
        </w:rPr>
      </w:pPr>
    </w:p>
    <w:p>
      <w:pPr>
        <w:ind w:left="440" w:right="3239" w:firstLine="269"/>
        <w:spacing w:after="0" w:line="236" w:lineRule="auto"/>
        <w:tabs>
          <w:tab w:leader="none" w:pos="11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178" w:lineRule="exact"/>
        <w:rPr>
          <w:rFonts w:ascii="Courier New" w:cs="Courier New" w:eastAsia="Courier New" w:hAnsi="Courier New"/>
          <w:sz w:val="15"/>
          <w:szCs w:val="15"/>
          <w:color w:val="auto"/>
        </w:rPr>
      </w:pPr>
    </w:p>
    <w:p>
      <w:pPr>
        <w:ind w:right="3579" w:firstLine="447"/>
        <w:spacing w:after="0" w:line="236" w:lineRule="auto"/>
        <w:tabs>
          <w:tab w:leader="none" w:pos="78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execution of the Pricing Agreement applicable to any Designated Shares and authorization by the Representatives of the release of such Designated Shares, the several Underwriters propose to offer such Designated Shares for sale upon the terms and conditions set forth in the Prospectus as amended or supplemented.</w:t>
      </w:r>
    </w:p>
    <w:p>
      <w:pPr>
        <w:spacing w:after="0" w:line="173"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for the Designated Shares to be purchased by each Underwriter pursuant to the Pricing Agreement relating thereto, in definitive form and in such authorized denominations and registered in such names as the Representatives may request upon at least twenty-four hours' prior notice to the Company, shall be delivered by or on behalf of the Company to the Representatives for the account of such Underwriter, against payment by such Underwriter or on its behalf of the purchase price therefor by certified or official bank check or checks, payable to the order of the Company in the funds specified in such Pricing Agreement, all at the place and time and date specified in such Pricing Agreement or at such other place and time and date as the Representatives and the Company may agree upon in writing, such time and date being herein called the "Time of Delivery" for such Shares.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with each of the Underwriters of any Designated</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w:t>
      </w:r>
    </w:p>
    <w:p>
      <w:pPr>
        <w:spacing w:after="0" w:line="173" w:lineRule="exact"/>
        <w:rPr>
          <w:rFonts w:ascii="Courier New" w:cs="Courier New" w:eastAsia="Courier New" w:hAnsi="Courier New"/>
          <w:sz w:val="15"/>
          <w:szCs w:val="15"/>
          <w:color w:val="auto"/>
        </w:rPr>
      </w:pPr>
    </w:p>
    <w:p>
      <w:pPr>
        <w:ind w:left="440" w:right="3239" w:firstLine="357"/>
        <w:spacing w:after="0" w:line="254" w:lineRule="auto"/>
        <w:tabs>
          <w:tab w:leader="none" w:pos="1227" w:val="left"/>
        </w:tabs>
        <w:numPr>
          <w:ilvl w:val="2"/>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does not elect to rely on Rule 434 under the Act, immediately following execution and delivery of the applicable Pricing Agreement, to prepare the Prospectus as amended and supplemented in relation to the applicable Designated Shares in a form approved by the Representatives and to file such Prospectus pursuant to Rule 424(b) under the Act not later than the Commission's close of business on the business day following the execution and delivery of the Pricing Agreement relating to the applicable Designated Shares or, if applicable, such earlier time as may be required by Rule 424(b), or if the Company elects to rely on Rule</w:t>
      </w:r>
    </w:p>
    <w:p>
      <w:pPr>
        <w:spacing w:after="0" w:line="3" w:lineRule="exact"/>
        <w:rPr>
          <w:rFonts w:ascii="Courier New" w:cs="Courier New" w:eastAsia="Courier New" w:hAnsi="Courier New"/>
          <w:sz w:val="14"/>
          <w:szCs w:val="14"/>
          <w:color w:val="auto"/>
        </w:rPr>
      </w:pPr>
    </w:p>
    <w:p>
      <w:pPr>
        <w:ind w:left="440" w:right="3239" w:firstLine="7"/>
        <w:spacing w:after="0" w:line="255" w:lineRule="auto"/>
        <w:tabs>
          <w:tab w:leader="none" w:pos="79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Act, immediately following execution and delivery of the applicable Pricing Agreement, to prepare an abbreviated term sheet relating to the Designated Shares in a form approved by the Representatives that complies with the requirements of Rule 434 under the Act and to file such form of Rule 434 Prospectus complying with Rule 434(c)(2) of the Act pursuant to Rule 424(b) under the Act not later than the Commission's close of business on the business day following the execution and delivery of the Pricing Agreement relating to the applicable Designated Shares or, if applicable, such earlier time as may be required by Rule 424(b); to make no further amendment or any supplement to the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76" w:name="page77"/>
    <w:bookmarkEnd w:id="76"/>
    <w:p>
      <w:pPr>
        <w:ind w:right="3239"/>
        <w:spacing w:after="0" w:line="254" w:lineRule="auto"/>
        <w:rPr>
          <w:sz w:val="20"/>
          <w:szCs w:val="20"/>
          <w:color w:val="auto"/>
        </w:rPr>
      </w:pPr>
      <w:r>
        <w:rPr>
          <w:rFonts w:ascii="Courier New" w:cs="Courier New" w:eastAsia="Courier New" w:hAnsi="Courier New"/>
          <w:sz w:val="14"/>
          <w:szCs w:val="14"/>
          <w:color w:val="auto"/>
        </w:rPr>
        <w:t>Registration Statement or Prospectus as amended or supplemented after the date of the Pricing Agreement relating to such Shares and prior to the Time of Delivery for such Shares which shall be reasonably disapproved by the Representatives for such Shares promptly after reasonable notice thereof; to advise the Representatives promptly of any such amendment or supplement after such Time of Delivery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 Shares,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Shares, of the suspension of the qualification of such Shares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Shares or suspending any such qualification, to use promptly its best efforts to obtain its withdrawal;</w:t>
      </w:r>
    </w:p>
    <w:p>
      <w:pPr>
        <w:spacing w:after="0" w:line="345" w:lineRule="exact"/>
        <w:rPr>
          <w:sz w:val="20"/>
          <w:szCs w:val="20"/>
          <w:color w:val="auto"/>
        </w:rPr>
      </w:pPr>
    </w:p>
    <w:p>
      <w:pPr>
        <w:ind w:right="3239" w:firstLine="269"/>
        <w:spacing w:after="0" w:line="236" w:lineRule="auto"/>
        <w:tabs>
          <w:tab w:leader="none" w:pos="7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from time to time to take such action as the Representatives may reasonably request to qualify such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Shares, provided that in connection therewith the Company shall not be required to qualify as a foreign corporation or to file a general consent to service of process in any jurisdiction;</w:t>
      </w:r>
    </w:p>
    <w:p>
      <w:pPr>
        <w:spacing w:after="0" w:line="178" w:lineRule="exact"/>
        <w:rPr>
          <w:rFonts w:ascii="Courier New" w:cs="Courier New" w:eastAsia="Courier New" w:hAnsi="Courier New"/>
          <w:sz w:val="15"/>
          <w:szCs w:val="15"/>
          <w:color w:val="auto"/>
        </w:rPr>
      </w:pPr>
    </w:p>
    <w:p>
      <w:pPr>
        <w:ind w:right="3239" w:firstLine="269"/>
        <w:spacing w:after="0" w:line="237" w:lineRule="auto"/>
        <w:tabs>
          <w:tab w:leader="none" w:pos="7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10:00 a.m. New York City time, on the New York business day next succeeding the date of the applicable Pricing Agreement and from time to time, to furnish the Underwriters with copies of the Prospectus in New York City as amended or supplemented in such quantities as the Representatives may reasonably request, and, if the delivery of a prospectus is required at any time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17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99"/>
          </w:cols>
          <w:pgMar w:left="660" w:top="623" w:right="1440" w:bottom="1440" w:gutter="0" w:footer="0" w:header="0"/>
        </w:sectPr>
      </w:pPr>
    </w:p>
    <w:bookmarkStart w:id="77" w:name="page78"/>
    <w:bookmarkEnd w:id="77"/>
    <w:p>
      <w:pPr>
        <w:ind w:left="430" w:right="3319" w:firstLine="269"/>
        <w:spacing w:after="0" w:line="255" w:lineRule="auto"/>
        <w:tabs>
          <w:tab w:leader="none" w:pos="113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generally available to its securityholders as soon as practicable, but in any event not later than eighteen months after the effective date of the Registration Statement (as defined in Rule 158(c)), an earnings statement of the Company (which need not be audited) complying with Section 11(a) of the Act and the rules and regulations of the Commission thereunder (including at the option of the Company Rule 158);</w:t>
      </w:r>
    </w:p>
    <w:p>
      <w:pPr>
        <w:spacing w:after="0" w:line="166" w:lineRule="exact"/>
        <w:rPr>
          <w:rFonts w:ascii="Courier New" w:cs="Courier New" w:eastAsia="Courier New" w:hAnsi="Courier New"/>
          <w:sz w:val="14"/>
          <w:szCs w:val="14"/>
          <w:color w:val="auto"/>
        </w:rPr>
      </w:pPr>
    </w:p>
    <w:p>
      <w:pPr>
        <w:ind w:left="430" w:right="3319" w:firstLine="269"/>
        <w:spacing w:after="0" w:line="254" w:lineRule="auto"/>
        <w:tabs>
          <w:tab w:leader="none" w:pos="113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beginning from the date of the Pricing Agreement for such Designated Shares and continuing to and including the earlier of</w:t>
      </w:r>
    </w:p>
    <w:p>
      <w:pPr>
        <w:ind w:left="430" w:right="3319" w:firstLine="7"/>
        <w:spacing w:after="0" w:line="236" w:lineRule="auto"/>
        <w:tabs>
          <w:tab w:leader="none" w:pos="7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trading restrictions for such Designated Shares, as notified to the Company by the Representatives and (ii) the Time of Delivery for such Designated Shares, not to offer, sell, contract to sell or otherwise issue any shares of capital stock of the Company which are substantially similar to such Designated Shares, without the prior written consent of the Representatives;</w:t>
      </w:r>
    </w:p>
    <w:p>
      <w:pPr>
        <w:spacing w:after="0" w:line="174" w:lineRule="exact"/>
        <w:rPr>
          <w:rFonts w:ascii="Courier New" w:cs="Courier New" w:eastAsia="Courier New" w:hAnsi="Courier New"/>
          <w:sz w:val="15"/>
          <w:szCs w:val="15"/>
          <w:color w:val="auto"/>
        </w:rPr>
      </w:pPr>
    </w:p>
    <w:p>
      <w:pPr>
        <w:ind w:left="430" w:right="3319" w:firstLine="269"/>
        <w:spacing w:after="0" w:line="235" w:lineRule="auto"/>
        <w:tabs>
          <w:tab w:leader="none" w:pos="113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the net proceeds received by it from the sale of the Shares in the manner specified in the Prospectus under the caption "Use of Proceeds"; and</w:t>
      </w:r>
    </w:p>
    <w:p>
      <w:pPr>
        <w:spacing w:after="0" w:line="173" w:lineRule="exact"/>
        <w:rPr>
          <w:rFonts w:ascii="Courier New" w:cs="Courier New" w:eastAsia="Courier New" w:hAnsi="Courier New"/>
          <w:sz w:val="15"/>
          <w:szCs w:val="15"/>
          <w:color w:val="auto"/>
        </w:rPr>
      </w:pPr>
    </w:p>
    <w:p>
      <w:pPr>
        <w:jc w:val="both"/>
        <w:ind w:left="430" w:right="3399" w:firstLine="269"/>
        <w:spacing w:after="0" w:line="235" w:lineRule="auto"/>
        <w:tabs>
          <w:tab w:leader="none" w:pos="113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to qualify as a "real estate investment trust" under the Code, and to use its best efforts to continue to meet the requirements to qualify as a "real estate investment trust".</w:t>
      </w:r>
    </w:p>
    <w:p>
      <w:pPr>
        <w:spacing w:after="0" w:line="174" w:lineRule="exact"/>
        <w:rPr>
          <w:sz w:val="20"/>
          <w:szCs w:val="20"/>
          <w:color w:val="auto"/>
        </w:rPr>
      </w:pPr>
    </w:p>
    <w:p>
      <w:pPr>
        <w:ind w:left="-10" w:right="3239" w:firstLine="447"/>
        <w:spacing w:after="0" w:line="254" w:lineRule="auto"/>
        <w:tabs>
          <w:tab w:leader="none" w:pos="777"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and filing of the Registration Statement, any Preliminary Prospectus and the Prospectus and amendments and supplements thereto (including each abbreviated term sheet delivered by the Company pursuant to Rule 434 under the Act) and the mailing and delivering of copies thereof to the Underwriters and dealers; (ii) the cost of printing or producing any Agreement among Underwriters, this Agreement, any Pricing Agreement, any blue sky and legal investment surveys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and legal investment surveys;</w:t>
      </w:r>
    </w:p>
    <w:p>
      <w:pPr>
        <w:spacing w:after="0" w:line="5" w:lineRule="exact"/>
        <w:rPr>
          <w:rFonts w:ascii="Courier New" w:cs="Courier New" w:eastAsia="Courier New" w:hAnsi="Courier New"/>
          <w:sz w:val="14"/>
          <w:szCs w:val="14"/>
          <w:color w:val="auto"/>
        </w:rPr>
      </w:pPr>
    </w:p>
    <w:p>
      <w:pPr>
        <w:ind w:left="-10" w:right="3239" w:firstLine="10"/>
        <w:spacing w:after="0" w:line="236" w:lineRule="auto"/>
        <w:tabs>
          <w:tab w:leader="none" w:pos="42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filing fees incident to any required review by the National Association of Securities Dealers, Inc. of the terms of the sale of the Shares; (v) the cost of preparing certificates for the Shares; (vi) the costs and charges of any transfer agent or registrar or dividend disbursing agent; and (vii) all other costs and expenses incident to the performance of its obligations hereunder which are not otherwise specifically provided for in this Section. It is understood, however, that, except as provided in this Section, Section 8 and Section 11 hereof, the Underwriters will pay all of their own costs and expenses, including the fees of their counsel, transfer taxes on resale of any of the Shares by them, and any advertising expenses connected with any offers they may make.</w:t>
      </w:r>
    </w:p>
    <w:p>
      <w:pPr>
        <w:spacing w:after="0" w:line="180" w:lineRule="exact"/>
        <w:rPr>
          <w:rFonts w:ascii="Courier New" w:cs="Courier New" w:eastAsia="Courier New" w:hAnsi="Courier New"/>
          <w:sz w:val="15"/>
          <w:szCs w:val="15"/>
          <w:color w:val="auto"/>
        </w:rPr>
      </w:pPr>
    </w:p>
    <w:p>
      <w:pPr>
        <w:ind w:left="-10" w:right="3319" w:firstLine="447"/>
        <w:spacing w:after="0" w:line="235" w:lineRule="auto"/>
        <w:tabs>
          <w:tab w:leader="none" w:pos="777"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Underwriters of any Designated Shares under the Pricing Agreement relating to such Designated Shares shall be subject, in the discretion of the</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624" w:right="1440" w:bottom="1440" w:gutter="0" w:footer="0" w:header="0"/>
        </w:sectPr>
      </w:pPr>
    </w:p>
    <w:bookmarkStart w:id="78" w:name="page79"/>
    <w:bookmarkEnd w:id="78"/>
    <w:p>
      <w:pPr>
        <w:ind w:right="3239"/>
        <w:spacing w:after="0" w:line="255" w:lineRule="auto"/>
        <w:rPr>
          <w:sz w:val="20"/>
          <w:szCs w:val="20"/>
          <w:color w:val="auto"/>
        </w:rPr>
      </w:pPr>
      <w:r>
        <w:rPr>
          <w:rFonts w:ascii="Courier New" w:cs="Courier New" w:eastAsia="Courier New" w:hAnsi="Courier New"/>
          <w:sz w:val="14"/>
          <w:szCs w:val="14"/>
          <w:color w:val="auto"/>
        </w:rPr>
        <w:t>Representatives, to the condition that all representations and warranties and other statements of the Company in or incorporated by reference in the Pricing Agreement relating to such Designated Shares are, at and as of the Time of Delivery for such Designated Shares, true and correct, to the condition that the Company shall have performed all of its obligations hereunder theretofore to be performed, and to the following additional conditions:</w:t>
      </w:r>
    </w:p>
    <w:p>
      <w:pPr>
        <w:spacing w:after="0" w:line="166" w:lineRule="exact"/>
        <w:rPr>
          <w:sz w:val="20"/>
          <w:szCs w:val="20"/>
          <w:color w:val="auto"/>
        </w:rPr>
      </w:pPr>
    </w:p>
    <w:p>
      <w:pPr>
        <w:ind w:left="440" w:right="3239" w:firstLine="269"/>
        <w:spacing w:after="0" w:line="236" w:lineRule="auto"/>
        <w:tabs>
          <w:tab w:leader="none" w:pos="11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Prospectus as amended or supplemented in relation to the applicable Designated Shares shall have been filed with the Commission pursuant to Rule 424(b) within the applicable time period prescribed for such filing by the rules and regulations under the Act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179" w:lineRule="exact"/>
        <w:rPr>
          <w:rFonts w:ascii="Courier New" w:cs="Courier New" w:eastAsia="Courier New" w:hAnsi="Courier New"/>
          <w:sz w:val="15"/>
          <w:szCs w:val="15"/>
          <w:color w:val="auto"/>
        </w:rPr>
      </w:pPr>
    </w:p>
    <w:p>
      <w:pPr>
        <w:ind w:left="440" w:right="3239" w:firstLine="269"/>
        <w:spacing w:after="0" w:line="236" w:lineRule="auto"/>
        <w:tabs>
          <w:tab w:leader="none" w:pos="11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Brown &amp; Wood llp, counsel for the Underwriters, shall have furnished to the Representatives such opinion or opinions, dated the Time of Delivery for such Designated Shares, with respect to the organization of the Company, the validity of the Designated Shares being delivered at such Time of Delivery, the Registration Statement, the Prospectus as amended or supplemented and other related matters as the Representatives may reasonably request, and such counsel shall have received such papers and information as they may reasonably request to enable them to pass upon such matters;</w:t>
      </w:r>
    </w:p>
    <w:p>
      <w:pPr>
        <w:spacing w:after="0" w:line="178" w:lineRule="exact"/>
        <w:rPr>
          <w:rFonts w:ascii="Courier New" w:cs="Courier New" w:eastAsia="Courier New" w:hAnsi="Courier New"/>
          <w:sz w:val="15"/>
          <w:szCs w:val="15"/>
          <w:color w:val="auto"/>
        </w:rPr>
      </w:pPr>
    </w:p>
    <w:p>
      <w:pPr>
        <w:ind w:left="440" w:right="3319" w:firstLine="269"/>
        <w:spacing w:after="0" w:line="235" w:lineRule="auto"/>
        <w:tabs>
          <w:tab w:leader="none" w:pos="11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Kirkpatrick &amp; Lockhart LLP, counsel for the Company, shall have furnished to the Representatives their written opinion, dated the Time of Delivery for such Designated Shares, in form and substance satisfactory to the Representatives, to the effect that:</w:t>
      </w:r>
    </w:p>
    <w:p>
      <w:pPr>
        <w:spacing w:after="0" w:line="175" w:lineRule="exact"/>
        <w:rPr>
          <w:rFonts w:ascii="Courier New" w:cs="Courier New" w:eastAsia="Courier New" w:hAnsi="Courier New"/>
          <w:sz w:val="15"/>
          <w:szCs w:val="15"/>
          <w:color w:val="auto"/>
        </w:rPr>
      </w:pPr>
    </w:p>
    <w:p>
      <w:pPr>
        <w:ind w:left="700" w:right="3319" w:firstLine="709"/>
        <w:spacing w:after="0" w:line="237" w:lineRule="auto"/>
        <w:tabs>
          <w:tab w:leader="none" w:pos="2012"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organized and is validly existing as a business trust in good standing under the laws of the District of Columbia, with full power and authority to own its properties and conduct its business as described in the Prospectus; the Entities have been duly organized and are validly existing as corporations, limited partnerships, general partnerships, limited liability corporations, or joint ventures as the case may be, in good standing under the laws of the jurisdictions of their organization (except for joint ventures, which have no good standing certificate requirements); the Entities have power and authority to own their properties and conduct their businesses as described in the Prospectus; to the best of such counsel's knowledge, except as otherwise denoted in Annex</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79" w:name="page80"/>
    <w:bookmarkEnd w:id="79"/>
    <w:p>
      <w:pPr>
        <w:ind w:left="-9" w:right="3239" w:firstLine="9"/>
        <w:spacing w:after="0" w:line="254" w:lineRule="auto"/>
        <w:tabs>
          <w:tab w:leader="none" w:pos="3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hereto, all of the equity interests in the Entities are owned by the Company and, to the best of such counsel's knowledge, are owned free and clear of all pledges, liens, encumbrances, claims and security interests, and to the best of such counsel's knowledge, no options, warrants or other rights to convert any obligations into partnership or other ownership interests in the Entities are outstanding; all of the issued and outstanding stock of each Entity that is a corporation has been duly authorized and validly issued, is fully paid and non-assessable and is owned by the Company, except as otherwise denoted in Annex III hereto, free and clear of all pledges, liens, encumbrances, claims and security interests; the Company and the Entities are duly qualified to transact business in all jurisdictions in which the Company and the Entities are, to such counsel's knowledge,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 and the conditions for use of a registration statement on Form S-3 have been satisfied; one of the Company's subsidiaries, FRIT-WM, Inc., has been organized as a Maryland corporation, and has conducted no business since the date of its organization and has no assets as of the date hereof;</w:t>
      </w:r>
    </w:p>
    <w:p>
      <w:pPr>
        <w:spacing w:after="0" w:line="175" w:lineRule="exact"/>
        <w:rPr>
          <w:rFonts w:ascii="Courier New" w:cs="Courier New" w:eastAsia="Courier New" w:hAnsi="Courier New"/>
          <w:sz w:val="14"/>
          <w:szCs w:val="14"/>
          <w:color w:val="auto"/>
        </w:rPr>
      </w:pPr>
    </w:p>
    <w:p>
      <w:pPr>
        <w:ind w:left="-9" w:right="3239" w:firstLine="709"/>
        <w:spacing w:after="0" w:line="236" w:lineRule="auto"/>
        <w:tabs>
          <w:tab w:leader="none" w:pos="1303"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authorized capitalization as set forth in the Prospectus as amended or supplemented and all of the issued shares of capital stock of the Company (including the Designated Shares being delivered at such Time of Delivery) have been duly and validly authorized and issued and are fully paid and, except as set forth in the Prospectus under the captions "Description of Common Shares--Shareholder Liability" and "Description of Preferred Shares--Shareholder Liability", non-assessable;</w:t>
      </w:r>
    </w:p>
    <w:p>
      <w:pPr>
        <w:spacing w:after="0" w:line="177" w:lineRule="exact"/>
        <w:rPr>
          <w:rFonts w:ascii="Courier New" w:cs="Courier New" w:eastAsia="Courier New" w:hAnsi="Courier New"/>
          <w:sz w:val="15"/>
          <w:szCs w:val="15"/>
          <w:color w:val="auto"/>
        </w:rPr>
      </w:pPr>
    </w:p>
    <w:p>
      <w:pPr>
        <w:ind w:left="-9" w:right="3239" w:firstLine="709"/>
        <w:spacing w:after="0" w:line="255" w:lineRule="auto"/>
        <w:tabs>
          <w:tab w:leader="none" w:pos="1303"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such counsel's knowledge and other than as set forth in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such counsel's knowledge, no such proceedings are threatened or contemplated by governmental authorities or threatened by others;</w:t>
      </w:r>
    </w:p>
    <w:p>
      <w:pPr>
        <w:spacing w:after="0" w:line="165" w:lineRule="exact"/>
        <w:rPr>
          <w:rFonts w:ascii="Courier New" w:cs="Courier New" w:eastAsia="Courier New" w:hAnsi="Courier New"/>
          <w:sz w:val="14"/>
          <w:szCs w:val="14"/>
          <w:color w:val="auto"/>
        </w:rPr>
      </w:pPr>
    </w:p>
    <w:p>
      <w:pPr>
        <w:jc w:val="both"/>
        <w:ind w:left="-9" w:right="3319" w:firstLine="709"/>
        <w:spacing w:after="0" w:line="235" w:lineRule="auto"/>
        <w:tabs>
          <w:tab w:leader="none" w:pos="1303"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Pricing Agreement with respect to the Designated Shares have been duly authorized, executed and delivered by the Company;</w:t>
      </w:r>
    </w:p>
    <w:p>
      <w:pPr>
        <w:spacing w:after="0" w:line="173" w:lineRule="exact"/>
        <w:rPr>
          <w:rFonts w:ascii="Courier New" w:cs="Courier New" w:eastAsia="Courier New" w:hAnsi="Courier New"/>
          <w:sz w:val="15"/>
          <w:szCs w:val="15"/>
          <w:color w:val="auto"/>
        </w:rPr>
      </w:pPr>
    </w:p>
    <w:p>
      <w:pPr>
        <w:ind w:left="-9" w:right="3319" w:firstLine="709"/>
        <w:spacing w:after="0" w:line="234" w:lineRule="auto"/>
        <w:tabs>
          <w:tab w:leader="none" w:pos="1303"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Designated Shares conform to the description thereof in the Prospectus as amended or supplemented;</w:t>
      </w:r>
    </w:p>
    <w:p>
      <w:pPr>
        <w:spacing w:after="0" w:line="173" w:lineRule="exact"/>
        <w:rPr>
          <w:rFonts w:ascii="Courier New" w:cs="Courier New" w:eastAsia="Courier New" w:hAnsi="Courier New"/>
          <w:sz w:val="15"/>
          <w:szCs w:val="15"/>
          <w:color w:val="auto"/>
        </w:rPr>
      </w:pPr>
    </w:p>
    <w:p>
      <w:pPr>
        <w:ind w:left="-9" w:right="3239" w:firstLine="709"/>
        <w:spacing w:after="0" w:line="236" w:lineRule="auto"/>
        <w:tabs>
          <w:tab w:leader="none" w:pos="1303"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 and sale of the Designated Shares being delivered at such Time of Delivery and the compliance by the Company with all of the provisions of this Agreement and the Pricing Agreement with respect to the Designated Shares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known to such counsel to which the Company or any of the Entities is a party or by which the Company or any of the Entities is bound or to which any of the property or assets</w:t>
      </w:r>
    </w:p>
    <w:p>
      <w:pPr>
        <w:spacing w:after="0" w:line="174" w:lineRule="exact"/>
        <w:rPr>
          <w:sz w:val="20"/>
          <w:szCs w:val="20"/>
          <w:color w:val="auto"/>
        </w:rPr>
      </w:pPr>
    </w:p>
    <w:p>
      <w:pPr>
        <w:ind w:left="2711"/>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530"/>
          </w:cols>
          <w:pgMar w:left="929" w:top="624" w:right="1440" w:bottom="1440" w:gutter="0" w:footer="0" w:header="0"/>
        </w:sectPr>
      </w:pPr>
    </w:p>
    <w:bookmarkStart w:id="80" w:name="page81"/>
    <w:bookmarkEnd w:id="80"/>
    <w:p>
      <w:pPr>
        <w:ind w:right="3239"/>
        <w:spacing w:after="0" w:line="236" w:lineRule="auto"/>
        <w:rPr>
          <w:sz w:val="20"/>
          <w:szCs w:val="20"/>
          <w:color w:val="auto"/>
        </w:rPr>
      </w:pPr>
      <w:r>
        <w:rPr>
          <w:rFonts w:ascii="Courier New" w:cs="Courier New" w:eastAsia="Courier New" w:hAnsi="Courier New"/>
          <w:sz w:val="15"/>
          <w:szCs w:val="15"/>
          <w:color w:val="auto"/>
        </w:rPr>
        <w:t>of the Company or any of the Entities is subject, nor will such actions result in any violation of the provisions of the Declaration of Trust or By-laws of the Company or any statute or any order, rule or regulation known to such counsel of any court or governmental agency or body having jurisdiction over the Company or any of the Entities or any of their respective properties;</w:t>
      </w:r>
    </w:p>
    <w:p>
      <w:pPr>
        <w:spacing w:after="0" w:line="175" w:lineRule="exact"/>
        <w:rPr>
          <w:sz w:val="20"/>
          <w:szCs w:val="20"/>
          <w:color w:val="auto"/>
        </w:rPr>
      </w:pPr>
    </w:p>
    <w:p>
      <w:pPr>
        <w:ind w:right="3239" w:firstLine="709"/>
        <w:spacing w:after="0" w:line="255" w:lineRule="auto"/>
        <w:tabs>
          <w:tab w:leader="none" w:pos="1312"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order, registration or qualification of or with any court or governmental agency or body is required for the issue and sale of the Designated Shares being delivered at such Time of Delivery or the consummation by the Company of the transactions contemplated by this Agreement or the Pricing Agreement, except such as have been obtained under the Act and except for the listing of the Designated Shares on the New York Stock Exchange, Inc. or other stock exchanges and such consents, approvals, authorizations, registrations or qualifications as may be required under state securities or Blue Sky laws in connection with the purchase and distribution of the Designated Shares by the Underwriters;</w:t>
      </w:r>
    </w:p>
    <w:p>
      <w:pPr>
        <w:spacing w:after="0" w:line="164" w:lineRule="exact"/>
        <w:rPr>
          <w:rFonts w:ascii="Courier New" w:cs="Courier New" w:eastAsia="Courier New" w:hAnsi="Courier New"/>
          <w:sz w:val="14"/>
          <w:szCs w:val="14"/>
          <w:color w:val="auto"/>
        </w:rPr>
      </w:pPr>
    </w:p>
    <w:p>
      <w:pPr>
        <w:ind w:right="3239" w:firstLine="709"/>
        <w:spacing w:after="0" w:line="236" w:lineRule="auto"/>
        <w:tabs>
          <w:tab w:leader="none" w:pos="131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under caption "Item 3. Legal Proceedings" in the Company's most recent Form 10-K filed with the Commission and under the captions "Remuneration of Executive Officers and Trustees" and "Certain Transactions" in the Company's most recent Proxy Statement filed with the Commission, insofar as such statements constitute a summary of documents referred to therein or matters of law, are accurate summaries and fairly and correctly present the information called for with respect to such documents and matters;</w:t>
      </w:r>
    </w:p>
    <w:p>
      <w:pPr>
        <w:spacing w:after="0" w:line="177" w:lineRule="exact"/>
        <w:rPr>
          <w:rFonts w:ascii="Courier New" w:cs="Courier New" w:eastAsia="Courier New" w:hAnsi="Courier New"/>
          <w:sz w:val="15"/>
          <w:szCs w:val="15"/>
          <w:color w:val="auto"/>
        </w:rPr>
      </w:pPr>
    </w:p>
    <w:p>
      <w:pPr>
        <w:ind w:right="3579" w:firstLine="709"/>
        <w:spacing w:after="0" w:line="261" w:lineRule="auto"/>
        <w:tabs>
          <w:tab w:leader="none" w:pos="1312"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investments of the Company described in the Prospectus are permitted investments under the Declaration of Trust;</w:t>
      </w:r>
    </w:p>
    <w:p>
      <w:pPr>
        <w:spacing w:after="0" w:line="159" w:lineRule="exact"/>
        <w:rPr>
          <w:rFonts w:ascii="Courier New" w:cs="Courier New" w:eastAsia="Courier New" w:hAnsi="Courier New"/>
          <w:sz w:val="14"/>
          <w:szCs w:val="14"/>
          <w:color w:val="auto"/>
        </w:rPr>
      </w:pPr>
    </w:p>
    <w:p>
      <w:pPr>
        <w:ind w:right="3239" w:firstLine="709"/>
        <w:spacing w:after="0" w:line="255" w:lineRule="auto"/>
        <w:tabs>
          <w:tab w:leader="none" w:pos="1312"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 they have no reason to believe that any of such documents, when they became effective or were so filed,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Act or the Exchange Act with the Commission, an untrue statement of a material fact or omitted to state a material fact necessary in order to make the statements therein, in the light of the circumstances under which they were made when such documents were so filed, not misleading; and</w:t>
      </w:r>
    </w:p>
    <w:p>
      <w:pPr>
        <w:spacing w:after="0" w:line="32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539"/>
          </w:cols>
          <w:pgMar w:left="920" w:top="623" w:right="1440" w:bottom="1440" w:gutter="0" w:footer="0" w:header="0"/>
        </w:sectPr>
      </w:pPr>
    </w:p>
    <w:bookmarkStart w:id="81" w:name="page82"/>
    <w:bookmarkEnd w:id="81"/>
    <w:p>
      <w:pPr>
        <w:ind w:left="700" w:right="3239" w:firstLine="709"/>
        <w:spacing w:after="0" w:line="254" w:lineRule="auto"/>
        <w:tabs>
          <w:tab w:leader="none" w:pos="2012"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and the Prospectus as amended or supplemented and any further amendments and supplements thereto made by the Company prior to the Time of Delivery for the Designated Shares (other than the financial statements and related schedules therein, as to which such counsel need express no opinion) comply as to form in all material respects with the requirements of the Act and the rules and regulations thereunder; if applicable, the Rule 434 Prospectus complies as to form in all material respects with the requirements of Rule 434 under the Act; they have no reason to believe that, as of its effective date, the Registration Statement or any further amendment thereto made by the Company prior to the Time of Delivery (other than the financial statements and related schedules therein, as to which such counsel need express no opinion) contained an untrue statement of a material fact or omitted to state a material fact required to be stated therein or necessary to make the statements therein not misleading or that, as of its date, the Prospectus as amended or supplemented or any further amendment or supplement thereto made by the Company prior to the Time of Delivery (other than the financial statements and related schedules therein, as to which such counsel need express no opinion) contained an untrue statement of a material fact or omitted to state a material fact necessary to make the statements therein, in light of the circumstances in which they were made, not misleading or that, as of the Time of Delivery, either the Registration Statement or the Prospectus as amended or supplemented or any further amendment or supplement thereto made by the Company prior to the Time of Delivery (other than the financial statements and related schedules therein, as to which such counsel need express no opinion) contains an untrue statement of a material fact or omits to state a material fact necessary to make the statements therein, in light of the circumstances in which they were made, not misleading; and they do not know of any amendment to the Registration Statement required to be filed or any contracts or other documents of a character required to be filed as an exhibit to the Registration Statement or required to be incorporated by reference into the Prospectus as amended or supplemented or required to be described in the Registration Statement or the Prospectus as amended or supplemented which are not filed or incorporated by reference or described as required.</w:t>
      </w:r>
    </w:p>
    <w:p>
      <w:pPr>
        <w:spacing w:after="0" w:line="18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delivering such opinion, counsel shall be entitled to rely in respect of the opinion in this clause upon opinions of local counsel and in respect of certain matters of fact upon certificates of officers of the Company, provided that such counsel shall state that they believe that both you and they are justified in relying upon such opinions and certificates.</w:t>
      </w:r>
    </w:p>
    <w:p>
      <w:pPr>
        <w:spacing w:after="0" w:line="174" w:lineRule="exact"/>
        <w:rPr>
          <w:sz w:val="20"/>
          <w:szCs w:val="20"/>
          <w:color w:val="auto"/>
        </w:rPr>
      </w:pPr>
    </w:p>
    <w:p>
      <w:pPr>
        <w:ind w:left="440" w:right="3239" w:firstLine="269"/>
        <w:spacing w:after="0" w:line="236" w:lineRule="auto"/>
        <w:tabs>
          <w:tab w:leader="none" w:pos="11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above opinion, the Representatives shall have received the opinion or opinions of Goodwin, Procter &amp; Hoar LLP, Special Tax Counsel to the Company, or other counsel to the Company, dated the Time of Delivery for such Designated Shares, in form and substance satisfactory to the Representatives, to the effect that (1) the Company has qualified to be taxed as a real estate investment trust pursuant to Sections 856-860 of the Code, for the fiscal years ended December 31, 1987 through the date of its most recent fiscal year ended and that the form of organization of the Company and its current operations, assets and contemplated income are such that the Company is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82" w:name="page83"/>
    <w:bookmarkEnd w:id="82"/>
    <w:p>
      <w:pPr>
        <w:ind w:right="3319"/>
        <w:spacing w:after="0" w:line="255" w:lineRule="auto"/>
        <w:rPr>
          <w:sz w:val="20"/>
          <w:szCs w:val="20"/>
          <w:color w:val="auto"/>
        </w:rPr>
      </w:pPr>
      <w:r>
        <w:rPr>
          <w:rFonts w:ascii="Courier New" w:cs="Courier New" w:eastAsia="Courier New" w:hAnsi="Courier New"/>
          <w:sz w:val="14"/>
          <w:szCs w:val="14"/>
          <w:color w:val="auto"/>
        </w:rPr>
        <w:t>in a position under present law to so qualify for the current taxable year and should so qualify for such taxable year provided that the Company continues to meet the asset composition, source of income, shareholder diversification, distribution and other requirements of the Code necessary for the Company to qualify as a real estate investment trust and (2) such Special Tax Counsel concurs with the accuracy of the legal statements set forth in "Description of Common Shares--Restriction on Ownership" and "Federal Income Tax Considerations" in the Prospectus.</w:t>
      </w:r>
    </w:p>
    <w:p>
      <w:pPr>
        <w:spacing w:after="0" w:line="166" w:lineRule="exact"/>
        <w:rPr>
          <w:sz w:val="20"/>
          <w:szCs w:val="20"/>
          <w:color w:val="auto"/>
        </w:rPr>
      </w:pPr>
    </w:p>
    <w:p>
      <w:pPr>
        <w:ind w:right="3239" w:firstLine="269"/>
        <w:spacing w:after="0" w:line="237" w:lineRule="auto"/>
        <w:tabs>
          <w:tab w:leader="none" w:pos="70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the Pricing Agreement for such Designated Shares and at the Time of Delivery for such Designated Shares, the independent accountants of the Company who have certified the financial statements of the Company included or incorporated by reference in the Registration Statement shall have furnished to the Representatives a letter, dated the effective date of the Registration Statement or the date of the most recent report filed with the Commission containing financial statements and incorporated by reference in the Registration Statement, if the date of such report is later than such effective date, and a letter dated such Time of Delivery, respectively, to the effect set forth in Annex II hereto, and with respect to such letter dated such Time of Delivery, as to such other matters as the Representatives may reasonably request and in form and substance satisfactory to the Representatives;</w:t>
      </w:r>
    </w:p>
    <w:p>
      <w:pPr>
        <w:spacing w:after="0" w:line="173" w:lineRule="exact"/>
        <w:rPr>
          <w:rFonts w:ascii="Courier New" w:cs="Courier New" w:eastAsia="Courier New" w:hAnsi="Courier New"/>
          <w:sz w:val="15"/>
          <w:szCs w:val="15"/>
          <w:color w:val="auto"/>
        </w:rPr>
      </w:pPr>
    </w:p>
    <w:p>
      <w:pPr>
        <w:ind w:right="3239" w:firstLine="269"/>
        <w:spacing w:after="0" w:line="254" w:lineRule="auto"/>
        <w:tabs>
          <w:tab w:leader="none" w:pos="700"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as amended or supplemented there shall not have been any change in the capital stock or long-term debt of the Company or any of the Entities or any change, or any development involving a prospective change, in or affecting the general affairs, management, financial position, shareholders' equity or results of operations of the Company and the Subsidiaries and the Entities, otherwise than as set forth or contemplated in the Prospectus as amended or supplemented, the effect of which, in any such case described in Clause (i) or (ii), is in the judgment of the Representatives so material and adverse as to make it impracticable or inadvisable to proceed with the public offering or the delivery of the Designated Shares on the terms and in the manner contemplated in the Prospectus as amended or supplemented;</w:t>
      </w:r>
    </w:p>
    <w:p>
      <w:pPr>
        <w:spacing w:after="0" w:line="342" w:lineRule="exact"/>
        <w:rPr>
          <w:rFonts w:ascii="Courier New" w:cs="Courier New" w:eastAsia="Courier New" w:hAnsi="Courier New"/>
          <w:sz w:val="14"/>
          <w:szCs w:val="14"/>
          <w:color w:val="auto"/>
        </w:rPr>
      </w:pPr>
    </w:p>
    <w:p>
      <w:pPr>
        <w:ind w:right="3319" w:firstLine="269"/>
        <w:spacing w:after="0" w:line="254" w:lineRule="auto"/>
        <w:tabs>
          <w:tab w:leader="none" w:pos="700"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after the date of the Pricing Agreement relating to the Designated Shares (i) no downgrading shall have occurred in the rating accorded the Company's debt securities or preferred shares by any "nationally recognized statistical rating organization", as that term is defined by the Commission for purposes of Rule 436(g)(2) under the Act and</w:t>
      </w:r>
    </w:p>
    <w:p>
      <w:pPr>
        <w:spacing w:after="0" w:line="1" w:lineRule="exact"/>
        <w:rPr>
          <w:rFonts w:ascii="Courier New" w:cs="Courier New" w:eastAsia="Courier New" w:hAnsi="Courier New"/>
          <w:sz w:val="14"/>
          <w:szCs w:val="14"/>
          <w:color w:val="auto"/>
        </w:rPr>
      </w:pPr>
    </w:p>
    <w:p>
      <w:pPr>
        <w:ind w:right="3319" w:firstLine="7"/>
        <w:spacing w:after="0" w:line="235" w:lineRule="auto"/>
        <w:tabs>
          <w:tab w:leader="none" w:pos="43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such organization shall have publicly announced that it has under surveillance or review, with possible negative implications, its rating of any of the Company's debt securities or preferred shares;</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99"/>
          </w:cols>
          <w:pgMar w:left="660" w:top="624" w:right="1440" w:bottom="1440" w:gutter="0" w:footer="0" w:header="0"/>
        </w:sectPr>
      </w:pPr>
    </w:p>
    <w:bookmarkStart w:id="83" w:name="page84"/>
    <w:bookmarkEnd w:id="83"/>
    <w:p>
      <w:pPr>
        <w:ind w:left="-7" w:right="3239" w:firstLine="269"/>
        <w:spacing w:after="0" w:line="254" w:lineRule="auto"/>
        <w:tabs>
          <w:tab w:leader="none" w:pos="693"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after the date of the Pricing Agreement relating to the Designated Shares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(iv) the outbreak or escalation of hostilities involving the United States or the declaration by the United States of a national emergency or war if the effect of any such event specified in this Clause</w:t>
      </w:r>
    </w:p>
    <w:p>
      <w:pPr>
        <w:spacing w:after="0" w:line="3" w:lineRule="exact"/>
        <w:rPr>
          <w:rFonts w:ascii="Courier New" w:cs="Courier New" w:eastAsia="Courier New" w:hAnsi="Courier New"/>
          <w:sz w:val="14"/>
          <w:szCs w:val="14"/>
          <w:color w:val="auto"/>
        </w:rPr>
      </w:pPr>
    </w:p>
    <w:p>
      <w:pPr>
        <w:ind w:left="-7" w:right="3679" w:firstLine="7"/>
        <w:spacing w:after="0" w:line="235" w:lineRule="auto"/>
        <w:tabs>
          <w:tab w:leader="none" w:pos="43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judgment of the Representatives makes it impracticable or inadvisable to proceed with the public offering or the delivery of the Designated Shares on the terms and in the manner contemplated in the Prospectus as amended or supplemented;</w:t>
      </w:r>
    </w:p>
    <w:p>
      <w:pPr>
        <w:spacing w:after="0" w:line="175" w:lineRule="exact"/>
        <w:rPr>
          <w:rFonts w:ascii="Courier New" w:cs="Courier New" w:eastAsia="Courier New" w:hAnsi="Courier New"/>
          <w:sz w:val="15"/>
          <w:szCs w:val="15"/>
          <w:color w:val="auto"/>
        </w:rPr>
      </w:pPr>
    </w:p>
    <w:p>
      <w:pPr>
        <w:ind w:left="-7" w:right="3239" w:firstLine="269"/>
        <w:spacing w:after="0" w:line="235" w:lineRule="auto"/>
        <w:tabs>
          <w:tab w:leader="none" w:pos="693"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complied with the provisions of Section 5(c) hereof with respect to the furnishing of prospectuses on the New York business day next succeeding the date of the applicable Pricing Agreement; and</w:t>
      </w:r>
    </w:p>
    <w:p>
      <w:pPr>
        <w:spacing w:after="0" w:line="175" w:lineRule="exact"/>
        <w:rPr>
          <w:rFonts w:ascii="Courier New" w:cs="Courier New" w:eastAsia="Courier New" w:hAnsi="Courier New"/>
          <w:sz w:val="15"/>
          <w:szCs w:val="15"/>
          <w:color w:val="auto"/>
        </w:rPr>
      </w:pPr>
    </w:p>
    <w:p>
      <w:pPr>
        <w:ind w:left="-7" w:right="3239" w:firstLine="269"/>
        <w:spacing w:after="0" w:line="236" w:lineRule="auto"/>
        <w:tabs>
          <w:tab w:leader="none" w:pos="693"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furnished or caused to be furnished to the Representatives at the Time of Delivery for the Designated Shares a certificate or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the Representatives may reasonably request.</w:t>
      </w:r>
    </w:p>
    <w:p>
      <w:pPr>
        <w:spacing w:after="0" w:line="178" w:lineRule="exact"/>
        <w:rPr>
          <w:sz w:val="20"/>
          <w:szCs w:val="20"/>
          <w:color w:val="auto"/>
        </w:rPr>
      </w:pPr>
    </w:p>
    <w:p>
      <w:pPr>
        <w:ind w:left="-447" w:right="3239" w:firstLine="447"/>
        <w:spacing w:after="0" w:line="254" w:lineRule="auto"/>
        <w:tabs>
          <w:tab w:leader="none" w:pos="3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Shares,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Shares, or any such amendment or supplement in reliance upon and in conformity with written information furnished to the Company by any Underwriter of Designated Shares through the Representatives expressly for use in the Prospectus as amended or supplemented relating to such Shares.</w:t>
      </w:r>
    </w:p>
    <w:p>
      <w:pPr>
        <w:spacing w:after="0" w:line="338"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792"/>
          </w:cols>
          <w:pgMar w:left="667" w:top="624" w:right="1440" w:bottom="1440" w:gutter="0" w:footer="0" w:header="0"/>
        </w:sectPr>
      </w:pPr>
    </w:p>
    <w:bookmarkStart w:id="84" w:name="page85"/>
    <w:bookmarkEnd w:id="84"/>
    <w:p>
      <w:pPr>
        <w:ind w:left="-269" w:right="3239" w:firstLine="269"/>
        <w:spacing w:after="0" w:line="237" w:lineRule="auto"/>
        <w:tabs>
          <w:tab w:leader="none" w:pos="43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Shares,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Shares,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such expenses are incurred.</w:t>
      </w:r>
    </w:p>
    <w:p>
      <w:pPr>
        <w:spacing w:after="0" w:line="177" w:lineRule="exact"/>
        <w:rPr>
          <w:rFonts w:ascii="Courier New" w:cs="Courier New" w:eastAsia="Courier New" w:hAnsi="Courier New"/>
          <w:sz w:val="15"/>
          <w:szCs w:val="15"/>
          <w:color w:val="auto"/>
        </w:rPr>
      </w:pPr>
    </w:p>
    <w:p>
      <w:pPr>
        <w:ind w:left="-269" w:right="3239" w:firstLine="269"/>
        <w:spacing w:after="0" w:line="254" w:lineRule="auto"/>
        <w:tabs>
          <w:tab w:leader="none" w:pos="43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w:t>
      </w:r>
    </w:p>
    <w:p>
      <w:pPr>
        <w:spacing w:after="0" w:line="343" w:lineRule="exact"/>
        <w:rPr>
          <w:rFonts w:ascii="Courier New" w:cs="Courier New" w:eastAsia="Courier New" w:hAnsi="Courier New"/>
          <w:sz w:val="14"/>
          <w:szCs w:val="14"/>
          <w:color w:val="auto"/>
        </w:rPr>
      </w:pPr>
    </w:p>
    <w:p>
      <w:pPr>
        <w:ind w:left="-269" w:right="3239" w:firstLine="269"/>
        <w:spacing w:after="0" w:line="255" w:lineRule="auto"/>
        <w:tabs>
          <w:tab w:leader="none" w:pos="43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Shares</w:t>
      </w:r>
    </w:p>
    <w:p>
      <w:pPr>
        <w:spacing w:after="0" w:line="159" w:lineRule="exact"/>
        <w:rPr>
          <w:sz w:val="20"/>
          <w:szCs w:val="20"/>
          <w:color w:val="auto"/>
        </w:rPr>
      </w:pPr>
    </w:p>
    <w:p>
      <w:pPr>
        <w:ind w:left="2711"/>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530"/>
          </w:cols>
          <w:pgMar w:left="929" w:top="623" w:right="1440" w:bottom="1440" w:gutter="0" w:footer="0" w:header="0"/>
        </w:sectPr>
      </w:pPr>
    </w:p>
    <w:bookmarkStart w:id="85" w:name="page86"/>
    <w:bookmarkEnd w:id="85"/>
    <w:p>
      <w:pPr>
        <w:ind w:right="3239"/>
        <w:spacing w:after="0" w:line="254" w:lineRule="auto"/>
        <w:rPr>
          <w:sz w:val="20"/>
          <w:szCs w:val="20"/>
          <w:color w:val="auto"/>
        </w:rPr>
      </w:pPr>
      <w:r>
        <w:rPr>
          <w:rFonts w:ascii="Courier New" w:cs="Courier New" w:eastAsia="Courier New" w:hAnsi="Courier New"/>
          <w:sz w:val="14"/>
          <w:szCs w:val="14"/>
          <w:color w:val="auto"/>
        </w:rPr>
        <w:t>on the other from the offering of the Designated Shares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Shares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Shares in this subsection (d) to contribute are several in proportion to their respective underwriting obligations with respect to such Shares and not joint.</w:t>
      </w:r>
    </w:p>
    <w:p>
      <w:pPr>
        <w:spacing w:after="0" w:line="200" w:lineRule="exact"/>
        <w:rPr>
          <w:sz w:val="20"/>
          <w:szCs w:val="20"/>
          <w:color w:val="auto"/>
        </w:rPr>
      </w:pPr>
    </w:p>
    <w:p>
      <w:pPr>
        <w:spacing w:after="0" w:line="320" w:lineRule="exact"/>
        <w:rPr>
          <w:sz w:val="20"/>
          <w:szCs w:val="20"/>
          <w:color w:val="auto"/>
        </w:rPr>
      </w:pPr>
    </w:p>
    <w:p>
      <w:pPr>
        <w:ind w:right="3239" w:firstLine="269"/>
        <w:spacing w:after="0" w:line="236"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trustee of the Company and to each person, if any, who controls the Company within the meaning of the Act.</w:t>
      </w:r>
    </w:p>
    <w:p>
      <w:pPr>
        <w:spacing w:after="0" w:line="17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99"/>
          </w:cols>
          <w:pgMar w:left="660" w:top="624" w:right="1440" w:bottom="1440" w:gutter="0" w:footer="0" w:header="0"/>
        </w:sectPr>
      </w:pPr>
    </w:p>
    <w:bookmarkStart w:id="86" w:name="page87"/>
    <w:bookmarkEnd w:id="86"/>
    <w:p>
      <w:pPr>
        <w:ind w:left="-447" w:right="3239" w:firstLine="447"/>
        <w:spacing w:after="0" w:line="254" w:lineRule="auto"/>
        <w:tabs>
          <w:tab w:leader="none" w:pos="34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Underwriter shall default in its obligation to purchase the Designated Shares which it has agreed to purchase under the Pricing Agreement relating to such Designated Shares, the Representatives may in their discretion arrange for themselves or another party or other parties to purchase such Designated Shares on the terms contained herein. If within thirty-six hours after such default by any Underwriter the Representatives do not arrange for the purchase of such Designated Shares, then the Company shall be entitled to a further period of thirty-six hours within which to procure another party or other parties satisfactory to the Representatives to purchase such Designated Shares on such terms. In the event that, within the respective prescribed period, the Representatives notify the Company that they have so arranged for the purchase of such Designated Shares, or the Company notifies the Representatives that it has so arranged for the purchase of such Designated Shares, the Representatives or the Company shall have the right to postpone the time of Delivery for such Designated Shares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Shares.</w:t>
      </w:r>
    </w:p>
    <w:p>
      <w:pPr>
        <w:spacing w:after="0" w:line="176" w:lineRule="exact"/>
        <w:rPr>
          <w:rFonts w:ascii="Courier New" w:cs="Courier New" w:eastAsia="Courier New" w:hAnsi="Courier New"/>
          <w:sz w:val="14"/>
          <w:szCs w:val="14"/>
          <w:color w:val="auto"/>
        </w:rPr>
      </w:pPr>
    </w:p>
    <w:p>
      <w:pPr>
        <w:ind w:left="-7" w:right="3239" w:firstLine="269"/>
        <w:spacing w:after="0" w:line="255" w:lineRule="auto"/>
        <w:tabs>
          <w:tab w:leader="none" w:pos="693"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giving effect to any arrangements for the purchase of the Designated Shares of a defaulting Underwriter or Underwriters by the Representatives and the Company as provided in subsection (a) above, the aggregate number of such Designated Shares which remains unpurchased does not exceed one-tenth of the aggregate number of the Designated Shares, then the Company shall have the right to require each non-defaulting Underwriter to purchase the number of Designated Shares which such Underwriter agreed to purchase under the Pricing Agreement relating to such Designated Shares and, in addition, to require each non-defaulting Underwriter to purchase its pro rata share (based on the number of Designated Shares which such Underwriter agreed to purchase under such Pricing Agreement) of the Designated Shares of such defaulting Underwriter or Underwriters for which such arrangements have not been made; but nothing herein shall relieve a defaulting Underwriter from liability for its default.</w:t>
      </w:r>
    </w:p>
    <w:p>
      <w:pPr>
        <w:spacing w:after="0" w:line="163" w:lineRule="exact"/>
        <w:rPr>
          <w:rFonts w:ascii="Courier New" w:cs="Courier New" w:eastAsia="Courier New" w:hAnsi="Courier New"/>
          <w:sz w:val="14"/>
          <w:szCs w:val="14"/>
          <w:color w:val="auto"/>
        </w:rPr>
      </w:pPr>
    </w:p>
    <w:p>
      <w:pPr>
        <w:ind w:left="-7" w:right="3239" w:firstLine="269"/>
        <w:spacing w:after="0" w:line="237" w:lineRule="auto"/>
        <w:tabs>
          <w:tab w:leader="none" w:pos="693"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arrangements for the purchase of the Designated Shares of a defaulting Underwriter or Underwriters by the Representatives and the Company as provided in subsection (a) above, the aggregate number of Designated Shares which remains unpurchased exceeds one-tenth of the aggregate number of the Designated Shares, as referred to in subsection (b) above, or if the Company shall not exercise the right described in subsection (b) above to require non-defaulting Underwriters to purchase Designated Shares of a defaulting Underwriter or Underwriters, then the Pricing Agreement relating to such Designated Shares shall thereupon terminate, without liability on the part of any non-defaulting Underwriter or the Company, except for the expenses to be borne by the Company and the Underwriters as provided in Section 6 hereof and the indemnity and contribution agreements in Section</w:t>
      </w:r>
    </w:p>
    <w:p>
      <w:pPr>
        <w:spacing w:after="0" w:line="16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792"/>
          </w:cols>
          <w:pgMar w:left="667" w:top="623" w:right="1440" w:bottom="1440" w:gutter="0" w:footer="0" w:header="0"/>
        </w:sectPr>
      </w:pPr>
    </w:p>
    <w:bookmarkStart w:id="87" w:name="page88"/>
    <w:bookmarkEnd w:id="87"/>
    <w:p>
      <w:pPr>
        <w:ind w:left="440" w:right="3499"/>
        <w:spacing w:after="0" w:line="234" w:lineRule="auto"/>
        <w:rPr>
          <w:sz w:val="20"/>
          <w:szCs w:val="20"/>
          <w:color w:val="auto"/>
        </w:rPr>
      </w:pPr>
      <w:r>
        <w:rPr>
          <w:rFonts w:ascii="Courier New" w:cs="Courier New" w:eastAsia="Courier New" w:hAnsi="Courier New"/>
          <w:sz w:val="15"/>
          <w:szCs w:val="15"/>
          <w:color w:val="auto"/>
        </w:rPr>
        <w:t>8 hereof; but nothing herein shall relieve a defaulting Underwriter from liability for its default.</w:t>
      </w:r>
    </w:p>
    <w:p>
      <w:pPr>
        <w:spacing w:after="0" w:line="173" w:lineRule="exact"/>
        <w:rPr>
          <w:sz w:val="20"/>
          <w:szCs w:val="20"/>
          <w:color w:val="auto"/>
        </w:rPr>
      </w:pPr>
    </w:p>
    <w:p>
      <w:pPr>
        <w:ind w:right="3239" w:firstLine="447"/>
        <w:spacing w:after="0" w:line="236" w:lineRule="auto"/>
        <w:tabs>
          <w:tab w:leader="none" w:pos="87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Shares.</w:t>
      </w:r>
    </w:p>
    <w:p>
      <w:pPr>
        <w:spacing w:after="0" w:line="177" w:lineRule="exact"/>
        <w:rPr>
          <w:rFonts w:ascii="Courier New" w:cs="Courier New" w:eastAsia="Courier New" w:hAnsi="Courier New"/>
          <w:sz w:val="15"/>
          <w:szCs w:val="15"/>
          <w:color w:val="auto"/>
        </w:rPr>
      </w:pPr>
    </w:p>
    <w:p>
      <w:pPr>
        <w:ind w:right="3319" w:firstLine="447"/>
        <w:spacing w:after="0" w:line="237" w:lineRule="auto"/>
        <w:tabs>
          <w:tab w:leader="none" w:pos="87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Pricing Agreement shall be terminated pursuant to Section 9 hereof, the Company shall not then be under any liability to any Underwriter with respect to the Designated Shares covered by such Pricing Agreement except as provided in Section 6 and Section 8 hereof. If this Agreement shall be terminated as a result of any of the conditions set forth in Section 7 (other than Section 7(h)(i), (iii) or (iv)) not being satisfied the Company will reimburse the Underwriters through the Representatives for all out-of-pocket expenses approved in writing by the Representatives, including fees and disbursements to counsel, reasonably incurred by the Underwriters in making preparations for the purchase, sale and delivery of such Designated Shares, but the Company shall then be under no further liability to any Underwriter with respect to such Designated Shares except as provided in Section 6 and Section 8 hereof.</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87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dealings hereunder, the Representatives of the Underwriters of Designated Shares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All statements, requests, notices and agreements hereunder shall be in writing, and if to the Underwriters shall be delivered or sent by mail, telex or facsimile transmission to the address of the Representatives as set forth in the Pricing Agreement; and if to the Company shall be delivered or sent by mail, telex or facsimile transmission to the address of the Company set forth in the Registration Statement: Attention: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173" w:lineRule="exact"/>
        <w:rPr>
          <w:sz w:val="20"/>
          <w:szCs w:val="20"/>
          <w:color w:val="auto"/>
        </w:rPr>
      </w:pPr>
    </w:p>
    <w:p>
      <w:pPr>
        <w:ind w:right="3239" w:firstLine="447"/>
        <w:spacing w:after="0" w:line="236" w:lineRule="auto"/>
        <w:tabs>
          <w:tab w:leader="none" w:pos="87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each Pricing Agreement shall be binding upon, and inure solely to the benefit of, the Underwriters, the Company and, to the extent provided in Section 8 and Section 10 hereof, the officers and trustees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Shares from any Underwriter shall be deemed a successor or assign by reason merely of such purchase.</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88" w:name="page89"/>
    <w:bookmarkEnd w:id="88"/>
    <w:p>
      <w:pPr>
        <w:jc w:val="both"/>
        <w:ind w:right="3839" w:firstLine="447"/>
        <w:spacing w:after="0" w:line="235" w:lineRule="auto"/>
        <w:tabs>
          <w:tab w:leader="none" w:pos="87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shall be of the essence of each Pricing Agreement. As used herein, "business day" shall mean any day when the Commission's office in Washington, D.C. is open for business.</w:t>
      </w:r>
    </w:p>
    <w:p>
      <w:pPr>
        <w:spacing w:after="0" w:line="173" w:lineRule="exact"/>
        <w:rPr>
          <w:rFonts w:ascii="Courier New" w:cs="Courier New" w:eastAsia="Courier New" w:hAnsi="Courier New"/>
          <w:sz w:val="15"/>
          <w:szCs w:val="15"/>
          <w:color w:val="auto"/>
        </w:rPr>
      </w:pPr>
    </w:p>
    <w:p>
      <w:pPr>
        <w:ind w:right="3579" w:firstLine="447"/>
        <w:spacing w:after="0" w:line="234" w:lineRule="auto"/>
        <w:tabs>
          <w:tab w:leader="none" w:pos="87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each Pricing Agreement shall be governed by and construed in accordance with the laws of the State of New York.</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87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Federal Realty Investment Trust is a business trust organized under District of Columbia law. Under the terms of Article VIII of the Company's Third Amended and Restated Declaration of Trust, all persons shall look solely to the Company's property, real, personal or otherwise, tangible or intangible, for the payment of any claim under or for the performance of this Agreement, and no trustee, officer, employee or agent of the Company shall be subject to any personal liability whatsoever, in tort, contract or otherwise in connection with the obligations of the Company hereunder.</w:t>
      </w:r>
    </w:p>
    <w:p>
      <w:pPr>
        <w:spacing w:after="0" w:line="177"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If the foregoing is in accordance with your understanding, please sign and return to us four counterparts hereof.</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UNDERWRITER]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28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89" w:name="page90"/>
    <w:bookmarkEnd w:id="89"/>
    <w:p>
      <w:pPr>
        <w:jc w:val="right"/>
        <w:ind w:right="3239"/>
        <w:spacing w:after="0"/>
        <w:rPr>
          <w:sz w:val="20"/>
          <w:szCs w:val="20"/>
          <w:color w:val="auto"/>
        </w:rPr>
      </w:pPr>
      <w:r>
        <w:rPr>
          <w:rFonts w:ascii="Courier New" w:cs="Courier New" w:eastAsia="Courier New" w:hAnsi="Courier New"/>
          <w:sz w:val="15"/>
          <w:szCs w:val="15"/>
          <w:color w:val="auto"/>
        </w:rPr>
        <w:t>ANNEX 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Pricing Agreement</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UNDERWRITER]</w:t>
      </w:r>
    </w:p>
    <w:p>
      <w:pPr>
        <w:spacing w:after="0" w:line="173"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______________, 199_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3"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Federal Realty Investment Trust, a business trust organized under the laws of the District of Columbia (the "Company"), proposes, subject to the terms and conditions stated herein and in the Underwriting Agreement, dated __________, 199_ (the "Underwriting Agreement"), between the Company on the one hand and</w:t>
      </w:r>
    </w:p>
    <w:p>
      <w:pPr>
        <w:spacing w:after="0" w:line="232" w:lineRule="auto"/>
        <w:rPr>
          <w:sz w:val="20"/>
          <w:szCs w:val="20"/>
          <w:color w:val="auto"/>
        </w:rPr>
      </w:pPr>
      <w:r>
        <w:rPr>
          <w:rFonts w:ascii="Courier New" w:cs="Courier New" w:eastAsia="Courier New" w:hAnsi="Courier New"/>
          <w:sz w:val="15"/>
          <w:szCs w:val="15"/>
          <w:color w:val="auto"/>
        </w:rPr>
        <w:t>_________________ (the "Underwriter") on the other hand, to issue and sell to</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Underwriter the Shares specified in Schedules I and II hereto (the "Designated Shares").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Shares which are the subject of this Pricing Agreement. Each reference to the Representatives in the provisions of the Underwriting Agreement so incorporated by reference shall be deemed to refer to you. Unless otherwise defined herein, terms defined in the Underwriting Agreement are used herein as therein defined.</w:t>
      </w:r>
    </w:p>
    <w:p>
      <w:pPr>
        <w:spacing w:after="0" w:line="163"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An amendment to the Registration Statement, or a supplement to the Prospectus, as the case may be, relating to the Designated Shares, in the form heretofore delivered to you is now proposed to be filed with the Commission.</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Subject to the terms and conditions set forth herein and in the Underwriting Agreement incorporated herein by reference, the Company agrees to issue and sell to the Underwriter, and the Underwriter agrees to purchase from the Company, at the time and place and at the purchase price to the Underwriter set forth in Schedule II hereto, the number of Designated Shares set forth opposite the name of such Underwriter in Schedule I hereto.</w:t>
      </w:r>
    </w:p>
    <w:p>
      <w:pPr>
        <w:sectPr>
          <w:pgSz w:w="11900" w:h="16838" w:orient="portrait"/>
          <w:cols w:equalWidth="0" w:num="1">
            <w:col w:w="10239"/>
          </w:cols>
          <w:pgMar w:left="220" w:top="617" w:right="1440" w:bottom="1440" w:gutter="0" w:footer="0" w:header="0"/>
        </w:sectPr>
      </w:pPr>
    </w:p>
    <w:bookmarkStart w:id="90" w:name="page91"/>
    <w:bookmarkEnd w:id="90"/>
    <w:p>
      <w:pPr>
        <w:ind w:right="3239" w:firstLine="437"/>
        <w:spacing w:after="0" w:line="236" w:lineRule="auto"/>
        <w:rPr>
          <w:sz w:val="20"/>
          <w:szCs w:val="20"/>
          <w:color w:val="auto"/>
        </w:rPr>
      </w:pPr>
      <w:r>
        <w:rPr>
          <w:rFonts w:ascii="Courier New" w:cs="Courier New" w:eastAsia="Courier New" w:hAnsi="Courier New"/>
          <w:sz w:val="15"/>
          <w:szCs w:val="15"/>
          <w:color w:val="auto"/>
        </w:rPr>
        <w:t>If the foregoing is in accordance with your understanding, please sign and return to us four counterparts hereof, and upon acceptance hereof by you this letter and such acceptance hereof, including the provisions of the Underwriting Agreement incorporated herein by reference, shall constitute a binding agreement between the Underwriter and the Company.</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UNDERWRITER]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280"/>
        <w:spacing w:after="0" w:line="238" w:lineRule="auto"/>
        <w:rPr>
          <w:sz w:val="20"/>
          <w:szCs w:val="20"/>
          <w:color w:val="auto"/>
        </w:rPr>
      </w:pPr>
      <w:r>
        <w:rPr>
          <w:rFonts w:ascii="Courier New" w:cs="Courier New" w:eastAsia="Courier New" w:hAnsi="Courier New"/>
          <w:sz w:val="15"/>
          <w:szCs w:val="15"/>
          <w:color w:val="auto"/>
        </w:rPr>
        <w:t>Name:</w:t>
      </w:r>
    </w:p>
    <w:p>
      <w:pPr>
        <w:ind w:left="2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91" w:name="page92"/>
    <w:bookmarkEnd w:id="91"/>
    <w:p>
      <w:pPr>
        <w:ind w:left="1760"/>
        <w:spacing w:after="0"/>
        <w:rPr>
          <w:sz w:val="20"/>
          <w:szCs w:val="20"/>
          <w:color w:val="auto"/>
        </w:rPr>
      </w:pPr>
      <w:r>
        <w:rPr>
          <w:rFonts w:ascii="Courier New" w:cs="Courier New" w:eastAsia="Courier New" w:hAnsi="Courier New"/>
          <w:sz w:val="14"/>
          <w:szCs w:val="14"/>
          <w:color w:val="auto"/>
        </w:rPr>
        <w:t>SCHEDULE I</w:t>
      </w:r>
    </w:p>
    <w:p>
      <w:pPr>
        <w:sectPr>
          <w:pgSz w:w="11900" w:h="16838" w:orient="portrait"/>
          <w:cols w:equalWidth="0" w:num="1">
            <w:col w:w="9019"/>
          </w:cols>
          <w:pgMar w:left="1440" w:top="6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5"/>
          <w:szCs w:val="15"/>
          <w:color w:val="auto"/>
        </w:rPr>
        <w:t>Underwriter</w:t>
      </w:r>
    </w:p>
    <w:p>
      <w:pPr>
        <w:spacing w:after="0" w:line="5"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5"/>
          <w:szCs w:val="15"/>
          <w:color w:val="auto"/>
        </w:rPr>
        <w:t>Number of</w:t>
      </w:r>
    </w:p>
    <w:p>
      <w:pPr>
        <w:jc w:val="center"/>
        <w:ind w:right="4799"/>
        <w:spacing w:after="0" w:line="237" w:lineRule="auto"/>
        <w:rPr>
          <w:sz w:val="20"/>
          <w:szCs w:val="20"/>
          <w:color w:val="auto"/>
        </w:rPr>
      </w:pPr>
      <w:r>
        <w:rPr>
          <w:rFonts w:ascii="Courier New" w:cs="Courier New" w:eastAsia="Courier New" w:hAnsi="Courier New"/>
          <w:sz w:val="15"/>
          <w:szCs w:val="15"/>
          <w:color w:val="auto"/>
        </w:rPr>
        <w:t>Designated Shares</w:t>
      </w:r>
    </w:p>
    <w:p>
      <w:pPr>
        <w:jc w:val="center"/>
        <w:ind w:right="4799"/>
        <w:spacing w:after="0" w:line="238" w:lineRule="auto"/>
        <w:rPr>
          <w:sz w:val="20"/>
          <w:szCs w:val="20"/>
          <w:color w:val="auto"/>
        </w:rPr>
      </w:pPr>
      <w:r>
        <w:rPr>
          <w:rFonts w:ascii="Courier New" w:cs="Courier New" w:eastAsia="Courier New" w:hAnsi="Courier New"/>
          <w:sz w:val="15"/>
          <w:szCs w:val="15"/>
          <w:color w:val="auto"/>
        </w:rPr>
        <w:t>to be Purchased</w:t>
      </w:r>
    </w:p>
    <w:p>
      <w:pPr>
        <w:spacing w:after="0" w:line="5"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1840" w:space="720"/>
            <w:col w:w="6459"/>
          </w:cols>
          <w:pgMar w:left="1440" w:top="624" w:right="1440" w:bottom="1440" w:gutter="0" w:footer="0" w:header="0"/>
          <w:type w:val="continuous"/>
        </w:sectPr>
      </w:pPr>
    </w:p>
    <w:p>
      <w:pPr>
        <w:ind w:left="7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260" w:space="720"/>
            <w:col w:w="6039"/>
          </w:cols>
          <w:pgMar w:left="1440" w:top="624" w:right="1440" w:bottom="1440" w:gutter="0" w:footer="0" w:header="0"/>
          <w:type w:val="continuous"/>
        </w:sectPr>
      </w:pPr>
    </w:p>
    <w:p>
      <w:pPr>
        <w:spacing w:after="0" w:line="146"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24" w:right="1440" w:bottom="1440" w:gutter="0" w:footer="0" w:header="0"/>
          <w:type w:val="continuous"/>
        </w:sectPr>
      </w:pP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2260" w:space="720"/>
            <w:col w:w="6039"/>
          </w:cols>
          <w:pgMar w:left="1440" w:top="624" w:right="1440" w:bottom="1440" w:gutter="0" w:footer="0" w:header="0"/>
          <w:type w:val="continuous"/>
        </w:sectPr>
      </w:pPr>
    </w:p>
    <w:bookmarkStart w:id="92" w:name="page93"/>
    <w:bookmarkEnd w:id="92"/>
    <w:p>
      <w:pPr>
        <w:ind w:left="2980"/>
        <w:spacing w:after="0"/>
        <w:rPr>
          <w:sz w:val="20"/>
          <w:szCs w:val="20"/>
          <w:color w:val="auto"/>
        </w:rPr>
      </w:pPr>
      <w:r>
        <w:rPr>
          <w:rFonts w:ascii="Courier New" w:cs="Courier New" w:eastAsia="Courier New" w:hAnsi="Courier New"/>
          <w:sz w:val="15"/>
          <w:szCs w:val="15"/>
          <w:color w:val="auto"/>
        </w:rPr>
        <w:t>SCHEDULE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Designated Shares: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Common Shares of Beneficial Interest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Designated Shares: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________ Shares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Overallotment option: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_________ Option Shares; exercisable for 30 days from the date hereof.</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 Offering Price to Public:</w:t>
      </w:r>
    </w:p>
    <w:p>
      <w:pPr>
        <w:spacing w:after="0" w:line="166"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$________</w:t>
      </w:r>
      <w:r>
        <w:rPr>
          <w:sz w:val="20"/>
          <w:szCs w:val="20"/>
          <w:color w:val="auto"/>
        </w:rPr>
        <w:tab/>
      </w:r>
      <w:r>
        <w:rPr>
          <w:rFonts w:ascii="Courier New" w:cs="Courier New" w:eastAsia="Courier New" w:hAnsi="Courier New"/>
          <w:sz w:val="14"/>
          <w:szCs w:val="14"/>
          <w:color w:val="auto"/>
        </w:rPr>
        <w:t>per Share</w:t>
      </w:r>
    </w:p>
    <w:p>
      <w:pPr>
        <w:spacing w:after="0" w:line="17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Purchase Price for Designated Shares: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___________________________</w:t>
      </w:r>
    </w:p>
    <w:p>
      <w:pPr>
        <w:spacing w:after="0" w:line="237" w:lineRule="auto"/>
        <w:rPr>
          <w:sz w:val="20"/>
          <w:szCs w:val="20"/>
          <w:color w:val="auto"/>
        </w:rPr>
      </w:pPr>
      <w:r>
        <w:rPr>
          <w:rFonts w:ascii="Courier New" w:cs="Courier New" w:eastAsia="Courier New" w:hAnsi="Courier New"/>
          <w:sz w:val="15"/>
          <w:szCs w:val="15"/>
          <w:color w:val="auto"/>
        </w:rPr>
        <w:t>Purchase Price for Option Shares: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Purchase price per Option Share will be $________ per Option Share for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certain purchasers and $________ for other purchasers, as advised by the</w:t>
      </w:r>
    </w:p>
    <w:p>
      <w:pPr>
        <w:spacing w:after="0" w:line="10"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Underwriter, in each case less an amount equal to any dividend payable on the Designated Shares and not payable on the Option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Specified Funds for Payment of Purchase Price: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Same-day funds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of Delivery: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10:00 a.m., New York City time, on _____________</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Location: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Brown &amp; Wood llp, One World Trade Center</w:t>
      </w:r>
    </w:p>
    <w:p>
      <w:pPr>
        <w:spacing w:after="0" w:line="166" w:lineRule="exact"/>
        <w:rPr>
          <w:sz w:val="20"/>
          <w:szCs w:val="20"/>
          <w:color w:val="auto"/>
        </w:rPr>
      </w:pPr>
    </w:p>
    <w:p>
      <w:pPr>
        <w:ind w:left="440"/>
        <w:spacing w:after="0"/>
        <w:tabs>
          <w:tab w:leader="none" w:pos="218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10048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address of Underwriter:</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__________________</w:t>
      </w:r>
    </w:p>
    <w:p>
      <w:pPr>
        <w:spacing w:after="0" w:line="237" w:lineRule="auto"/>
        <w:rPr>
          <w:sz w:val="20"/>
          <w:szCs w:val="20"/>
          <w:color w:val="auto"/>
        </w:rPr>
      </w:pPr>
      <w:r>
        <w:rPr>
          <w:rFonts w:ascii="Courier New" w:cs="Courier New" w:eastAsia="Courier New" w:hAnsi="Courier New"/>
          <w:sz w:val="15"/>
          <w:szCs w:val="15"/>
          <w:color w:val="auto"/>
        </w:rPr>
        <w:t>Address for Notices, etc.:</w:t>
      </w:r>
    </w:p>
    <w:p>
      <w:pPr>
        <w:sectPr>
          <w:pgSz w:w="11900" w:h="16838" w:orient="portrait"/>
          <w:cols w:equalWidth="0" w:num="1">
            <w:col w:w="10239"/>
          </w:cols>
          <w:pgMar w:left="220" w:top="617" w:right="1440" w:bottom="1440" w:gutter="0" w:footer="0" w:header="0"/>
        </w:sectPr>
      </w:pPr>
    </w:p>
    <w:bookmarkStart w:id="93" w:name="page94"/>
    <w:bookmarkEnd w:id="93"/>
    <w:p>
      <w:pPr>
        <w:ind w:left="440"/>
        <w:spacing w:after="0"/>
        <w:rPr>
          <w:sz w:val="20"/>
          <w:szCs w:val="20"/>
          <w:color w:val="auto"/>
        </w:rPr>
      </w:pPr>
      <w:r>
        <w:rPr>
          <w:rFonts w:ascii="Courier New" w:cs="Courier New" w:eastAsia="Courier New" w:hAnsi="Courier New"/>
          <w:sz w:val="15"/>
          <w:szCs w:val="15"/>
          <w:color w:val="auto"/>
        </w:rPr>
        <w:t>[NAME AND ADDRESS OF UNDERWRITER]</w:t>
      </w:r>
    </w:p>
    <w:p>
      <w:pPr>
        <w:spacing w:after="0" w:line="173"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Federal Realty Investment Trust, 1626 East Jefferson Street, Rockville, Maryland 20852, Attention: Steven J. Guttman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Terms: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94" w:name="page95"/>
    <w:bookmarkEnd w:id="94"/>
    <w:p>
      <w:pPr>
        <w:ind w:left="6300"/>
        <w:spacing w:after="0"/>
        <w:rPr>
          <w:sz w:val="20"/>
          <w:szCs w:val="20"/>
          <w:color w:val="auto"/>
        </w:rPr>
      </w:pPr>
      <w:r>
        <w:rPr>
          <w:rFonts w:ascii="Courier New" w:cs="Courier New" w:eastAsia="Courier New" w:hAnsi="Courier New"/>
          <w:sz w:val="14"/>
          <w:szCs w:val="14"/>
          <w:color w:val="auto"/>
        </w:rPr>
        <w:t>ANNEX II</w:t>
      </w:r>
    </w:p>
    <w:p>
      <w:pPr>
        <w:spacing w:after="0" w:line="178"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Pursuant to Section 7(e) of the Underwriting Agreement, the accountants shall furnish letters to the Underwriter to the effect that:</w:t>
      </w:r>
    </w:p>
    <w:p>
      <w:pPr>
        <w:spacing w:after="0" w:line="173" w:lineRule="exact"/>
        <w:rPr>
          <w:sz w:val="20"/>
          <w:szCs w:val="20"/>
          <w:color w:val="auto"/>
        </w:rPr>
      </w:pPr>
    </w:p>
    <w:p>
      <w:pPr>
        <w:ind w:left="440" w:right="3239" w:firstLine="269"/>
        <w:spacing w:after="0" w:line="235" w:lineRule="auto"/>
        <w:tabs>
          <w:tab w:leader="none" w:pos="1315"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are independent certified public accountants with respect to the Company and its subsidiaries within the meaning of the Act and the applicable published rules and regulations thereunder;</w:t>
      </w:r>
    </w:p>
    <w:p>
      <w:pPr>
        <w:spacing w:after="0" w:line="173" w:lineRule="exact"/>
        <w:rPr>
          <w:rFonts w:ascii="Courier New" w:cs="Courier New" w:eastAsia="Courier New" w:hAnsi="Courier New"/>
          <w:sz w:val="15"/>
          <w:szCs w:val="15"/>
          <w:color w:val="auto"/>
        </w:rPr>
      </w:pPr>
    </w:p>
    <w:p>
      <w:pPr>
        <w:ind w:left="440" w:right="3239" w:firstLine="269"/>
        <w:spacing w:after="0" w:line="255" w:lineRule="auto"/>
        <w:tabs>
          <w:tab w:leader="none" w:pos="131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opinion, the financial statements and any supplementary financial information and schedules audited (and, if applicable, financial forecasts and/or pro forma financial information)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consolidated interim financial statements, selected financial data, pro forma financial information, financial forecasts and/or condensed financial statements derived from audited financial statements of the Company for the periods specified in such letter, as indicated in their reports thereon, copies of which have been furnished to the representatives of the Underwriters (the "Representatives");</w:t>
      </w:r>
    </w:p>
    <w:p>
      <w:pPr>
        <w:spacing w:after="0" w:line="332" w:lineRule="exact"/>
        <w:rPr>
          <w:rFonts w:ascii="Courier New" w:cs="Courier New" w:eastAsia="Courier New" w:hAnsi="Courier New"/>
          <w:sz w:val="14"/>
          <w:szCs w:val="14"/>
          <w:color w:val="auto"/>
        </w:rPr>
      </w:pPr>
    </w:p>
    <w:p>
      <w:pPr>
        <w:ind w:left="440" w:right="3239" w:firstLine="269"/>
        <w:spacing w:after="0" w:line="255" w:lineRule="auto"/>
        <w:tabs>
          <w:tab w:leader="none" w:pos="131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have made a review in accordance with standards established by the American Institute of Certified Public Accountants of the unaudited condensed consolidated statements of income, consolidated balance sheets and consolidated statements of cash flows included in the Prospectus and/or included in the Company's quarterly report on Form 10-Q incorporated by reference into the Prospectus as indicated in their reports thereon copies of which are attached hereto; and on the basis of specified procedures including inquiries of officials of the Company who have responsibility for financial and accounting matters regarding whether the unaudited condensed consolidated financial statements referred to in paragraph (vi)(A)(i) below comply as to form in all material respects with the applicable accounting requirements of the Act and the Exchange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Exchange Act and the related published rules and regulations;</w:t>
      </w:r>
    </w:p>
    <w:p>
      <w:pPr>
        <w:spacing w:after="0" w:line="331" w:lineRule="exact"/>
        <w:rPr>
          <w:rFonts w:ascii="Courier New" w:cs="Courier New" w:eastAsia="Courier New" w:hAnsi="Courier New"/>
          <w:sz w:val="14"/>
          <w:szCs w:val="14"/>
          <w:color w:val="auto"/>
        </w:rPr>
      </w:pPr>
    </w:p>
    <w:p>
      <w:pPr>
        <w:ind w:left="440" w:right="3499" w:firstLine="269"/>
        <w:spacing w:after="0" w:line="236" w:lineRule="auto"/>
        <w:tabs>
          <w:tab w:leader="none" w:pos="114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selected financial information with respect to the consolidated results of operations and financial position of the Company for the five most recent fiscal years included in the Prospectus and included or incorporated by reference in Item 6 of the Company's Annual Report on Form</w:t>
      </w:r>
    </w:p>
    <w:p>
      <w:pPr>
        <w:sectPr>
          <w:pgSz w:w="11900" w:h="16838" w:orient="portrait"/>
          <w:cols w:equalWidth="0" w:num="1">
            <w:col w:w="10239"/>
          </w:cols>
          <w:pgMar w:left="220" w:top="624" w:right="1440" w:bottom="1440" w:gutter="0" w:footer="0" w:header="0"/>
        </w:sectPr>
      </w:pPr>
    </w:p>
    <w:bookmarkStart w:id="95" w:name="page96"/>
    <w:bookmarkEnd w:id="95"/>
    <w:p>
      <w:pPr>
        <w:jc w:val="both"/>
        <w:ind w:right="3319"/>
        <w:spacing w:after="0" w:line="236" w:lineRule="auto"/>
        <w:rPr>
          <w:sz w:val="20"/>
          <w:szCs w:val="20"/>
          <w:color w:val="auto"/>
        </w:rPr>
      </w:pPr>
      <w:r>
        <w:rPr>
          <w:rFonts w:ascii="Courier New" w:cs="Courier New" w:eastAsia="Courier New" w:hAnsi="Courier New"/>
          <w:sz w:val="15"/>
          <w:szCs w:val="15"/>
          <w:color w:val="auto"/>
        </w:rPr>
        <w:t>10-K for the most recent fiscal year agrees with the corresponding amounts (after restatement where applicable) in the audited consolidated financial statements for five such fiscal years which were included or incorporated by reference in the Company's Annual Reports on Form 10-K for such fiscal years;</w:t>
      </w:r>
    </w:p>
    <w:p>
      <w:pPr>
        <w:spacing w:after="0" w:line="174" w:lineRule="exact"/>
        <w:rPr>
          <w:sz w:val="20"/>
          <w:szCs w:val="20"/>
          <w:color w:val="auto"/>
        </w:rPr>
      </w:pPr>
    </w:p>
    <w:p>
      <w:pPr>
        <w:ind w:right="3239" w:firstLine="269"/>
        <w:spacing w:after="0" w:line="236" w:lineRule="auto"/>
        <w:tabs>
          <w:tab w:leader="none" w:pos="7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have compared the information in the Prospectus under selected captions with the disclosure requirements of Regulation S-K and on the basis of limited procedures specified in such letter nothing came to their attention as a result to the foregoing procedures that caused them to believe that this information does not conform in all material respects with the disclosure requirements of Items 301, 302, 402 and 503(d), respectively, of Regulation S-K;</w:t>
      </w:r>
    </w:p>
    <w:p>
      <w:pPr>
        <w:spacing w:after="0" w:line="175" w:lineRule="exact"/>
        <w:rPr>
          <w:rFonts w:ascii="Courier New" w:cs="Courier New" w:eastAsia="Courier New" w:hAnsi="Courier New"/>
          <w:sz w:val="15"/>
          <w:szCs w:val="15"/>
          <w:color w:val="auto"/>
        </w:rPr>
      </w:pPr>
    </w:p>
    <w:p>
      <w:pPr>
        <w:ind w:right="3239" w:firstLine="269"/>
        <w:spacing w:after="0" w:line="236" w:lineRule="auto"/>
        <w:tabs>
          <w:tab w:leader="none" w:pos="7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or incorporated by reference in the Prospectus, inquiries of officials of the Company and its subsidiaries responsible for financial and accounting matters and such other inquiries and procedures as may be specified in such letter, nothing came to their attention that caused them to believe that:</w:t>
      </w:r>
    </w:p>
    <w:p>
      <w:pPr>
        <w:spacing w:after="0" w:line="180" w:lineRule="exact"/>
        <w:rPr>
          <w:rFonts w:ascii="Courier New" w:cs="Courier New" w:eastAsia="Courier New" w:hAnsi="Courier New"/>
          <w:sz w:val="15"/>
          <w:szCs w:val="15"/>
          <w:color w:val="auto"/>
        </w:rPr>
      </w:pPr>
    </w:p>
    <w:p>
      <w:pPr>
        <w:ind w:left="960" w:right="3319" w:firstLine="9"/>
        <w:spacing w:after="0" w:line="237" w:lineRule="auto"/>
        <w:tabs>
          <w:tab w:leader="none" w:pos="1397"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unaudited condensed consolidated statements of income, consolidated balance sheets and consolidated statements of cash flows included in the Prospectus and/or included or incorporated by reference in the Company's Quarterly Reports on Form 10-Q incorporated by reference in the Prospectus do not comply as to form in all material respects with the applicable accounting requirements of the Exchange Act and the related published rules and regulations or (ii) any material modifications should be made to the unaudited condensed consolidated statements of income, consolidated balance sheets and consolidated statements of cash flows included in the Prospectus or included in the Company's Quarterly Reports on Form 10-Q incorporated by reference in the Prospectus for them to be in conformity with generally accepted accounting principles;</w:t>
      </w:r>
    </w:p>
    <w:p>
      <w:pPr>
        <w:spacing w:after="0" w:line="174" w:lineRule="exact"/>
        <w:rPr>
          <w:rFonts w:ascii="Courier New" w:cs="Courier New" w:eastAsia="Courier New" w:hAnsi="Courier New"/>
          <w:sz w:val="15"/>
          <w:szCs w:val="15"/>
          <w:color w:val="auto"/>
        </w:rPr>
      </w:pPr>
    </w:p>
    <w:p>
      <w:pPr>
        <w:ind w:left="960" w:right="3239" w:firstLine="9"/>
        <w:spacing w:after="0" w:line="255" w:lineRule="auto"/>
        <w:tabs>
          <w:tab w:leader="none" w:pos="1397"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or incorporated by reference in the Company's Annual Report on Form 10-K for the most recent fiscal year;</w:t>
      </w:r>
    </w:p>
    <w:p>
      <w:pPr>
        <w:spacing w:after="0" w:line="32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9"/>
          </w:cols>
          <w:pgMar w:left="660" w:top="623" w:right="1440" w:bottom="1440" w:gutter="0" w:footer="0" w:header="0"/>
        </w:sectPr>
      </w:pPr>
    </w:p>
    <w:bookmarkStart w:id="96" w:name="page97"/>
    <w:bookmarkEnd w:id="96"/>
    <w:p>
      <w:pPr>
        <w:ind w:left="428" w:right="3239" w:firstLine="9"/>
        <w:spacing w:after="0" w:line="236" w:lineRule="auto"/>
        <w:tabs>
          <w:tab w:leader="none" w:pos="865"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financial statements which were not included in the Prospectus but from which were derived the unaudited condensed financial statements referred to in Clause (A) and any unaudited income statement data and balance sheet items included in the Prospectus and referred to in Clause (B) were not determined on a basis substantially consistent with the basis for the audited financial statements included or incorporated by reference in the Company's Annual Report on Form 10-K for the most recent fiscal year;</w:t>
      </w:r>
    </w:p>
    <w:p>
      <w:pPr>
        <w:spacing w:after="0" w:line="178" w:lineRule="exact"/>
        <w:rPr>
          <w:rFonts w:ascii="Courier New" w:cs="Courier New" w:eastAsia="Courier New" w:hAnsi="Courier New"/>
          <w:sz w:val="15"/>
          <w:szCs w:val="15"/>
          <w:color w:val="auto"/>
        </w:rPr>
      </w:pPr>
    </w:p>
    <w:p>
      <w:pPr>
        <w:ind w:left="428" w:right="3399" w:firstLine="9"/>
        <w:spacing w:after="0" w:line="255" w:lineRule="auto"/>
        <w:tabs>
          <w:tab w:leader="none" w:pos="865"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unaudited pro forma consolidated condensed financial statements included or incorporated by reference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166" w:lineRule="exact"/>
        <w:rPr>
          <w:rFonts w:ascii="Courier New" w:cs="Courier New" w:eastAsia="Courier New" w:hAnsi="Courier New"/>
          <w:sz w:val="14"/>
          <w:szCs w:val="14"/>
          <w:color w:val="auto"/>
        </w:rPr>
      </w:pPr>
    </w:p>
    <w:p>
      <w:pPr>
        <w:ind w:left="428" w:right="3239" w:firstLine="9"/>
        <w:spacing w:after="0" w:line="255" w:lineRule="auto"/>
        <w:tabs>
          <w:tab w:leader="none" w:pos="865"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a specified date not more than three days prior to the date of such letter, there have been any changes in the consolidated capital stock d(other than issuances of capital stock upon exercise of options and stock appreciation rights, upon earn-outs of performance shares and upon conversions of convertible securities, in each case which were outstanding on the date of the latest balance sheet included or incorporated by reference in the Prospectus) or any increase in the consolidated long-term debt of the Company, or any decreases in consolidated net current assets or net assets or other items specified by the Representatives, or any increases in any items specified by the Representatives,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163" w:lineRule="exact"/>
        <w:rPr>
          <w:rFonts w:ascii="Courier New" w:cs="Courier New" w:eastAsia="Courier New" w:hAnsi="Courier New"/>
          <w:sz w:val="14"/>
          <w:szCs w:val="14"/>
          <w:color w:val="auto"/>
        </w:rPr>
      </w:pPr>
    </w:p>
    <w:p>
      <w:pPr>
        <w:ind w:left="428" w:right="3239" w:firstLine="9"/>
        <w:spacing w:after="0" w:line="237" w:lineRule="auto"/>
        <w:tabs>
          <w:tab w:leader="none" w:pos="865"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from the date of the latest financial statements included or incorporated by reference in the Prospectus to the specified date referred to in Clause (E) there were any decreases in revenue, or in income before gain on sale of real estate and extraordinary items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increases or decreases which the Prospectus discloses have occurred or may occur or which are described in such letter; and</w:t>
      </w:r>
    </w:p>
    <w:p>
      <w:pPr>
        <w:spacing w:after="0" w:line="173" w:lineRule="exact"/>
        <w:rPr>
          <w:rFonts w:ascii="Courier New" w:cs="Courier New" w:eastAsia="Courier New" w:hAnsi="Courier New"/>
          <w:sz w:val="15"/>
          <w:szCs w:val="15"/>
          <w:color w:val="auto"/>
        </w:rPr>
      </w:pPr>
    </w:p>
    <w:p>
      <w:pPr>
        <w:ind w:left="-272" w:right="3239" w:firstLine="272"/>
        <w:spacing w:after="0" w:line="236" w:lineRule="auto"/>
        <w:tabs>
          <w:tab w:leader="none" w:pos="60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audit referred to in their reports included or incorporated by reference in the Prospectus and the limited procedures, inspection of minute books, inquiries and other procedures referred to in paragraphs (iii) and (vi) above, they have carried out certain specified procedures, not constituting an</w:t>
      </w:r>
    </w:p>
    <w:p>
      <w:pPr>
        <w:spacing w:after="0" w:line="167" w:lineRule="exact"/>
        <w:rPr>
          <w:sz w:val="20"/>
          <w:szCs w:val="20"/>
          <w:color w:val="auto"/>
        </w:rPr>
      </w:pPr>
    </w:p>
    <w:p>
      <w:pPr>
        <w:ind w:left="244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267"/>
          </w:cols>
          <w:pgMar w:left="1192" w:top="624" w:right="1440" w:bottom="1440" w:gutter="0" w:footer="0" w:header="0"/>
        </w:sectPr>
      </w:pPr>
    </w:p>
    <w:bookmarkStart w:id="97" w:name="page98"/>
    <w:bookmarkEnd w:id="97"/>
    <w:p>
      <w:pPr>
        <w:ind w:left="700" w:right="3239"/>
        <w:spacing w:after="0" w:line="255" w:lineRule="auto"/>
        <w:rPr>
          <w:sz w:val="20"/>
          <w:szCs w:val="20"/>
          <w:color w:val="auto"/>
        </w:rPr>
      </w:pPr>
      <w:r>
        <w:rPr>
          <w:rFonts w:ascii="Courier New" w:cs="Courier New" w:eastAsia="Courier New" w:hAnsi="Courier New"/>
          <w:sz w:val="14"/>
          <w:szCs w:val="14"/>
          <w:color w:val="auto"/>
        </w:rPr>
        <w:t>audit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(excluding documents incorporated by reference), or in Part II of, or in exhibits and schedules to, the Registration Statement specified by the Representatives or in documents incorporated by reference in the Prospectus specified by the Representatives, and have compared certain of such amounts, percentages and financial information with the accounting records of the Company and its subsidiaries and have found them to be in agreement.</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references in this Annex II to the Prospectus shall be deemed to refer to the Prospectus (including the documents incorporated by reference therein) as defined in the Underwriting Agreement as of the date of the letter delivered on the date of the Pricing Agreement for purposes of such letter and to the Prospectus as amended or supplemented (including the documents incorporated by reference therein) in relation to the applicable Designated Shares for purposes of the letter delivered at the Time of Delivery for such Designated Shares.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3" w:right="1440" w:bottom="1440" w:gutter="0" w:footer="0" w:header="0"/>
        </w:sectPr>
      </w:pPr>
    </w:p>
    <w:bookmarkStart w:id="98" w:name="page99"/>
    <w:bookmarkEnd w:id="98"/>
    <w:p>
      <w:pPr>
        <w:ind w:left="6220"/>
        <w:spacing w:after="0"/>
        <w:rPr>
          <w:sz w:val="20"/>
          <w:szCs w:val="20"/>
          <w:color w:val="auto"/>
        </w:rPr>
      </w:pPr>
      <w:r>
        <w:rPr>
          <w:rFonts w:ascii="Courier New" w:cs="Courier New" w:eastAsia="Courier New" w:hAnsi="Courier New"/>
          <w:sz w:val="15"/>
          <w:szCs w:val="15"/>
          <w:color w:val="auto"/>
        </w:rPr>
        <w:t>ANNEX III</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Corporations (including Subsidiaries), Partnerships, Limited Liability Companies</w:t>
      </w:r>
    </w:p>
    <w:p>
      <w:pPr>
        <w:spacing w:after="0" w:line="10" w:lineRule="exact"/>
        <w:rPr>
          <w:sz w:val="20"/>
          <w:szCs w:val="20"/>
          <w:color w:val="auto"/>
        </w:rPr>
      </w:pPr>
    </w:p>
    <w:p>
      <w:pPr>
        <w:ind w:left="180" w:hanging="170"/>
        <w:spacing w:after="0"/>
        <w:tabs>
          <w:tab w:leader="none" w:pos="1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Joint Venture of Federal Realty Investment Trust ("FRIT")</w:t>
      </w: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FRIT</w:t>
            </w:r>
          </w:p>
        </w:tc>
        <w:tc>
          <w:tcPr>
            <w:tcW w:w="74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 Type</w:t>
            </w:r>
          </w:p>
        </w:tc>
        <w:tc>
          <w:tcPr>
            <w:tcW w:w="2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Ownership Interest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00" w:type="dxa"/>
            <w:vAlign w:val="bottom"/>
          </w:tcPr>
          <w:p>
            <w:pPr>
              <w:spacing w:after="0"/>
              <w:rPr>
                <w:sz w:val="20"/>
                <w:szCs w:val="20"/>
                <w:color w:val="auto"/>
              </w:rPr>
            </w:pPr>
            <w:r>
              <w:rPr>
                <w:rFonts w:ascii="Courier New" w:cs="Courier New" w:eastAsia="Courier New" w:hAnsi="Courier New"/>
                <w:sz w:val="15"/>
                <w:szCs w:val="15"/>
                <w:color w:val="auto"/>
              </w:rPr>
              <w:t>Subsidiaries:</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FRIT-WM, Inc.</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740" w:type="dxa"/>
            <w:vAlign w:val="bottom"/>
          </w:tcPr>
          <w:p>
            <w:pPr>
              <w:spacing w:after="0"/>
              <w:rPr>
                <w:sz w:val="24"/>
                <w:szCs w:val="24"/>
                <w:color w:val="auto"/>
              </w:rPr>
            </w:pP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FR Acquisitions Holding Co., Inc.</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740" w:type="dxa"/>
            <w:vAlign w:val="bottom"/>
          </w:tcPr>
          <w:p>
            <w:pPr>
              <w:spacing w:after="0"/>
              <w:rPr>
                <w:sz w:val="24"/>
                <w:szCs w:val="24"/>
                <w:color w:val="auto"/>
              </w:rPr>
            </w:pP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Street Retail Inc. ("SRI")</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740" w:type="dxa"/>
            <w:vAlign w:val="bottom"/>
          </w:tcPr>
          <w:p>
            <w:pPr>
              <w:spacing w:after="0"/>
              <w:rPr>
                <w:sz w:val="24"/>
                <w:szCs w:val="24"/>
                <w:color w:val="auto"/>
              </w:rPr>
            </w:pPr>
          </w:p>
        </w:tc>
      </w:tr>
      <w:tr>
        <w:trPr>
          <w:trHeight w:val="336"/>
        </w:trPr>
        <w:tc>
          <w:tcPr>
            <w:tcW w:w="4200" w:type="dxa"/>
            <w:vAlign w:val="bottom"/>
          </w:tcPr>
          <w:p>
            <w:pPr>
              <w:ind w:left="880"/>
              <w:spacing w:after="0"/>
              <w:rPr>
                <w:sz w:val="20"/>
                <w:szCs w:val="20"/>
                <w:color w:val="auto"/>
              </w:rPr>
            </w:pPr>
            <w:r>
              <w:rPr>
                <w:rFonts w:ascii="Courier New" w:cs="Courier New" w:eastAsia="Courier New" w:hAnsi="Courier New"/>
                <w:sz w:val="15"/>
                <w:szCs w:val="15"/>
                <w:color w:val="auto"/>
              </w:rPr>
              <w:t>Subsidiary of Street Retail, Inc.</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4200" w:type="dxa"/>
            <w:vAlign w:val="bottom"/>
          </w:tcPr>
          <w:p>
            <w:pPr>
              <w:ind w:left="1320"/>
              <w:spacing w:after="0"/>
              <w:rPr>
                <w:sz w:val="20"/>
                <w:szCs w:val="20"/>
                <w:color w:val="auto"/>
              </w:rPr>
            </w:pPr>
            <w:r>
              <w:rPr>
                <w:rFonts w:ascii="Courier New" w:cs="Courier New" w:eastAsia="Courier New" w:hAnsi="Courier New"/>
                <w:sz w:val="15"/>
                <w:szCs w:val="15"/>
                <w:color w:val="auto"/>
              </w:rPr>
              <w:t>Street Retail West GP, Inc.</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740" w:type="dxa"/>
            <w:vAlign w:val="bottom"/>
          </w:tcPr>
          <w:p>
            <w:pPr>
              <w:spacing w:after="0"/>
              <w:rPr>
                <w:sz w:val="24"/>
                <w:szCs w:val="24"/>
                <w:color w:val="auto"/>
              </w:rPr>
            </w:pP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FR Pike 7 Limited Partnership</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740" w:type="dxa"/>
            <w:vAlign w:val="bottom"/>
          </w:tcPr>
          <w:p>
            <w:pPr>
              <w:spacing w:after="0"/>
              <w:rPr>
                <w:sz w:val="24"/>
                <w:szCs w:val="24"/>
                <w:color w:val="auto"/>
              </w:rPr>
            </w:pP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FRLP, Inc.</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740" w:type="dxa"/>
            <w:vAlign w:val="bottom"/>
          </w:tcPr>
          <w:p>
            <w:pPr>
              <w:spacing w:after="0"/>
              <w:rPr>
                <w:sz w:val="24"/>
                <w:szCs w:val="24"/>
                <w:color w:val="auto"/>
              </w:rPr>
            </w:pP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Federal Realty Partners, Inc.</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740" w:type="dxa"/>
            <w:vAlign w:val="bottom"/>
          </w:tcPr>
          <w:p>
            <w:pPr>
              <w:spacing w:after="0"/>
              <w:rPr>
                <w:sz w:val="24"/>
                <w:szCs w:val="24"/>
                <w:color w:val="auto"/>
              </w:rPr>
            </w:pP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Federal Realty Partners, L.P.</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740" w:type="dxa"/>
            <w:vAlign w:val="bottom"/>
          </w:tcPr>
          <w:p>
            <w:pPr>
              <w:spacing w:after="0"/>
              <w:rPr>
                <w:sz w:val="24"/>
                <w:szCs w:val="24"/>
                <w:color w:val="auto"/>
              </w:rPr>
            </w:pP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SRI Holding Company, Inc.</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SRI owns</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100%</w:t>
            </w:r>
          </w:p>
        </w:tc>
      </w:tr>
      <w:tr>
        <w:trPr>
          <w:trHeight w:val="168"/>
        </w:trPr>
        <w:tc>
          <w:tcPr>
            <w:tcW w:w="4200" w:type="dxa"/>
            <w:vAlign w:val="bottom"/>
          </w:tcPr>
          <w:p>
            <w:pPr>
              <w:spacing w:after="0"/>
              <w:rPr>
                <w:sz w:val="14"/>
                <w:szCs w:val="14"/>
                <w:color w:val="auto"/>
              </w:rPr>
            </w:pP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voting</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w:t>
            </w: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SRI Texas, Inc.</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740" w:type="dxa"/>
            <w:vAlign w:val="bottom"/>
          </w:tcPr>
          <w:p>
            <w:pPr>
              <w:spacing w:after="0"/>
              <w:rPr>
                <w:sz w:val="24"/>
                <w:szCs w:val="24"/>
                <w:color w:val="auto"/>
              </w:rPr>
            </w:pP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Street Retail San Antonio, L.P.</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740" w:type="dxa"/>
            <w:vAlign w:val="bottom"/>
          </w:tcPr>
          <w:p>
            <w:pPr>
              <w:spacing w:after="0"/>
              <w:rPr>
                <w:sz w:val="24"/>
                <w:szCs w:val="24"/>
                <w:color w:val="auto"/>
              </w:rPr>
            </w:pP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TRS Development, Inc.</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Terranomics Retail Services, Inc.</w:t>
            </w:r>
          </w:p>
        </w:tc>
        <w:tc>
          <w:tcPr>
            <w:tcW w:w="16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FRIT owns 100%</w:t>
            </w:r>
          </w:p>
        </w:tc>
      </w:tr>
      <w:tr>
        <w:trPr>
          <w:trHeight w:val="168"/>
        </w:trPr>
        <w:tc>
          <w:tcPr>
            <w:tcW w:w="4480" w:type="dxa"/>
            <w:vAlign w:val="bottom"/>
          </w:tcPr>
          <w:p>
            <w:pPr>
              <w:spacing w:after="0"/>
              <w:rPr>
                <w:sz w:val="14"/>
                <w:szCs w:val="14"/>
                <w:color w:val="auto"/>
              </w:rPr>
            </w:pPr>
          </w:p>
        </w:tc>
        <w:tc>
          <w:tcPr>
            <w:tcW w:w="16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of voting stock</w:t>
            </w:r>
          </w:p>
        </w:tc>
      </w:tr>
      <w:tr>
        <w:trPr>
          <w:trHeight w:val="505"/>
        </w:trPr>
        <w:tc>
          <w:tcPr>
            <w:tcW w:w="5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Corporations, Partnerships and Limited Liability Companies:</w:t>
            </w:r>
          </w:p>
        </w:tc>
        <w:tc>
          <w:tcPr>
            <w:tcW w:w="660" w:type="dxa"/>
            <w:vAlign w:val="bottom"/>
          </w:tcPr>
          <w:p>
            <w:pPr>
              <w:spacing w:after="0"/>
              <w:rPr>
                <w:sz w:val="24"/>
                <w:szCs w:val="24"/>
                <w:color w:val="auto"/>
              </w:rPr>
            </w:pPr>
          </w:p>
        </w:tc>
      </w:tr>
      <w:tr>
        <w:trPr>
          <w:trHeight w:val="336"/>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Andorra Associates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FRIT</w:t>
            </w:r>
          </w:p>
        </w:tc>
      </w:tr>
      <w:tr>
        <w:trPr>
          <w:trHeight w:val="168"/>
        </w:trPr>
        <w:tc>
          <w:tcPr>
            <w:tcW w:w="44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FRA</w:t>
            </w: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Berman Enterprises II Limited Partnership</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FRIT</w:t>
            </w:r>
          </w:p>
        </w:tc>
      </w:tr>
      <w:tr>
        <w:trPr>
          <w:trHeight w:val="168"/>
        </w:trPr>
        <w:tc>
          <w:tcPr>
            <w:tcW w:w="44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FRA</w:t>
            </w:r>
          </w:p>
        </w:tc>
      </w:tr>
      <w:tr>
        <w:trPr>
          <w:trHeight w:val="336"/>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FR Associates Limited Partnership ("FRA")</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660" w:type="dxa"/>
            <w:vAlign w:val="bottom"/>
          </w:tcPr>
          <w:p>
            <w:pPr>
              <w:spacing w:after="0"/>
              <w:rPr>
                <w:sz w:val="24"/>
                <w:szCs w:val="24"/>
                <w:color w:val="auto"/>
              </w:rPr>
            </w:pPr>
          </w:p>
        </w:tc>
      </w:tr>
      <w:tr>
        <w:trPr>
          <w:trHeight w:val="336"/>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FRIT Escondido Promenade, LLC</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660" w:type="dxa"/>
            <w:vAlign w:val="bottom"/>
          </w:tcPr>
          <w:p>
            <w:pPr>
              <w:spacing w:after="0"/>
              <w:rPr>
                <w:sz w:val="24"/>
                <w:szCs w:val="24"/>
                <w:color w:val="auto"/>
              </w:rPr>
            </w:pPr>
          </w:p>
        </w:tc>
      </w:tr>
      <w:tr>
        <w:trPr>
          <w:trHeight w:val="336"/>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FRIT San Jose Town and Country Village LLC</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660" w:type="dxa"/>
            <w:vAlign w:val="bottom"/>
          </w:tcPr>
          <w:p>
            <w:pPr>
              <w:spacing w:after="0"/>
              <w:rPr>
                <w:sz w:val="24"/>
                <w:szCs w:val="24"/>
                <w:color w:val="auto"/>
              </w:rPr>
            </w:pPr>
          </w:p>
        </w:tc>
      </w:tr>
      <w:tr>
        <w:trPr>
          <w:trHeight w:val="336"/>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Governor Plaza Associates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FRIT</w:t>
            </w:r>
          </w:p>
        </w:tc>
      </w:tr>
      <w:tr>
        <w:trPr>
          <w:trHeight w:val="168"/>
        </w:trPr>
        <w:tc>
          <w:tcPr>
            <w:tcW w:w="44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FRA</w:t>
            </w:r>
          </w:p>
        </w:tc>
      </w:tr>
      <w:tr>
        <w:trPr>
          <w:trHeight w:val="336"/>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Loehmann's Plaza Limited Partnership</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spacing w:after="0"/>
              <w:rPr>
                <w:sz w:val="24"/>
                <w:szCs w:val="24"/>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San Jose Residential, Inc.</w:t>
            </w:r>
          </w:p>
        </w:tc>
        <w:tc>
          <w:tcPr>
            <w:tcW w:w="2220" w:type="dxa"/>
            <w:vAlign w:val="bottom"/>
          </w:tcPr>
          <w:p>
            <w:pPr>
              <w:ind w:left="1880"/>
              <w:spacing w:after="0"/>
              <w:rPr>
                <w:sz w:val="20"/>
                <w:szCs w:val="20"/>
                <w:color w:val="auto"/>
              </w:rPr>
            </w:pPr>
            <w:r>
              <w:rPr>
                <w:rFonts w:ascii="Courier New" w:cs="Courier New" w:eastAsia="Courier New" w:hAnsi="Courier New"/>
                <w:sz w:val="15"/>
                <w:szCs w:val="15"/>
                <w:color w:val="auto"/>
                <w:w w:val="88"/>
              </w:rPr>
              <w:t>FRIT</w:t>
            </w:r>
          </w:p>
        </w:tc>
        <w:tc>
          <w:tcPr>
            <w:tcW w:w="18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San Jose Town</w:t>
            </w:r>
          </w:p>
        </w:tc>
      </w:tr>
      <w:tr>
        <w:trPr>
          <w:trHeight w:val="168"/>
        </w:trPr>
        <w:tc>
          <w:tcPr>
            <w:tcW w:w="2860" w:type="dxa"/>
            <w:vAlign w:val="bottom"/>
          </w:tcPr>
          <w:p>
            <w:pPr>
              <w:spacing w:after="0"/>
              <w:rPr>
                <w:sz w:val="14"/>
                <w:szCs w:val="14"/>
                <w:color w:val="auto"/>
              </w:rPr>
            </w:pPr>
          </w:p>
        </w:tc>
        <w:tc>
          <w:tcPr>
            <w:tcW w:w="4060" w:type="dxa"/>
            <w:vAlign w:val="bottom"/>
            <w:gridSpan w:val="3"/>
          </w:tcPr>
          <w:p>
            <w:pPr>
              <w:ind w:left="1180"/>
              <w:spacing w:after="0" w:line="168" w:lineRule="exact"/>
              <w:rPr>
                <w:sz w:val="20"/>
                <w:szCs w:val="20"/>
                <w:color w:val="auto"/>
              </w:rPr>
            </w:pPr>
            <w:r>
              <w:rPr>
                <w:rFonts w:ascii="Courier New" w:cs="Courier New" w:eastAsia="Courier New" w:hAnsi="Courier New"/>
                <w:sz w:val="15"/>
                <w:szCs w:val="15"/>
                <w:color w:val="auto"/>
                <w:w w:val="96"/>
              </w:rPr>
              <w:t>and Country Village LLC owns 100%</w:t>
            </w:r>
          </w:p>
        </w:tc>
      </w:tr>
      <w:tr>
        <w:trPr>
          <w:trHeight w:val="168"/>
        </w:trPr>
        <w:tc>
          <w:tcPr>
            <w:tcW w:w="2860" w:type="dxa"/>
            <w:vAlign w:val="bottom"/>
          </w:tcPr>
          <w:p>
            <w:pPr>
              <w:spacing w:after="0"/>
              <w:rPr>
                <w:sz w:val="14"/>
                <w:szCs w:val="14"/>
                <w:color w:val="auto"/>
              </w:rPr>
            </w:pPr>
          </w:p>
        </w:tc>
        <w:tc>
          <w:tcPr>
            <w:tcW w:w="4060" w:type="dxa"/>
            <w:vAlign w:val="bottom"/>
            <w:gridSpan w:val="3"/>
          </w:tcPr>
          <w:p>
            <w:pPr>
              <w:ind w:left="1880"/>
              <w:spacing w:after="0" w:line="168" w:lineRule="exact"/>
              <w:rPr>
                <w:sz w:val="20"/>
                <w:szCs w:val="20"/>
                <w:color w:val="auto"/>
              </w:rPr>
            </w:pPr>
            <w:r>
              <w:rPr>
                <w:rFonts w:ascii="Courier New" w:cs="Courier New" w:eastAsia="Courier New" w:hAnsi="Courier New"/>
                <w:sz w:val="15"/>
                <w:szCs w:val="15"/>
                <w:color w:val="auto"/>
              </w:rPr>
              <w:t>of non-voting stock</w:t>
            </w:r>
          </w:p>
        </w:tc>
      </w:tr>
      <w:tr>
        <w:trPr>
          <w:trHeight w:val="336"/>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SRI Old Town, LLC</w:t>
            </w:r>
          </w:p>
        </w:tc>
        <w:tc>
          <w:tcPr>
            <w:tcW w:w="2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100%</w:t>
            </w:r>
          </w:p>
        </w:tc>
        <w:tc>
          <w:tcPr>
            <w:tcW w:w="1440" w:type="dxa"/>
            <w:vAlign w:val="bottom"/>
          </w:tcPr>
          <w:p>
            <w:pPr>
              <w:spacing w:after="0"/>
              <w:rPr>
                <w:sz w:val="24"/>
                <w:szCs w:val="24"/>
                <w:color w:val="auto"/>
              </w:rPr>
            </w:pPr>
          </w:p>
        </w:tc>
      </w:tr>
      <w:tr>
        <w:trPr>
          <w:trHeight w:val="336"/>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SRI San Antonio, Inc.</w:t>
            </w:r>
          </w:p>
        </w:tc>
        <w:tc>
          <w:tcPr>
            <w:tcW w:w="2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100%</w:t>
            </w:r>
          </w:p>
        </w:tc>
        <w:tc>
          <w:tcPr>
            <w:tcW w:w="1440" w:type="dxa"/>
            <w:vAlign w:val="bottom"/>
          </w:tcPr>
          <w:p>
            <w:pPr>
              <w:spacing w:after="0"/>
              <w:rPr>
                <w:sz w:val="24"/>
                <w:szCs w:val="24"/>
                <w:color w:val="auto"/>
              </w:rPr>
            </w:pPr>
          </w:p>
        </w:tc>
      </w:tr>
      <w:tr>
        <w:trPr>
          <w:trHeight w:val="336"/>
        </w:trPr>
        <w:tc>
          <w:tcPr>
            <w:tcW w:w="5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Shopping Center Associates Limited Partnership</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FRIT</w:t>
            </w:r>
          </w:p>
        </w:tc>
      </w:tr>
      <w:tr>
        <w:trPr>
          <w:trHeight w:val="168"/>
        </w:trPr>
        <w:tc>
          <w:tcPr>
            <w:tcW w:w="2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FRA</w:t>
            </w:r>
          </w:p>
        </w:tc>
      </w:tr>
      <w:tr>
        <w:trPr>
          <w:trHeight w:val="336"/>
        </w:trPr>
        <w:tc>
          <w:tcPr>
            <w:tcW w:w="5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Street Retail Forest Hills I, LLC</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440" w:type="dxa"/>
            <w:vAlign w:val="bottom"/>
          </w:tcPr>
          <w:p>
            <w:pPr>
              <w:spacing w:after="0"/>
              <w:rPr>
                <w:sz w:val="24"/>
                <w:szCs w:val="24"/>
                <w:color w:val="auto"/>
              </w:rPr>
            </w:pPr>
          </w:p>
        </w:tc>
      </w:tr>
      <w:tr>
        <w:trPr>
          <w:trHeight w:val="336"/>
        </w:trPr>
        <w:tc>
          <w:tcPr>
            <w:tcW w:w="5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Street Retail Forest Hills II, LLC</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440" w:type="dxa"/>
            <w:vAlign w:val="bottom"/>
          </w:tcPr>
          <w:p>
            <w:pPr>
              <w:spacing w:after="0"/>
              <w:rPr>
                <w:sz w:val="24"/>
                <w:szCs w:val="24"/>
                <w:color w:val="auto"/>
              </w:rPr>
            </w:pPr>
          </w:p>
        </w:tc>
      </w:tr>
      <w:tr>
        <w:trPr>
          <w:trHeight w:val="336"/>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Street Retail Tempe I, LLC</w:t>
            </w:r>
          </w:p>
        </w:tc>
        <w:tc>
          <w:tcPr>
            <w:tcW w:w="2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440" w:type="dxa"/>
            <w:vAlign w:val="bottom"/>
          </w:tcPr>
          <w:p>
            <w:pPr>
              <w:spacing w:after="0"/>
              <w:rPr>
                <w:sz w:val="24"/>
                <w:szCs w:val="24"/>
                <w:color w:val="auto"/>
              </w:rPr>
            </w:pPr>
          </w:p>
        </w:tc>
      </w:tr>
      <w:tr>
        <w:trPr>
          <w:trHeight w:val="336"/>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Street Retail West I, L.P.</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(indirect partnership)</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440" w:type="dxa"/>
            <w:vAlign w:val="bottom"/>
          </w:tcPr>
          <w:p>
            <w:pPr>
              <w:spacing w:after="0"/>
              <w:rPr>
                <w:sz w:val="24"/>
                <w:szCs w:val="24"/>
                <w:color w:val="auto"/>
              </w:rPr>
            </w:pPr>
          </w:p>
        </w:tc>
      </w:tr>
      <w:tr>
        <w:trPr>
          <w:trHeight w:val="336"/>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w w:val="98"/>
              </w:rPr>
              <w:t>Street Retail West II, L.P.</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(indirect partnership)</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440" w:type="dxa"/>
            <w:vAlign w:val="bottom"/>
          </w:tcPr>
          <w:p>
            <w:pPr>
              <w:spacing w:after="0"/>
              <w:rPr>
                <w:sz w:val="24"/>
                <w:szCs w:val="24"/>
                <w:color w:val="auto"/>
              </w:rPr>
            </w:pPr>
          </w:p>
        </w:tc>
      </w:tr>
      <w:tr>
        <w:trPr>
          <w:trHeight w:val="336"/>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Street Retail West 3, L.P.</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(indirect partnership)</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440" w:type="dxa"/>
            <w:vAlign w:val="bottom"/>
          </w:tcPr>
          <w:p>
            <w:pPr>
              <w:spacing w:after="0"/>
              <w:rPr>
                <w:sz w:val="24"/>
                <w:szCs w:val="24"/>
                <w:color w:val="auto"/>
              </w:rPr>
            </w:pPr>
          </w:p>
        </w:tc>
      </w:tr>
      <w:tr>
        <w:trPr>
          <w:trHeight w:val="336"/>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Street Retail West 4, L.P.</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(indirect partnership)</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440" w:type="dxa"/>
            <w:vAlign w:val="bottom"/>
          </w:tcPr>
          <w:p>
            <w:pPr>
              <w:spacing w:after="0"/>
              <w:rPr>
                <w:sz w:val="24"/>
                <w:szCs w:val="24"/>
                <w:color w:val="auto"/>
              </w:rPr>
            </w:pPr>
          </w:p>
        </w:tc>
      </w:tr>
      <w:tr>
        <w:trPr>
          <w:trHeight w:val="336"/>
        </w:trPr>
        <w:tc>
          <w:tcPr>
            <w:tcW w:w="5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Virginia Real Estate Investors Limited Partnership</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1440" w:type="dxa"/>
            <w:vAlign w:val="bottom"/>
          </w:tcPr>
          <w:p>
            <w:pPr>
              <w:spacing w:after="0"/>
              <w:rPr>
                <w:sz w:val="24"/>
                <w:szCs w:val="24"/>
                <w:color w:val="auto"/>
              </w:rPr>
            </w:pPr>
          </w:p>
        </w:tc>
      </w:tr>
      <w:tr>
        <w:trPr>
          <w:trHeight w:val="505"/>
        </w:trPr>
        <w:tc>
          <w:tcPr>
            <w:tcW w:w="2860" w:type="dxa"/>
            <w:vAlign w:val="bottom"/>
          </w:tcPr>
          <w:p>
            <w:pPr>
              <w:spacing w:after="0"/>
              <w:rPr>
                <w:sz w:val="20"/>
                <w:szCs w:val="20"/>
                <w:color w:val="auto"/>
              </w:rPr>
            </w:pPr>
            <w:r>
              <w:rPr>
                <w:rFonts w:ascii="Courier New" w:cs="Courier New" w:eastAsia="Courier New" w:hAnsi="Courier New"/>
                <w:sz w:val="15"/>
                <w:szCs w:val="15"/>
                <w:color w:val="auto"/>
              </w:rPr>
              <w:t>Joint Venture:</w:t>
            </w: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6"/>
        </w:trPr>
        <w:tc>
          <w:tcPr>
            <w:tcW w:w="5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Congressional Plaza Associates</w:t>
            </w:r>
          </w:p>
        </w:tc>
        <w:tc>
          <w:tcPr>
            <w:tcW w:w="18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55.7%</w:t>
            </w:r>
          </w:p>
        </w:tc>
      </w:tr>
    </w:tbl>
    <w:p>
      <w:pPr>
        <w:sectPr>
          <w:pgSz w:w="11900" w:h="16838" w:orient="portrait"/>
          <w:cols w:equalWidth="0" w:num="1">
            <w:col w:w="10239"/>
          </w:cols>
          <w:pgMar w:left="220" w:top="617" w:right="1440" w:bottom="1440" w:gutter="0" w:footer="0" w:header="0"/>
        </w:sectPr>
      </w:pPr>
    </w:p>
    <w:bookmarkStart w:id="100" w:name="page101"/>
    <w:bookmarkEnd w:id="100"/>
    <w:p>
      <w:pPr>
        <w:ind w:left="5860"/>
        <w:spacing w:after="0"/>
        <w:rPr>
          <w:sz w:val="20"/>
          <w:szCs w:val="20"/>
          <w:color w:val="auto"/>
        </w:rPr>
      </w:pPr>
      <w:r>
        <w:rPr>
          <w:rFonts w:ascii="Courier New" w:cs="Courier New" w:eastAsia="Courier New" w:hAnsi="Courier New"/>
          <w:sz w:val="14"/>
          <w:szCs w:val="14"/>
          <w:color w:val="auto"/>
        </w:rPr>
        <w:t>EXHIBIT 4(a)</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TO</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FIRST UNION NATIONAL BANK</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Trustee</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_____________________________</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Indenture</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Dated as of September 1, 1998</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_____________________________</w:t>
      </w:r>
    </w:p>
    <w:p>
      <w:pPr>
        <w:spacing w:after="0" w:line="16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Senior Debt Securities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w:t>
      </w:r>
    </w:p>
    <w:p>
      <w:pPr>
        <w:sectPr>
          <w:pgSz w:w="11900" w:h="16838" w:orient="portrait"/>
          <w:cols w:equalWidth="0" w:num="1">
            <w:col w:w="10139"/>
          </w:cols>
          <w:pgMar w:left="320" w:top="478" w:right="1440" w:bottom="1440" w:gutter="0" w:footer="0" w:header="0"/>
        </w:sectPr>
      </w:pPr>
    </w:p>
    <w:bookmarkStart w:id="101" w:name="page102"/>
    <w:bookmarkEnd w:id="101"/>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PARTIES</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RECITALS</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ONE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DEFINITIONS AND OTHER PROVISIONS OF GENERAL APPLICATION</w:t>
      </w:r>
    </w:p>
    <w:p>
      <w:pPr>
        <w:spacing w:after="0" w:line="166" w:lineRule="exact"/>
        <w:rPr>
          <w:sz w:val="20"/>
          <w:szCs w:val="20"/>
          <w:color w:val="auto"/>
        </w:rPr>
      </w:pPr>
    </w:p>
    <w:p>
      <w:pPr>
        <w:ind w:left="440"/>
        <w:spacing w:after="0"/>
        <w:tabs>
          <w:tab w:leader="dot" w:pos="6820" w:val="left"/>
        </w:tabs>
        <w:rPr>
          <w:sz w:val="20"/>
          <w:szCs w:val="20"/>
          <w:color w:val="auto"/>
        </w:rPr>
      </w:pPr>
      <w:r>
        <w:rPr>
          <w:rFonts w:ascii="Courier New" w:cs="Courier New" w:eastAsia="Courier New" w:hAnsi="Courier New"/>
          <w:sz w:val="15"/>
          <w:szCs w:val="15"/>
          <w:color w:val="auto"/>
        </w:rPr>
        <w:t>SECTION 101. Definitions</w:t>
      </w:r>
      <w:r>
        <w:rPr>
          <w:sz w:val="20"/>
          <w:szCs w:val="20"/>
          <w:color w:val="auto"/>
        </w:rPr>
        <w:tab/>
      </w:r>
      <w:r>
        <w:rPr>
          <w:rFonts w:ascii="Courier New" w:cs="Courier New" w:eastAsia="Courier New" w:hAnsi="Courier New"/>
          <w:sz w:val="12"/>
          <w:szCs w:val="12"/>
          <w:color w:val="auto"/>
        </w:rPr>
        <w:t>1</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Act</w:t>
      </w:r>
      <w:r>
        <w:rPr>
          <w:sz w:val="20"/>
          <w:szCs w:val="20"/>
          <w:color w:val="auto"/>
        </w:rPr>
        <w:tab/>
      </w:r>
      <w:r>
        <w:rPr>
          <w:rFonts w:ascii="Courier New" w:cs="Courier New" w:eastAsia="Courier New" w:hAnsi="Courier New"/>
          <w:sz w:val="12"/>
          <w:szCs w:val="12"/>
          <w:color w:val="auto"/>
        </w:rPr>
        <w:t>2</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Additional Amounts</w:t>
      </w:r>
      <w:r>
        <w:rPr>
          <w:sz w:val="20"/>
          <w:szCs w:val="20"/>
          <w:color w:val="auto"/>
        </w:rPr>
        <w:tab/>
      </w:r>
      <w:r>
        <w:rPr>
          <w:rFonts w:ascii="Courier New" w:cs="Courier New" w:eastAsia="Courier New" w:hAnsi="Courier New"/>
          <w:sz w:val="12"/>
          <w:szCs w:val="12"/>
          <w:color w:val="auto"/>
        </w:rPr>
        <w:t>2</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Affiliate</w:t>
      </w:r>
      <w:r>
        <w:rPr>
          <w:sz w:val="20"/>
          <w:szCs w:val="20"/>
          <w:color w:val="auto"/>
        </w:rPr>
        <w:tab/>
      </w:r>
      <w:r>
        <w:rPr>
          <w:rFonts w:ascii="Courier New" w:cs="Courier New" w:eastAsia="Courier New" w:hAnsi="Courier New"/>
          <w:sz w:val="12"/>
          <w:szCs w:val="12"/>
          <w:color w:val="auto"/>
        </w:rPr>
        <w:t>2</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Authenticating Agent</w:t>
      </w:r>
      <w:r>
        <w:rPr>
          <w:sz w:val="20"/>
          <w:szCs w:val="20"/>
          <w:color w:val="auto"/>
        </w:rPr>
        <w:tab/>
      </w:r>
      <w:r>
        <w:rPr>
          <w:rFonts w:ascii="Courier New" w:cs="Courier New" w:eastAsia="Courier New" w:hAnsi="Courier New"/>
          <w:sz w:val="12"/>
          <w:szCs w:val="12"/>
          <w:color w:val="auto"/>
        </w:rPr>
        <w:t>2</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Authorized Newspaper</w:t>
      </w:r>
      <w:r>
        <w:rPr>
          <w:sz w:val="20"/>
          <w:szCs w:val="20"/>
          <w:color w:val="auto"/>
        </w:rPr>
        <w:tab/>
      </w:r>
      <w:r>
        <w:rPr>
          <w:rFonts w:ascii="Courier New" w:cs="Courier New" w:eastAsia="Courier New" w:hAnsi="Courier New"/>
          <w:sz w:val="12"/>
          <w:szCs w:val="12"/>
          <w:color w:val="auto"/>
        </w:rPr>
        <w:t>2</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Bankruptcy Law</w:t>
      </w:r>
      <w:r>
        <w:rPr>
          <w:sz w:val="20"/>
          <w:szCs w:val="20"/>
          <w:color w:val="auto"/>
        </w:rPr>
        <w:tab/>
      </w:r>
      <w:r>
        <w:rPr>
          <w:rFonts w:ascii="Courier New" w:cs="Courier New" w:eastAsia="Courier New" w:hAnsi="Courier New"/>
          <w:sz w:val="12"/>
          <w:szCs w:val="12"/>
          <w:color w:val="auto"/>
        </w:rPr>
        <w:t>2</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Bearer Security</w:t>
      </w:r>
      <w:r>
        <w:rPr>
          <w:sz w:val="20"/>
          <w:szCs w:val="20"/>
          <w:color w:val="auto"/>
        </w:rPr>
        <w:tab/>
      </w:r>
      <w:r>
        <w:rPr>
          <w:rFonts w:ascii="Courier New" w:cs="Courier New" w:eastAsia="Courier New" w:hAnsi="Courier New"/>
          <w:sz w:val="12"/>
          <w:szCs w:val="12"/>
          <w:color w:val="auto"/>
        </w:rPr>
        <w:t>2</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Board of Trustees</w:t>
      </w:r>
      <w:r>
        <w:rPr>
          <w:sz w:val="20"/>
          <w:szCs w:val="20"/>
          <w:color w:val="auto"/>
        </w:rPr>
        <w:tab/>
      </w:r>
      <w:r>
        <w:rPr>
          <w:rFonts w:ascii="Courier New" w:cs="Courier New" w:eastAsia="Courier New" w:hAnsi="Courier New"/>
          <w:sz w:val="12"/>
          <w:szCs w:val="12"/>
          <w:color w:val="auto"/>
        </w:rPr>
        <w:t>3</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Board Resolution</w:t>
      </w:r>
      <w:r>
        <w:rPr>
          <w:sz w:val="20"/>
          <w:szCs w:val="20"/>
          <w:color w:val="auto"/>
        </w:rPr>
        <w:tab/>
      </w:r>
      <w:r>
        <w:rPr>
          <w:rFonts w:ascii="Courier New" w:cs="Courier New" w:eastAsia="Courier New" w:hAnsi="Courier New"/>
          <w:sz w:val="12"/>
          <w:szCs w:val="12"/>
          <w:color w:val="auto"/>
        </w:rPr>
        <w:t>3</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Business Day</w:t>
      </w:r>
      <w:r>
        <w:rPr>
          <w:sz w:val="20"/>
          <w:szCs w:val="20"/>
          <w:color w:val="auto"/>
        </w:rPr>
        <w:tab/>
      </w:r>
      <w:r>
        <w:rPr>
          <w:rFonts w:ascii="Courier New" w:cs="Courier New" w:eastAsia="Courier New" w:hAnsi="Courier New"/>
          <w:sz w:val="12"/>
          <w:szCs w:val="12"/>
          <w:color w:val="auto"/>
        </w:rPr>
        <w:t>3</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CEDEL</w:t>
      </w:r>
      <w:r>
        <w:rPr>
          <w:sz w:val="20"/>
          <w:szCs w:val="20"/>
          <w:color w:val="auto"/>
        </w:rPr>
        <w:tab/>
      </w:r>
      <w:r>
        <w:rPr>
          <w:rFonts w:ascii="Courier New" w:cs="Courier New" w:eastAsia="Courier New" w:hAnsi="Courier New"/>
          <w:sz w:val="12"/>
          <w:szCs w:val="12"/>
          <w:color w:val="auto"/>
        </w:rPr>
        <w:t>3</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Commission</w:t>
      </w:r>
      <w:r>
        <w:rPr>
          <w:sz w:val="20"/>
          <w:szCs w:val="20"/>
          <w:color w:val="auto"/>
        </w:rPr>
        <w:tab/>
      </w:r>
      <w:r>
        <w:rPr>
          <w:rFonts w:ascii="Courier New" w:cs="Courier New" w:eastAsia="Courier New" w:hAnsi="Courier New"/>
          <w:sz w:val="12"/>
          <w:szCs w:val="12"/>
          <w:color w:val="auto"/>
        </w:rPr>
        <w:t>3</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Common Shares</w:t>
      </w:r>
      <w:r>
        <w:rPr>
          <w:sz w:val="20"/>
          <w:szCs w:val="20"/>
          <w:color w:val="auto"/>
        </w:rPr>
        <w:tab/>
      </w:r>
      <w:r>
        <w:rPr>
          <w:rFonts w:ascii="Courier New" w:cs="Courier New" w:eastAsia="Courier New" w:hAnsi="Courier New"/>
          <w:sz w:val="12"/>
          <w:szCs w:val="12"/>
          <w:color w:val="auto"/>
        </w:rPr>
        <w:t>3</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2"/>
          <w:szCs w:val="12"/>
          <w:color w:val="auto"/>
        </w:rPr>
        <w:t>3</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Company Request and Company Order</w:t>
      </w:r>
      <w:r>
        <w:rPr>
          <w:sz w:val="20"/>
          <w:szCs w:val="20"/>
          <w:color w:val="auto"/>
        </w:rPr>
        <w:tab/>
      </w:r>
      <w:r>
        <w:rPr>
          <w:rFonts w:ascii="Courier New" w:cs="Courier New" w:eastAsia="Courier New" w:hAnsi="Courier New"/>
          <w:sz w:val="12"/>
          <w:szCs w:val="12"/>
          <w:color w:val="auto"/>
        </w:rPr>
        <w:t>3</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Conversion Event</w:t>
      </w:r>
      <w:r>
        <w:rPr>
          <w:sz w:val="20"/>
          <w:szCs w:val="20"/>
          <w:color w:val="auto"/>
        </w:rPr>
        <w:tab/>
      </w:r>
      <w:r>
        <w:rPr>
          <w:rFonts w:ascii="Courier New" w:cs="Courier New" w:eastAsia="Courier New" w:hAnsi="Courier New"/>
          <w:sz w:val="12"/>
          <w:szCs w:val="12"/>
          <w:color w:val="auto"/>
        </w:rPr>
        <w:t>3</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Corporate Trust Office</w:t>
      </w:r>
      <w:r>
        <w:rPr>
          <w:sz w:val="20"/>
          <w:szCs w:val="20"/>
          <w:color w:val="auto"/>
        </w:rPr>
        <w:tab/>
      </w:r>
      <w:r>
        <w:rPr>
          <w:rFonts w:ascii="Courier New" w:cs="Courier New" w:eastAsia="Courier New" w:hAnsi="Courier New"/>
          <w:sz w:val="12"/>
          <w:szCs w:val="12"/>
          <w:color w:val="auto"/>
        </w:rPr>
        <w:t>4</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Corporation</w:t>
      </w:r>
      <w:r>
        <w:rPr>
          <w:sz w:val="20"/>
          <w:szCs w:val="20"/>
          <w:color w:val="auto"/>
        </w:rPr>
        <w:tab/>
      </w:r>
      <w:r>
        <w:rPr>
          <w:rFonts w:ascii="Courier New" w:cs="Courier New" w:eastAsia="Courier New" w:hAnsi="Courier New"/>
          <w:sz w:val="12"/>
          <w:szCs w:val="12"/>
          <w:color w:val="auto"/>
        </w:rPr>
        <w:t>4</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Coupon</w:t>
      </w:r>
      <w:r>
        <w:rPr>
          <w:sz w:val="20"/>
          <w:szCs w:val="20"/>
          <w:color w:val="auto"/>
        </w:rPr>
        <w:tab/>
      </w:r>
      <w:r>
        <w:rPr>
          <w:rFonts w:ascii="Courier New" w:cs="Courier New" w:eastAsia="Courier New" w:hAnsi="Courier New"/>
          <w:sz w:val="12"/>
          <w:szCs w:val="12"/>
          <w:color w:val="auto"/>
        </w:rPr>
        <w:t>4</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Custodian</w:t>
      </w:r>
      <w:r>
        <w:rPr>
          <w:sz w:val="20"/>
          <w:szCs w:val="20"/>
          <w:color w:val="auto"/>
        </w:rPr>
        <w:tab/>
      </w:r>
      <w:r>
        <w:rPr>
          <w:rFonts w:ascii="Courier New" w:cs="Courier New" w:eastAsia="Courier New" w:hAnsi="Courier New"/>
          <w:sz w:val="12"/>
          <w:szCs w:val="12"/>
          <w:color w:val="auto"/>
        </w:rPr>
        <w:t>4</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Defaulted Interest</w:t>
      </w:r>
      <w:r>
        <w:rPr>
          <w:sz w:val="20"/>
          <w:szCs w:val="20"/>
          <w:color w:val="auto"/>
        </w:rPr>
        <w:tab/>
      </w:r>
      <w:r>
        <w:rPr>
          <w:rFonts w:ascii="Courier New" w:cs="Courier New" w:eastAsia="Courier New" w:hAnsi="Courier New"/>
          <w:sz w:val="12"/>
          <w:szCs w:val="12"/>
          <w:color w:val="auto"/>
        </w:rPr>
        <w:t>4</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Dollar or $</w:t>
      </w:r>
      <w:r>
        <w:rPr>
          <w:sz w:val="20"/>
          <w:szCs w:val="20"/>
          <w:color w:val="auto"/>
        </w:rPr>
        <w:tab/>
      </w:r>
      <w:r>
        <w:rPr>
          <w:rFonts w:ascii="Courier New" w:cs="Courier New" w:eastAsia="Courier New" w:hAnsi="Courier New"/>
          <w:sz w:val="12"/>
          <w:szCs w:val="12"/>
          <w:color w:val="auto"/>
        </w:rPr>
        <w:t>4</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ECU</w:t>
      </w:r>
      <w:r>
        <w:rPr>
          <w:sz w:val="20"/>
          <w:szCs w:val="20"/>
          <w:color w:val="auto"/>
        </w:rPr>
        <w:tab/>
      </w:r>
      <w:r>
        <w:rPr>
          <w:rFonts w:ascii="Courier New" w:cs="Courier New" w:eastAsia="Courier New" w:hAnsi="Courier New"/>
          <w:sz w:val="12"/>
          <w:szCs w:val="12"/>
          <w:color w:val="auto"/>
        </w:rPr>
        <w:t>4</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Euroclear</w:t>
      </w:r>
      <w:r>
        <w:rPr>
          <w:sz w:val="20"/>
          <w:szCs w:val="20"/>
          <w:color w:val="auto"/>
        </w:rPr>
        <w:tab/>
      </w:r>
      <w:r>
        <w:rPr>
          <w:rFonts w:ascii="Courier New" w:cs="Courier New" w:eastAsia="Courier New" w:hAnsi="Courier New"/>
          <w:sz w:val="12"/>
          <w:szCs w:val="12"/>
          <w:color w:val="auto"/>
        </w:rPr>
        <w:t>4</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European Communities</w:t>
      </w:r>
      <w:r>
        <w:rPr>
          <w:sz w:val="20"/>
          <w:szCs w:val="20"/>
          <w:color w:val="auto"/>
        </w:rPr>
        <w:tab/>
      </w:r>
      <w:r>
        <w:rPr>
          <w:rFonts w:ascii="Courier New" w:cs="Courier New" w:eastAsia="Courier New" w:hAnsi="Courier New"/>
          <w:sz w:val="12"/>
          <w:szCs w:val="12"/>
          <w:color w:val="auto"/>
        </w:rPr>
        <w:t>4</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European Monetary System</w:t>
      </w:r>
      <w:r>
        <w:rPr>
          <w:sz w:val="20"/>
          <w:szCs w:val="20"/>
          <w:color w:val="auto"/>
        </w:rPr>
        <w:tab/>
      </w:r>
      <w:r>
        <w:rPr>
          <w:rFonts w:ascii="Courier New" w:cs="Courier New" w:eastAsia="Courier New" w:hAnsi="Courier New"/>
          <w:sz w:val="12"/>
          <w:szCs w:val="12"/>
          <w:color w:val="auto"/>
        </w:rPr>
        <w:t>4</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Event of Default</w:t>
      </w:r>
      <w:r>
        <w:rPr>
          <w:sz w:val="20"/>
          <w:szCs w:val="20"/>
          <w:color w:val="auto"/>
        </w:rPr>
        <w:tab/>
      </w:r>
      <w:r>
        <w:rPr>
          <w:rFonts w:ascii="Courier New" w:cs="Courier New" w:eastAsia="Courier New" w:hAnsi="Courier New"/>
          <w:sz w:val="12"/>
          <w:szCs w:val="12"/>
          <w:color w:val="auto"/>
        </w:rPr>
        <w:t>4</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Foreign Currency</w:t>
      </w:r>
      <w:r>
        <w:rPr>
          <w:sz w:val="20"/>
          <w:szCs w:val="20"/>
          <w:color w:val="auto"/>
        </w:rPr>
        <w:tab/>
      </w:r>
      <w:r>
        <w:rPr>
          <w:rFonts w:ascii="Courier New" w:cs="Courier New" w:eastAsia="Courier New" w:hAnsi="Courier New"/>
          <w:sz w:val="12"/>
          <w:szCs w:val="12"/>
          <w:color w:val="auto"/>
        </w:rPr>
        <w:t>4</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GAAP</w:t>
      </w:r>
      <w:r>
        <w:rPr>
          <w:sz w:val="20"/>
          <w:szCs w:val="20"/>
          <w:color w:val="auto"/>
        </w:rPr>
        <w:tab/>
      </w:r>
      <w:r>
        <w:rPr>
          <w:rFonts w:ascii="Courier New" w:cs="Courier New" w:eastAsia="Courier New" w:hAnsi="Courier New"/>
          <w:sz w:val="12"/>
          <w:szCs w:val="12"/>
          <w:color w:val="auto"/>
        </w:rPr>
        <w:t>4</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Government Obligations</w:t>
      </w:r>
      <w:r>
        <w:rPr>
          <w:sz w:val="20"/>
          <w:szCs w:val="20"/>
          <w:color w:val="auto"/>
        </w:rPr>
        <w:tab/>
      </w:r>
      <w:r>
        <w:rPr>
          <w:rFonts w:ascii="Courier New" w:cs="Courier New" w:eastAsia="Courier New" w:hAnsi="Courier New"/>
          <w:sz w:val="12"/>
          <w:szCs w:val="12"/>
          <w:color w:val="auto"/>
        </w:rPr>
        <w:t>4</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Holder</w:t>
      </w:r>
      <w:r>
        <w:rPr>
          <w:sz w:val="20"/>
          <w:szCs w:val="20"/>
          <w:color w:val="auto"/>
        </w:rPr>
        <w:tab/>
      </w:r>
      <w:r>
        <w:rPr>
          <w:rFonts w:ascii="Courier New" w:cs="Courier New" w:eastAsia="Courier New" w:hAnsi="Courier New"/>
          <w:sz w:val="12"/>
          <w:szCs w:val="12"/>
          <w:color w:val="auto"/>
        </w:rPr>
        <w:t>5</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Indenture</w:t>
      </w:r>
      <w:r>
        <w:rPr>
          <w:sz w:val="20"/>
          <w:szCs w:val="20"/>
          <w:color w:val="auto"/>
        </w:rPr>
        <w:tab/>
      </w:r>
      <w:r>
        <w:rPr>
          <w:rFonts w:ascii="Courier New" w:cs="Courier New" w:eastAsia="Courier New" w:hAnsi="Courier New"/>
          <w:sz w:val="12"/>
          <w:szCs w:val="12"/>
          <w:color w:val="auto"/>
        </w:rPr>
        <w:t>5</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Indexed Security</w:t>
      </w:r>
      <w:r>
        <w:rPr>
          <w:sz w:val="20"/>
          <w:szCs w:val="20"/>
          <w:color w:val="auto"/>
        </w:rPr>
        <w:tab/>
      </w:r>
      <w:r>
        <w:rPr>
          <w:rFonts w:ascii="Courier New" w:cs="Courier New" w:eastAsia="Courier New" w:hAnsi="Courier New"/>
          <w:sz w:val="12"/>
          <w:szCs w:val="12"/>
          <w:color w:val="auto"/>
        </w:rPr>
        <w:t>5</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2"/>
          <w:szCs w:val="12"/>
          <w:color w:val="auto"/>
        </w:rPr>
        <w:t>6</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Interest Payment Date</w:t>
      </w:r>
      <w:r>
        <w:rPr>
          <w:sz w:val="20"/>
          <w:szCs w:val="20"/>
          <w:color w:val="auto"/>
        </w:rPr>
        <w:tab/>
      </w:r>
      <w:r>
        <w:rPr>
          <w:rFonts w:ascii="Courier New" w:cs="Courier New" w:eastAsia="Courier New" w:hAnsi="Courier New"/>
          <w:sz w:val="12"/>
          <w:szCs w:val="12"/>
          <w:color w:val="auto"/>
        </w:rPr>
        <w:t>6</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Maturity</w:t>
      </w:r>
      <w:r>
        <w:rPr>
          <w:sz w:val="20"/>
          <w:szCs w:val="20"/>
          <w:color w:val="auto"/>
        </w:rPr>
        <w:tab/>
      </w:r>
      <w:r>
        <w:rPr>
          <w:rFonts w:ascii="Courier New" w:cs="Courier New" w:eastAsia="Courier New" w:hAnsi="Courier New"/>
          <w:sz w:val="12"/>
          <w:szCs w:val="12"/>
          <w:color w:val="auto"/>
        </w:rPr>
        <w:t>6</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Officers' Certificate</w:t>
      </w:r>
      <w:r>
        <w:rPr>
          <w:sz w:val="20"/>
          <w:szCs w:val="20"/>
          <w:color w:val="auto"/>
        </w:rPr>
        <w:tab/>
      </w:r>
      <w:r>
        <w:rPr>
          <w:rFonts w:ascii="Courier New" w:cs="Courier New" w:eastAsia="Courier New" w:hAnsi="Courier New"/>
          <w:sz w:val="12"/>
          <w:szCs w:val="12"/>
          <w:color w:val="auto"/>
        </w:rPr>
        <w:t>6</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Opinion of Counsel</w:t>
      </w:r>
      <w:r>
        <w:rPr>
          <w:sz w:val="20"/>
          <w:szCs w:val="20"/>
          <w:color w:val="auto"/>
        </w:rPr>
        <w:tab/>
      </w:r>
      <w:r>
        <w:rPr>
          <w:rFonts w:ascii="Courier New" w:cs="Courier New" w:eastAsia="Courier New" w:hAnsi="Courier New"/>
          <w:sz w:val="12"/>
          <w:szCs w:val="12"/>
          <w:color w:val="auto"/>
        </w:rPr>
        <w:t>6</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Original Issue Discount Security</w:t>
      </w:r>
      <w:r>
        <w:rPr>
          <w:sz w:val="20"/>
          <w:szCs w:val="20"/>
          <w:color w:val="auto"/>
        </w:rPr>
        <w:tab/>
      </w:r>
      <w:r>
        <w:rPr>
          <w:rFonts w:ascii="Courier New" w:cs="Courier New" w:eastAsia="Courier New" w:hAnsi="Courier New"/>
          <w:sz w:val="12"/>
          <w:szCs w:val="12"/>
          <w:color w:val="auto"/>
        </w:rPr>
        <w:t>6</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2"/>
          <w:szCs w:val="12"/>
          <w:color w:val="auto"/>
        </w:rPr>
        <w:t>6</w:t>
      </w:r>
    </w:p>
    <w:p>
      <w:pPr>
        <w:ind w:left="880"/>
        <w:spacing w:after="0"/>
        <w:tabs>
          <w:tab w:leader="dot" w:pos="6820" w:val="left"/>
        </w:tabs>
        <w:rPr>
          <w:sz w:val="20"/>
          <w:szCs w:val="20"/>
          <w:color w:val="auto"/>
        </w:rPr>
      </w:pPr>
      <w:r>
        <w:rPr>
          <w:rFonts w:ascii="Courier New" w:cs="Courier New" w:eastAsia="Courier New" w:hAnsi="Courier New"/>
          <w:sz w:val="15"/>
          <w:szCs w:val="15"/>
          <w:color w:val="auto"/>
        </w:rPr>
        <w:t>Paying Agent</w:t>
      </w:r>
      <w:r>
        <w:rPr>
          <w:sz w:val="20"/>
          <w:szCs w:val="20"/>
          <w:color w:val="auto"/>
        </w:rPr>
        <w:tab/>
      </w:r>
      <w:r>
        <w:rPr>
          <w:rFonts w:ascii="Courier New" w:cs="Courier New" w:eastAsia="Courier New" w:hAnsi="Courier New"/>
          <w:sz w:val="12"/>
          <w:szCs w:val="12"/>
          <w:color w:val="auto"/>
        </w:rPr>
        <w:t>8</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617" w:right="1440" w:bottom="1440" w:gutter="0" w:footer="0" w:header="0"/>
        </w:sectPr>
      </w:pPr>
    </w:p>
    <w:bookmarkStart w:id="102" w:name="page103"/>
    <w:bookmarkEnd w:id="102"/>
    <w:p>
      <w:pPr>
        <w:jc w:val="right"/>
        <w:ind w:right="3579"/>
        <w:spacing w:after="0"/>
        <w:tabs>
          <w:tab w:leader="dot" w:pos="80" w:val="left"/>
        </w:tabs>
        <w:rPr>
          <w:sz w:val="20"/>
          <w:szCs w:val="20"/>
          <w:color w:val="auto"/>
        </w:rPr>
      </w:pPr>
      <w:r>
        <w:rPr>
          <w:rFonts w:ascii="Courier New" w:cs="Courier New" w:eastAsia="Courier New" w:hAnsi="Courier New"/>
          <w:sz w:val="15"/>
          <w:szCs w:val="15"/>
          <w:color w:val="auto"/>
        </w:rPr>
        <w:t>Person</w:t>
      </w:r>
      <w:r>
        <w:rPr>
          <w:sz w:val="20"/>
          <w:szCs w:val="20"/>
          <w:color w:val="auto"/>
        </w:rPr>
        <w:tab/>
      </w:r>
      <w:r>
        <w:rPr>
          <w:rFonts w:ascii="Courier New" w:cs="Courier New" w:eastAsia="Courier New" w:hAnsi="Courier New"/>
          <w:sz w:val="15"/>
          <w:szCs w:val="15"/>
          <w:color w:val="auto"/>
        </w:rPr>
        <w:t>8</w:t>
      </w:r>
    </w:p>
    <w:p>
      <w:pPr>
        <w:jc w:val="right"/>
        <w:ind w:right="3579"/>
        <w:spacing w:after="0" w:line="237" w:lineRule="auto"/>
        <w:tabs>
          <w:tab w:leader="dot" w:pos="80" w:val="left"/>
        </w:tabs>
        <w:rPr>
          <w:sz w:val="20"/>
          <w:szCs w:val="20"/>
          <w:color w:val="auto"/>
        </w:rPr>
      </w:pPr>
      <w:r>
        <w:rPr>
          <w:rFonts w:ascii="Courier New" w:cs="Courier New" w:eastAsia="Courier New" w:hAnsi="Courier New"/>
          <w:sz w:val="15"/>
          <w:szCs w:val="15"/>
          <w:color w:val="auto"/>
        </w:rPr>
        <w:t>Place of Payment</w:t>
      </w:r>
      <w:r>
        <w:rPr>
          <w:sz w:val="20"/>
          <w:szCs w:val="20"/>
          <w:color w:val="auto"/>
        </w:rPr>
        <w:tab/>
      </w:r>
      <w:r>
        <w:rPr>
          <w:rFonts w:ascii="Courier New" w:cs="Courier New" w:eastAsia="Courier New" w:hAnsi="Courier New"/>
          <w:sz w:val="15"/>
          <w:szCs w:val="15"/>
          <w:color w:val="auto"/>
        </w:rPr>
        <w:t>8</w:t>
      </w:r>
    </w:p>
    <w:p>
      <w:pPr>
        <w:jc w:val="right"/>
        <w:ind w:right="3579"/>
        <w:spacing w:after="0" w:line="238" w:lineRule="auto"/>
        <w:tabs>
          <w:tab w:leader="dot" w:pos="80" w:val="left"/>
        </w:tabs>
        <w:rPr>
          <w:sz w:val="20"/>
          <w:szCs w:val="20"/>
          <w:color w:val="auto"/>
        </w:rPr>
      </w:pPr>
      <w:r>
        <w:rPr>
          <w:rFonts w:ascii="Courier New" w:cs="Courier New" w:eastAsia="Courier New" w:hAnsi="Courier New"/>
          <w:sz w:val="15"/>
          <w:szCs w:val="15"/>
          <w:color w:val="auto"/>
        </w:rPr>
        <w:t>Predecessor Security</w:t>
      </w:r>
      <w:r>
        <w:rPr>
          <w:sz w:val="20"/>
          <w:szCs w:val="20"/>
          <w:color w:val="auto"/>
        </w:rPr>
        <w:tab/>
      </w:r>
      <w:r>
        <w:rPr>
          <w:rFonts w:ascii="Courier New" w:cs="Courier New" w:eastAsia="Courier New" w:hAnsi="Courier New"/>
          <w:sz w:val="15"/>
          <w:szCs w:val="15"/>
          <w:color w:val="auto"/>
        </w:rPr>
        <w:t>8</w:t>
      </w:r>
    </w:p>
    <w:p>
      <w:pPr>
        <w:jc w:val="right"/>
        <w:ind w:right="3579"/>
        <w:spacing w:after="0" w:line="237" w:lineRule="auto"/>
        <w:tabs>
          <w:tab w:leader="dot" w:pos="80" w:val="left"/>
        </w:tabs>
        <w:rPr>
          <w:sz w:val="20"/>
          <w:szCs w:val="20"/>
          <w:color w:val="auto"/>
        </w:rPr>
      </w:pPr>
      <w:r>
        <w:rPr>
          <w:rFonts w:ascii="Courier New" w:cs="Courier New" w:eastAsia="Courier New" w:hAnsi="Courier New"/>
          <w:sz w:val="15"/>
          <w:szCs w:val="15"/>
          <w:color w:val="auto"/>
        </w:rPr>
        <w:t>Preferred Shares</w:t>
      </w:r>
      <w:r>
        <w:rPr>
          <w:sz w:val="20"/>
          <w:szCs w:val="20"/>
          <w:color w:val="auto"/>
        </w:rPr>
        <w:tab/>
      </w:r>
      <w:r>
        <w:rPr>
          <w:rFonts w:ascii="Courier New" w:cs="Courier New" w:eastAsia="Courier New" w:hAnsi="Courier New"/>
          <w:sz w:val="15"/>
          <w:szCs w:val="15"/>
          <w:color w:val="auto"/>
        </w:rPr>
        <w:t>8</w:t>
      </w:r>
    </w:p>
    <w:p>
      <w:pPr>
        <w:jc w:val="right"/>
        <w:ind w:right="3579"/>
        <w:spacing w:after="0" w:line="238" w:lineRule="auto"/>
        <w:tabs>
          <w:tab w:leader="dot" w:pos="80" w:val="left"/>
        </w:tabs>
        <w:rPr>
          <w:sz w:val="20"/>
          <w:szCs w:val="20"/>
          <w:color w:val="auto"/>
        </w:rPr>
      </w:pPr>
      <w:r>
        <w:rPr>
          <w:rFonts w:ascii="Courier New" w:cs="Courier New" w:eastAsia="Courier New" w:hAnsi="Courier New"/>
          <w:sz w:val="15"/>
          <w:szCs w:val="15"/>
          <w:color w:val="auto"/>
        </w:rPr>
        <w:t>Redemption Date</w:t>
      </w:r>
      <w:r>
        <w:rPr>
          <w:sz w:val="20"/>
          <w:szCs w:val="20"/>
          <w:color w:val="auto"/>
        </w:rPr>
        <w:tab/>
      </w:r>
      <w:r>
        <w:rPr>
          <w:rFonts w:ascii="Courier New" w:cs="Courier New" w:eastAsia="Courier New" w:hAnsi="Courier New"/>
          <w:sz w:val="15"/>
          <w:szCs w:val="15"/>
          <w:color w:val="auto"/>
        </w:rPr>
        <w:t>8</w:t>
      </w:r>
    </w:p>
    <w:p>
      <w:pPr>
        <w:jc w:val="right"/>
        <w:ind w:right="3579"/>
        <w:spacing w:after="0" w:line="237" w:lineRule="auto"/>
        <w:tabs>
          <w:tab w:leader="dot" w:pos="80" w:val="left"/>
        </w:tabs>
        <w:rPr>
          <w:sz w:val="20"/>
          <w:szCs w:val="20"/>
          <w:color w:val="auto"/>
        </w:rPr>
      </w:pPr>
      <w:r>
        <w:rPr>
          <w:rFonts w:ascii="Courier New" w:cs="Courier New" w:eastAsia="Courier New" w:hAnsi="Courier New"/>
          <w:sz w:val="15"/>
          <w:szCs w:val="15"/>
          <w:color w:val="auto"/>
        </w:rPr>
        <w:t>Redemption Price</w:t>
      </w:r>
      <w:r>
        <w:rPr>
          <w:sz w:val="20"/>
          <w:szCs w:val="20"/>
          <w:color w:val="auto"/>
        </w:rPr>
        <w:tab/>
      </w:r>
      <w:r>
        <w:rPr>
          <w:rFonts w:ascii="Courier New" w:cs="Courier New" w:eastAsia="Courier New" w:hAnsi="Courier New"/>
          <w:sz w:val="15"/>
          <w:szCs w:val="15"/>
          <w:color w:val="auto"/>
        </w:rPr>
        <w:t>8</w:t>
      </w:r>
    </w:p>
    <w:p>
      <w:pPr>
        <w:jc w:val="right"/>
        <w:ind w:right="3579"/>
        <w:spacing w:after="0" w:line="238" w:lineRule="auto"/>
        <w:tabs>
          <w:tab w:leader="dot" w:pos="80" w:val="left"/>
        </w:tabs>
        <w:rPr>
          <w:sz w:val="20"/>
          <w:szCs w:val="20"/>
          <w:color w:val="auto"/>
        </w:rPr>
      </w:pPr>
      <w:r>
        <w:rPr>
          <w:rFonts w:ascii="Courier New" w:cs="Courier New" w:eastAsia="Courier New" w:hAnsi="Courier New"/>
          <w:sz w:val="15"/>
          <w:szCs w:val="15"/>
          <w:color w:val="auto"/>
        </w:rPr>
        <w:t>Registered Security</w:t>
      </w:r>
      <w:r>
        <w:rPr>
          <w:sz w:val="20"/>
          <w:szCs w:val="20"/>
          <w:color w:val="auto"/>
        </w:rPr>
        <w:tab/>
      </w:r>
      <w:r>
        <w:rPr>
          <w:rFonts w:ascii="Courier New" w:cs="Courier New" w:eastAsia="Courier New" w:hAnsi="Courier New"/>
          <w:sz w:val="15"/>
          <w:szCs w:val="15"/>
          <w:color w:val="auto"/>
        </w:rPr>
        <w:t>8</w:t>
      </w:r>
    </w:p>
    <w:p>
      <w:pPr>
        <w:jc w:val="right"/>
        <w:ind w:right="3579"/>
        <w:spacing w:after="0" w:line="237" w:lineRule="auto"/>
        <w:tabs>
          <w:tab w:leader="dot" w:pos="80" w:val="left"/>
        </w:tabs>
        <w:rPr>
          <w:sz w:val="20"/>
          <w:szCs w:val="20"/>
          <w:color w:val="auto"/>
        </w:rPr>
      </w:pPr>
      <w:r>
        <w:rPr>
          <w:rFonts w:ascii="Courier New" w:cs="Courier New" w:eastAsia="Courier New" w:hAnsi="Courier New"/>
          <w:sz w:val="15"/>
          <w:szCs w:val="15"/>
          <w:color w:val="auto"/>
        </w:rPr>
        <w:t>Regular Record Date</w:t>
      </w:r>
      <w:r>
        <w:rPr>
          <w:sz w:val="20"/>
          <w:szCs w:val="20"/>
          <w:color w:val="auto"/>
        </w:rPr>
        <w:tab/>
      </w:r>
      <w:r>
        <w:rPr>
          <w:rFonts w:ascii="Courier New" w:cs="Courier New" w:eastAsia="Courier New" w:hAnsi="Courier New"/>
          <w:sz w:val="15"/>
          <w:szCs w:val="15"/>
          <w:color w:val="auto"/>
        </w:rPr>
        <w:t>8</w:t>
      </w:r>
    </w:p>
    <w:p>
      <w:pPr>
        <w:jc w:val="right"/>
        <w:ind w:right="3579"/>
        <w:spacing w:after="0" w:line="238" w:lineRule="auto"/>
        <w:tabs>
          <w:tab w:leader="dot" w:pos="80" w:val="left"/>
        </w:tabs>
        <w:rPr>
          <w:sz w:val="20"/>
          <w:szCs w:val="20"/>
          <w:color w:val="auto"/>
        </w:rPr>
      </w:pPr>
      <w:r>
        <w:rPr>
          <w:rFonts w:ascii="Courier New" w:cs="Courier New" w:eastAsia="Courier New" w:hAnsi="Courier New"/>
          <w:sz w:val="15"/>
          <w:szCs w:val="15"/>
          <w:color w:val="auto"/>
        </w:rPr>
        <w:t>Repayment Date</w:t>
      </w:r>
      <w:r>
        <w:rPr>
          <w:sz w:val="20"/>
          <w:szCs w:val="20"/>
          <w:color w:val="auto"/>
        </w:rPr>
        <w:tab/>
      </w:r>
      <w:r>
        <w:rPr>
          <w:rFonts w:ascii="Courier New" w:cs="Courier New" w:eastAsia="Courier New" w:hAnsi="Courier New"/>
          <w:sz w:val="15"/>
          <w:szCs w:val="15"/>
          <w:color w:val="auto"/>
        </w:rPr>
        <w:t>9</w:t>
      </w:r>
    </w:p>
    <w:p>
      <w:pPr>
        <w:jc w:val="right"/>
        <w:ind w:right="3579"/>
        <w:spacing w:after="0" w:line="238" w:lineRule="auto"/>
        <w:tabs>
          <w:tab w:leader="dot" w:pos="80" w:val="left"/>
        </w:tabs>
        <w:rPr>
          <w:sz w:val="20"/>
          <w:szCs w:val="20"/>
          <w:color w:val="auto"/>
        </w:rPr>
      </w:pPr>
      <w:r>
        <w:rPr>
          <w:rFonts w:ascii="Courier New" w:cs="Courier New" w:eastAsia="Courier New" w:hAnsi="Courier New"/>
          <w:sz w:val="15"/>
          <w:szCs w:val="15"/>
          <w:color w:val="auto"/>
        </w:rPr>
        <w:t>Repayment Price</w:t>
      </w:r>
      <w:r>
        <w:rPr>
          <w:sz w:val="20"/>
          <w:szCs w:val="20"/>
          <w:color w:val="auto"/>
        </w:rPr>
        <w:tab/>
      </w:r>
      <w:r>
        <w:rPr>
          <w:rFonts w:ascii="Courier New" w:cs="Courier New" w:eastAsia="Courier New" w:hAnsi="Courier New"/>
          <w:sz w:val="15"/>
          <w:szCs w:val="15"/>
          <w:color w:val="auto"/>
        </w:rPr>
        <w:t>9</w:t>
      </w:r>
    </w:p>
    <w:p>
      <w:pPr>
        <w:jc w:val="right"/>
        <w:ind w:right="3579"/>
        <w:spacing w:after="0" w:line="237" w:lineRule="auto"/>
        <w:tabs>
          <w:tab w:leader="dot" w:pos="80" w:val="left"/>
        </w:tabs>
        <w:rPr>
          <w:sz w:val="20"/>
          <w:szCs w:val="20"/>
          <w:color w:val="auto"/>
        </w:rPr>
      </w:pPr>
      <w:r>
        <w:rPr>
          <w:rFonts w:ascii="Courier New" w:cs="Courier New" w:eastAsia="Courier New" w:hAnsi="Courier New"/>
          <w:sz w:val="15"/>
          <w:szCs w:val="15"/>
          <w:color w:val="auto"/>
        </w:rPr>
        <w:t>Responsible Officer</w:t>
      </w:r>
      <w:r>
        <w:rPr>
          <w:sz w:val="20"/>
          <w:szCs w:val="20"/>
          <w:color w:val="auto"/>
        </w:rPr>
        <w:tab/>
      </w:r>
      <w:r>
        <w:rPr>
          <w:rFonts w:ascii="Courier New" w:cs="Courier New" w:eastAsia="Courier New" w:hAnsi="Courier New"/>
          <w:sz w:val="15"/>
          <w:szCs w:val="15"/>
          <w:color w:val="auto"/>
        </w:rPr>
        <w:t>9</w:t>
      </w:r>
    </w:p>
    <w:p>
      <w:pPr>
        <w:jc w:val="right"/>
        <w:ind w:right="3579"/>
        <w:spacing w:after="0" w:line="238" w:lineRule="auto"/>
        <w:tabs>
          <w:tab w:leader="dot" w:pos="80" w:val="left"/>
        </w:tabs>
        <w:rPr>
          <w:sz w:val="20"/>
          <w:szCs w:val="20"/>
          <w:color w:val="auto"/>
        </w:rPr>
      </w:pPr>
      <w:r>
        <w:rPr>
          <w:rFonts w:ascii="Courier New" w:cs="Courier New" w:eastAsia="Courier New" w:hAnsi="Courier New"/>
          <w:sz w:val="15"/>
          <w:szCs w:val="15"/>
          <w:color w:val="auto"/>
        </w:rPr>
        <w:t>Security</w:t>
      </w:r>
      <w:r>
        <w:rPr>
          <w:sz w:val="20"/>
          <w:szCs w:val="20"/>
          <w:color w:val="auto"/>
        </w:rPr>
        <w:tab/>
      </w:r>
      <w:r>
        <w:rPr>
          <w:rFonts w:ascii="Courier New" w:cs="Courier New" w:eastAsia="Courier New" w:hAnsi="Courier New"/>
          <w:sz w:val="15"/>
          <w:szCs w:val="15"/>
          <w:color w:val="auto"/>
        </w:rPr>
        <w:t>9</w:t>
      </w:r>
    </w:p>
    <w:p>
      <w:pPr>
        <w:jc w:val="right"/>
        <w:ind w:right="3579"/>
        <w:spacing w:after="0" w:line="237" w:lineRule="auto"/>
        <w:tabs>
          <w:tab w:leader="dot" w:pos="80" w:val="left"/>
        </w:tabs>
        <w:rPr>
          <w:sz w:val="20"/>
          <w:szCs w:val="20"/>
          <w:color w:val="auto"/>
        </w:rPr>
      </w:pPr>
      <w:r>
        <w:rPr>
          <w:rFonts w:ascii="Courier New" w:cs="Courier New" w:eastAsia="Courier New" w:hAnsi="Courier New"/>
          <w:sz w:val="15"/>
          <w:szCs w:val="15"/>
          <w:color w:val="auto"/>
        </w:rPr>
        <w:t>Security Register and Security Registrar</w:t>
      </w:r>
      <w:r>
        <w:rPr>
          <w:sz w:val="20"/>
          <w:szCs w:val="20"/>
          <w:color w:val="auto"/>
        </w:rPr>
        <w:tab/>
      </w:r>
      <w:r>
        <w:rPr>
          <w:rFonts w:ascii="Courier New" w:cs="Courier New" w:eastAsia="Courier New" w:hAnsi="Courier New"/>
          <w:sz w:val="15"/>
          <w:szCs w:val="15"/>
          <w:color w:val="auto"/>
        </w:rPr>
        <w:t>9</w:t>
      </w:r>
    </w:p>
    <w:p>
      <w:pPr>
        <w:jc w:val="right"/>
        <w:ind w:right="3579"/>
        <w:spacing w:after="0" w:line="238" w:lineRule="auto"/>
        <w:tabs>
          <w:tab w:leader="dot" w:pos="80" w:val="left"/>
        </w:tabs>
        <w:rPr>
          <w:sz w:val="20"/>
          <w:szCs w:val="20"/>
          <w:color w:val="auto"/>
        </w:rPr>
      </w:pPr>
      <w:r>
        <w:rPr>
          <w:rFonts w:ascii="Courier New" w:cs="Courier New" w:eastAsia="Courier New" w:hAnsi="Courier New"/>
          <w:sz w:val="15"/>
          <w:szCs w:val="15"/>
          <w:color w:val="auto"/>
        </w:rPr>
        <w:t>Significant Subsidiary</w:t>
      </w:r>
      <w:r>
        <w:rPr>
          <w:sz w:val="20"/>
          <w:szCs w:val="20"/>
          <w:color w:val="auto"/>
        </w:rPr>
        <w:tab/>
      </w:r>
      <w:r>
        <w:rPr>
          <w:rFonts w:ascii="Courier New" w:cs="Courier New" w:eastAsia="Courier New" w:hAnsi="Courier New"/>
          <w:sz w:val="15"/>
          <w:szCs w:val="15"/>
          <w:color w:val="auto"/>
        </w:rPr>
        <w:t>9</w:t>
      </w:r>
    </w:p>
    <w:p>
      <w:pPr>
        <w:jc w:val="right"/>
        <w:ind w:right="3579"/>
        <w:spacing w:after="0" w:line="237" w:lineRule="auto"/>
        <w:tabs>
          <w:tab w:leader="dot" w:pos="80" w:val="left"/>
        </w:tabs>
        <w:rPr>
          <w:sz w:val="20"/>
          <w:szCs w:val="20"/>
          <w:color w:val="auto"/>
        </w:rPr>
      </w:pPr>
      <w:r>
        <w:rPr>
          <w:rFonts w:ascii="Courier New" w:cs="Courier New" w:eastAsia="Courier New" w:hAnsi="Courier New"/>
          <w:sz w:val="15"/>
          <w:szCs w:val="15"/>
          <w:color w:val="auto"/>
        </w:rPr>
        <w:t>Special Record Date</w:t>
      </w:r>
      <w:r>
        <w:rPr>
          <w:sz w:val="20"/>
          <w:szCs w:val="20"/>
          <w:color w:val="auto"/>
        </w:rPr>
        <w:tab/>
      </w:r>
      <w:r>
        <w:rPr>
          <w:rFonts w:ascii="Courier New" w:cs="Courier New" w:eastAsia="Courier New" w:hAnsi="Courier New"/>
          <w:sz w:val="15"/>
          <w:szCs w:val="15"/>
          <w:color w:val="auto"/>
        </w:rPr>
        <w:t>9</w:t>
      </w:r>
    </w:p>
    <w:p>
      <w:pPr>
        <w:jc w:val="right"/>
        <w:ind w:right="3579"/>
        <w:spacing w:after="0" w:line="238" w:lineRule="auto"/>
        <w:tabs>
          <w:tab w:leader="dot" w:pos="80" w:val="left"/>
        </w:tabs>
        <w:rPr>
          <w:sz w:val="20"/>
          <w:szCs w:val="20"/>
          <w:color w:val="auto"/>
        </w:rPr>
      </w:pPr>
      <w:r>
        <w:rPr>
          <w:rFonts w:ascii="Courier New" w:cs="Courier New" w:eastAsia="Courier New" w:hAnsi="Courier New"/>
          <w:sz w:val="15"/>
          <w:szCs w:val="15"/>
          <w:color w:val="auto"/>
        </w:rPr>
        <w:t>Stated Maturity</w:t>
      </w:r>
      <w:r>
        <w:rPr>
          <w:sz w:val="20"/>
          <w:szCs w:val="20"/>
          <w:color w:val="auto"/>
        </w:rPr>
        <w:tab/>
      </w:r>
      <w:r>
        <w:rPr>
          <w:rFonts w:ascii="Courier New" w:cs="Courier New" w:eastAsia="Courier New" w:hAnsi="Courier New"/>
          <w:sz w:val="15"/>
          <w:szCs w:val="15"/>
          <w:color w:val="auto"/>
        </w:rPr>
        <w:t>9</w:t>
      </w:r>
    </w:p>
    <w:p>
      <w:pPr>
        <w:jc w:val="right"/>
        <w:ind w:right="3579"/>
        <w:spacing w:after="0" w:line="238" w:lineRule="auto"/>
        <w:tabs>
          <w:tab w:leader="dot" w:pos="160" w:val="left"/>
        </w:tabs>
        <w:rPr>
          <w:sz w:val="20"/>
          <w:szCs w:val="20"/>
          <w:color w:val="auto"/>
        </w:rPr>
      </w:pPr>
      <w:r>
        <w:rPr>
          <w:rFonts w:ascii="Courier New" w:cs="Courier New" w:eastAsia="Courier New" w:hAnsi="Courier New"/>
          <w:sz w:val="15"/>
          <w:szCs w:val="15"/>
          <w:color w:val="auto"/>
        </w:rPr>
        <w:t>Subsidiary</w:t>
      </w:r>
      <w:r>
        <w:rPr>
          <w:sz w:val="20"/>
          <w:szCs w:val="20"/>
          <w:color w:val="auto"/>
        </w:rPr>
        <w:tab/>
      </w:r>
      <w:r>
        <w:rPr>
          <w:rFonts w:ascii="Courier New" w:cs="Courier New" w:eastAsia="Courier New" w:hAnsi="Courier New"/>
          <w:sz w:val="15"/>
          <w:szCs w:val="15"/>
          <w:color w:val="auto"/>
        </w:rPr>
        <w:t>10</w:t>
      </w:r>
    </w:p>
    <w:p>
      <w:pPr>
        <w:jc w:val="right"/>
        <w:ind w:right="3579"/>
        <w:spacing w:after="0" w:line="237" w:lineRule="auto"/>
        <w:tabs>
          <w:tab w:leader="dot" w:pos="160" w:val="left"/>
        </w:tabs>
        <w:rPr>
          <w:sz w:val="20"/>
          <w:szCs w:val="20"/>
          <w:color w:val="auto"/>
        </w:rPr>
      </w:pPr>
      <w:r>
        <w:rPr>
          <w:rFonts w:ascii="Courier New" w:cs="Courier New" w:eastAsia="Courier New" w:hAnsi="Courier New"/>
          <w:sz w:val="15"/>
          <w:szCs w:val="15"/>
          <w:color w:val="auto"/>
        </w:rPr>
        <w:t>Trust Indenture Act or TIA</w:t>
      </w:r>
      <w:r>
        <w:rPr>
          <w:sz w:val="20"/>
          <w:szCs w:val="20"/>
          <w:color w:val="auto"/>
        </w:rPr>
        <w:tab/>
      </w:r>
      <w:r>
        <w:rPr>
          <w:rFonts w:ascii="Courier New" w:cs="Courier New" w:eastAsia="Courier New" w:hAnsi="Courier New"/>
          <w:sz w:val="15"/>
          <w:szCs w:val="15"/>
          <w:color w:val="auto"/>
        </w:rPr>
        <w:t>10</w:t>
      </w:r>
    </w:p>
    <w:p>
      <w:pPr>
        <w:jc w:val="right"/>
        <w:ind w:right="3579"/>
        <w:spacing w:after="0" w:line="238" w:lineRule="auto"/>
        <w:tabs>
          <w:tab w:leader="dot" w:pos="16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10</w:t>
      </w:r>
    </w:p>
    <w:p>
      <w:pPr>
        <w:jc w:val="right"/>
        <w:ind w:right="3579"/>
        <w:spacing w:after="0" w:line="237" w:lineRule="auto"/>
        <w:tabs>
          <w:tab w:leader="dot" w:pos="160" w:val="left"/>
        </w:tabs>
        <w:rPr>
          <w:sz w:val="20"/>
          <w:szCs w:val="20"/>
          <w:color w:val="auto"/>
        </w:rPr>
      </w:pPr>
      <w:r>
        <w:rPr>
          <w:rFonts w:ascii="Courier New" w:cs="Courier New" w:eastAsia="Courier New" w:hAnsi="Courier New"/>
          <w:sz w:val="15"/>
          <w:szCs w:val="15"/>
          <w:color w:val="auto"/>
        </w:rPr>
        <w:t>United States</w:t>
      </w:r>
      <w:r>
        <w:rPr>
          <w:sz w:val="20"/>
          <w:szCs w:val="20"/>
          <w:color w:val="auto"/>
        </w:rPr>
        <w:tab/>
      </w:r>
      <w:r>
        <w:rPr>
          <w:rFonts w:ascii="Courier New" w:cs="Courier New" w:eastAsia="Courier New" w:hAnsi="Courier New"/>
          <w:sz w:val="15"/>
          <w:szCs w:val="15"/>
          <w:color w:val="auto"/>
        </w:rPr>
        <w:t>10</w:t>
      </w:r>
    </w:p>
    <w:p>
      <w:pPr>
        <w:jc w:val="right"/>
        <w:ind w:right="3579"/>
        <w:spacing w:after="0" w:line="238" w:lineRule="auto"/>
        <w:tabs>
          <w:tab w:leader="dot" w:pos="160" w:val="left"/>
        </w:tabs>
        <w:rPr>
          <w:sz w:val="20"/>
          <w:szCs w:val="20"/>
          <w:color w:val="auto"/>
        </w:rPr>
      </w:pPr>
      <w:r>
        <w:rPr>
          <w:rFonts w:ascii="Courier New" w:cs="Courier New" w:eastAsia="Courier New" w:hAnsi="Courier New"/>
          <w:sz w:val="15"/>
          <w:szCs w:val="15"/>
          <w:color w:val="auto"/>
        </w:rPr>
        <w:t>United States person</w:t>
      </w:r>
      <w:r>
        <w:rPr>
          <w:sz w:val="20"/>
          <w:szCs w:val="20"/>
          <w:color w:val="auto"/>
        </w:rPr>
        <w:tab/>
      </w:r>
      <w:r>
        <w:rPr>
          <w:rFonts w:ascii="Courier New" w:cs="Courier New" w:eastAsia="Courier New" w:hAnsi="Courier New"/>
          <w:sz w:val="15"/>
          <w:szCs w:val="15"/>
          <w:color w:val="auto"/>
        </w:rPr>
        <w:t>10</w:t>
      </w:r>
    </w:p>
    <w:p>
      <w:pPr>
        <w:jc w:val="right"/>
        <w:ind w:right="3579"/>
        <w:spacing w:after="0" w:line="237" w:lineRule="auto"/>
        <w:tabs>
          <w:tab w:leader="dot" w:pos="160" w:val="left"/>
        </w:tabs>
        <w:rPr>
          <w:sz w:val="20"/>
          <w:szCs w:val="20"/>
          <w:color w:val="auto"/>
        </w:rPr>
      </w:pPr>
      <w:r>
        <w:rPr>
          <w:rFonts w:ascii="Courier New" w:cs="Courier New" w:eastAsia="Courier New" w:hAnsi="Courier New"/>
          <w:sz w:val="15"/>
          <w:szCs w:val="15"/>
          <w:color w:val="auto"/>
        </w:rPr>
        <w:t>Yield to Maturity</w:t>
      </w:r>
      <w:r>
        <w:rPr>
          <w:sz w:val="20"/>
          <w:szCs w:val="20"/>
          <w:color w:val="auto"/>
        </w:rPr>
        <w:tab/>
      </w:r>
      <w:r>
        <w:rPr>
          <w:rFonts w:ascii="Courier New" w:cs="Courier New" w:eastAsia="Courier New" w:hAnsi="Courier New"/>
          <w:sz w:val="15"/>
          <w:szCs w:val="15"/>
          <w:color w:val="auto"/>
        </w:rPr>
        <w:t>10</w:t>
      </w:r>
    </w:p>
    <w:p>
      <w:pPr>
        <w:ind w:left="440"/>
        <w:spacing w:after="0" w:line="238"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102.</w:t>
        <w:tab/>
        <w:t>Compliance Certificates and Opinions</w:t>
      </w:r>
      <w:r>
        <w:rPr>
          <w:sz w:val="20"/>
          <w:szCs w:val="20"/>
          <w:color w:val="auto"/>
        </w:rPr>
        <w:tab/>
      </w:r>
      <w:r>
        <w:rPr>
          <w:rFonts w:ascii="Courier New" w:cs="Courier New" w:eastAsia="Courier New" w:hAnsi="Courier New"/>
          <w:sz w:val="15"/>
          <w:szCs w:val="15"/>
          <w:color w:val="auto"/>
        </w:rPr>
        <w:t>10</w:t>
      </w:r>
    </w:p>
    <w:p>
      <w:pPr>
        <w:ind w:left="440"/>
        <w:spacing w:after="0" w:line="238"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103.</w:t>
        <w:tab/>
        <w:t>Form of Documents Delivered to Trustee</w:t>
      </w:r>
      <w:r>
        <w:rPr>
          <w:sz w:val="20"/>
          <w:szCs w:val="20"/>
          <w:color w:val="auto"/>
        </w:rPr>
        <w:tab/>
      </w:r>
      <w:r>
        <w:rPr>
          <w:rFonts w:ascii="Courier New" w:cs="Courier New" w:eastAsia="Courier New" w:hAnsi="Courier New"/>
          <w:sz w:val="15"/>
          <w:szCs w:val="15"/>
          <w:color w:val="auto"/>
        </w:rPr>
        <w:t>11</w:t>
      </w:r>
    </w:p>
    <w:p>
      <w:pPr>
        <w:ind w:left="440"/>
        <w:spacing w:after="0" w:line="237"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104.</w:t>
        <w:tab/>
        <w:t>Acts of Holders</w:t>
      </w:r>
      <w:r>
        <w:rPr>
          <w:sz w:val="20"/>
          <w:szCs w:val="20"/>
          <w:color w:val="auto"/>
        </w:rPr>
        <w:tab/>
      </w:r>
      <w:r>
        <w:rPr>
          <w:rFonts w:ascii="Courier New" w:cs="Courier New" w:eastAsia="Courier New" w:hAnsi="Courier New"/>
          <w:sz w:val="15"/>
          <w:szCs w:val="15"/>
          <w:color w:val="auto"/>
        </w:rPr>
        <w:t>12</w:t>
      </w:r>
    </w:p>
    <w:p>
      <w:pPr>
        <w:ind w:left="440"/>
        <w:spacing w:after="0" w:line="238"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105.</w:t>
        <w:tab/>
        <w:t>Notices, etc., to Trustee and Company</w:t>
      </w:r>
      <w:r>
        <w:rPr>
          <w:sz w:val="20"/>
          <w:szCs w:val="20"/>
          <w:color w:val="auto"/>
        </w:rPr>
        <w:tab/>
      </w:r>
      <w:r>
        <w:rPr>
          <w:rFonts w:ascii="Courier New" w:cs="Courier New" w:eastAsia="Courier New" w:hAnsi="Courier New"/>
          <w:sz w:val="15"/>
          <w:szCs w:val="15"/>
          <w:color w:val="auto"/>
        </w:rPr>
        <w:t>14</w:t>
      </w:r>
    </w:p>
    <w:p>
      <w:pPr>
        <w:ind w:left="440"/>
        <w:spacing w:after="0" w:line="237"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106.</w:t>
        <w:tab/>
        <w:t>Notice to Holders; Waiver</w:t>
      </w:r>
      <w:r>
        <w:rPr>
          <w:sz w:val="20"/>
          <w:szCs w:val="20"/>
          <w:color w:val="auto"/>
        </w:rPr>
        <w:tab/>
      </w:r>
      <w:r>
        <w:rPr>
          <w:rFonts w:ascii="Courier New" w:cs="Courier New" w:eastAsia="Courier New" w:hAnsi="Courier New"/>
          <w:sz w:val="15"/>
          <w:szCs w:val="15"/>
          <w:color w:val="auto"/>
        </w:rPr>
        <w:t>14</w:t>
      </w:r>
    </w:p>
    <w:p>
      <w:pPr>
        <w:ind w:left="440"/>
        <w:spacing w:after="0" w:line="238"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107.</w:t>
        <w:tab/>
        <w:t>Effect of Headings and Table of Contents</w:t>
      </w:r>
      <w:r>
        <w:rPr>
          <w:sz w:val="20"/>
          <w:szCs w:val="20"/>
          <w:color w:val="auto"/>
        </w:rPr>
        <w:tab/>
      </w:r>
      <w:r>
        <w:rPr>
          <w:rFonts w:ascii="Courier New" w:cs="Courier New" w:eastAsia="Courier New" w:hAnsi="Courier New"/>
          <w:sz w:val="15"/>
          <w:szCs w:val="15"/>
          <w:color w:val="auto"/>
        </w:rPr>
        <w:t>15</w:t>
      </w:r>
    </w:p>
    <w:p>
      <w:pPr>
        <w:ind w:left="440"/>
        <w:spacing w:after="0" w:line="237"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108.</w:t>
        <w:tab/>
        <w:t>Successors and Assigns</w:t>
      </w:r>
      <w:r>
        <w:rPr>
          <w:sz w:val="20"/>
          <w:szCs w:val="20"/>
          <w:color w:val="auto"/>
        </w:rPr>
        <w:tab/>
      </w:r>
      <w:r>
        <w:rPr>
          <w:rFonts w:ascii="Courier New" w:cs="Courier New" w:eastAsia="Courier New" w:hAnsi="Courier New"/>
          <w:sz w:val="15"/>
          <w:szCs w:val="15"/>
          <w:color w:val="auto"/>
        </w:rPr>
        <w:t>15</w:t>
      </w:r>
    </w:p>
    <w:p>
      <w:pPr>
        <w:ind w:left="440"/>
        <w:spacing w:after="0" w:line="238"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109.</w:t>
        <w:tab/>
        <w:t>Separability Clause</w:t>
      </w:r>
      <w:r>
        <w:rPr>
          <w:sz w:val="20"/>
          <w:szCs w:val="20"/>
          <w:color w:val="auto"/>
        </w:rPr>
        <w:tab/>
      </w:r>
      <w:r>
        <w:rPr>
          <w:rFonts w:ascii="Courier New" w:cs="Courier New" w:eastAsia="Courier New" w:hAnsi="Courier New"/>
          <w:sz w:val="15"/>
          <w:szCs w:val="15"/>
          <w:color w:val="auto"/>
        </w:rPr>
        <w:t>15</w:t>
      </w:r>
    </w:p>
    <w:p>
      <w:pPr>
        <w:ind w:left="440"/>
        <w:spacing w:after="0" w:line="238"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110.</w:t>
        <w:tab/>
        <w:t>Benefits of Indenture</w:t>
      </w:r>
      <w:r>
        <w:rPr>
          <w:sz w:val="20"/>
          <w:szCs w:val="20"/>
          <w:color w:val="auto"/>
        </w:rPr>
        <w:tab/>
      </w:r>
      <w:r>
        <w:rPr>
          <w:rFonts w:ascii="Courier New" w:cs="Courier New" w:eastAsia="Courier New" w:hAnsi="Courier New"/>
          <w:sz w:val="15"/>
          <w:szCs w:val="15"/>
          <w:color w:val="auto"/>
        </w:rPr>
        <w:t>16</w:t>
      </w:r>
    </w:p>
    <w:p>
      <w:pPr>
        <w:ind w:left="440"/>
        <w:spacing w:after="0" w:line="237"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111.</w:t>
        <w:tab/>
        <w:t>Governing Law</w:t>
      </w:r>
      <w:r>
        <w:rPr>
          <w:sz w:val="20"/>
          <w:szCs w:val="20"/>
          <w:color w:val="auto"/>
        </w:rPr>
        <w:tab/>
      </w:r>
      <w:r>
        <w:rPr>
          <w:rFonts w:ascii="Courier New" w:cs="Courier New" w:eastAsia="Courier New" w:hAnsi="Courier New"/>
          <w:sz w:val="15"/>
          <w:szCs w:val="15"/>
          <w:color w:val="auto"/>
        </w:rPr>
        <w:t>16</w:t>
      </w:r>
    </w:p>
    <w:p>
      <w:pPr>
        <w:ind w:left="440"/>
        <w:spacing w:after="0" w:line="238"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112.</w:t>
        <w:tab/>
        <w:t>Legal Holidays</w:t>
      </w:r>
      <w:r>
        <w:rPr>
          <w:sz w:val="20"/>
          <w:szCs w:val="20"/>
          <w:color w:val="auto"/>
        </w:rPr>
        <w:tab/>
      </w:r>
      <w:r>
        <w:rPr>
          <w:rFonts w:ascii="Courier New" w:cs="Courier New" w:eastAsia="Courier New" w:hAnsi="Courier New"/>
          <w:sz w:val="15"/>
          <w:szCs w:val="15"/>
          <w:color w:val="auto"/>
        </w:rPr>
        <w:t>16</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Immunity of Shareholders, Trustees, Officers and</w:t>
      </w:r>
    </w:p>
    <w:p>
      <w:pPr>
        <w:jc w:val="right"/>
        <w:ind w:right="3579"/>
        <w:spacing w:after="0" w:line="238" w:lineRule="auto"/>
        <w:tabs>
          <w:tab w:leader="dot" w:pos="160" w:val="left"/>
        </w:tabs>
        <w:rPr>
          <w:sz w:val="20"/>
          <w:szCs w:val="20"/>
          <w:color w:val="auto"/>
        </w:rPr>
      </w:pPr>
      <w:r>
        <w:rPr>
          <w:rFonts w:ascii="Courier New" w:cs="Courier New" w:eastAsia="Courier New" w:hAnsi="Courier New"/>
          <w:sz w:val="15"/>
          <w:szCs w:val="15"/>
          <w:color w:val="auto"/>
        </w:rPr>
        <w:t>Agents of the Company</w:t>
      </w:r>
      <w:r>
        <w:rPr>
          <w:sz w:val="20"/>
          <w:szCs w:val="20"/>
          <w:color w:val="auto"/>
        </w:rPr>
        <w:tab/>
      </w:r>
      <w:r>
        <w:rPr>
          <w:rFonts w:ascii="Courier New" w:cs="Courier New" w:eastAsia="Courier New" w:hAnsi="Courier New"/>
          <w:sz w:val="15"/>
          <w:szCs w:val="15"/>
          <w:color w:val="auto"/>
        </w:rPr>
        <w:t>16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TWO</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SECURITIES FORMS</w:t>
      </w:r>
    </w:p>
    <w:p>
      <w:pPr>
        <w:spacing w:after="0" w:line="166" w:lineRule="exact"/>
        <w:rPr>
          <w:sz w:val="20"/>
          <w:szCs w:val="20"/>
          <w:color w:val="auto"/>
        </w:rPr>
      </w:pPr>
    </w:p>
    <w:p>
      <w:pPr>
        <w:ind w:left="440"/>
        <w:spacing w:after="0"/>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201.</w:t>
        <w:tab/>
        <w:t>Forms of Securities</w:t>
      </w:r>
      <w:r>
        <w:rPr>
          <w:sz w:val="20"/>
          <w:szCs w:val="20"/>
          <w:color w:val="auto"/>
        </w:rPr>
        <w:tab/>
      </w:r>
      <w:r>
        <w:rPr>
          <w:rFonts w:ascii="Courier New" w:cs="Courier New" w:eastAsia="Courier New" w:hAnsi="Courier New"/>
          <w:sz w:val="15"/>
          <w:szCs w:val="15"/>
          <w:color w:val="auto"/>
        </w:rPr>
        <w:t>17</w:t>
      </w:r>
    </w:p>
    <w:p>
      <w:pPr>
        <w:ind w:left="440"/>
        <w:spacing w:after="0" w:line="237"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202.</w:t>
        <w:tab/>
        <w:t>Form of Trustee's Certificate of Authentication</w:t>
      </w:r>
      <w:r>
        <w:rPr>
          <w:sz w:val="20"/>
          <w:szCs w:val="20"/>
          <w:color w:val="auto"/>
        </w:rPr>
        <w:tab/>
      </w:r>
      <w:r>
        <w:rPr>
          <w:rFonts w:ascii="Courier New" w:cs="Courier New" w:eastAsia="Courier New" w:hAnsi="Courier New"/>
          <w:sz w:val="15"/>
          <w:szCs w:val="15"/>
          <w:color w:val="auto"/>
        </w:rPr>
        <w:t>17</w:t>
      </w:r>
    </w:p>
    <w:p>
      <w:pPr>
        <w:ind w:left="440"/>
        <w:spacing w:after="0" w:line="238"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203.</w:t>
        <w:tab/>
        <w:t>Securities Issuable in Global Form</w:t>
      </w:r>
      <w:r>
        <w:rPr>
          <w:sz w:val="20"/>
          <w:szCs w:val="20"/>
          <w:color w:val="auto"/>
        </w:rPr>
        <w:tab/>
      </w:r>
      <w:r>
        <w:rPr>
          <w:rFonts w:ascii="Courier New" w:cs="Courier New" w:eastAsia="Courier New" w:hAnsi="Courier New"/>
          <w:sz w:val="15"/>
          <w:szCs w:val="15"/>
          <w:color w:val="auto"/>
        </w:rPr>
        <w:t>17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THREE</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SECURITIES</w:t>
      </w:r>
    </w:p>
    <w:p>
      <w:pPr>
        <w:spacing w:after="0" w:line="166" w:lineRule="exact"/>
        <w:rPr>
          <w:sz w:val="20"/>
          <w:szCs w:val="20"/>
          <w:color w:val="auto"/>
        </w:rPr>
      </w:pPr>
    </w:p>
    <w:p>
      <w:pPr>
        <w:ind w:left="440"/>
        <w:spacing w:after="0"/>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301.</w:t>
        <w:tab/>
        <w:t>Amount Unlimited; Issuable in Series</w:t>
      </w:r>
      <w:r>
        <w:rPr>
          <w:sz w:val="20"/>
          <w:szCs w:val="20"/>
          <w:color w:val="auto"/>
        </w:rPr>
        <w:tab/>
      </w:r>
      <w:r>
        <w:rPr>
          <w:rFonts w:ascii="Courier New" w:cs="Courier New" w:eastAsia="Courier New" w:hAnsi="Courier New"/>
          <w:sz w:val="15"/>
          <w:szCs w:val="15"/>
          <w:color w:val="auto"/>
        </w:rPr>
        <w:t>18</w:t>
      </w:r>
    </w:p>
    <w:p>
      <w:pPr>
        <w:ind w:left="440"/>
        <w:spacing w:after="0" w:line="237"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302.</w:t>
        <w:tab/>
        <w:t>Denominations</w:t>
      </w:r>
      <w:r>
        <w:rPr>
          <w:sz w:val="20"/>
          <w:szCs w:val="20"/>
          <w:color w:val="auto"/>
        </w:rPr>
        <w:tab/>
      </w:r>
      <w:r>
        <w:rPr>
          <w:rFonts w:ascii="Courier New" w:cs="Courier New" w:eastAsia="Courier New" w:hAnsi="Courier New"/>
          <w:sz w:val="15"/>
          <w:szCs w:val="15"/>
          <w:color w:val="auto"/>
        </w:rPr>
        <w:t>23</w:t>
      </w:r>
    </w:p>
    <w:p>
      <w:pPr>
        <w:ind w:left="440"/>
        <w:spacing w:after="0" w:line="238"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303.</w:t>
        <w:tab/>
        <w:t>Execution, Authentication, Delivery and Dating</w:t>
      </w:r>
      <w:r>
        <w:rPr>
          <w:sz w:val="20"/>
          <w:szCs w:val="20"/>
          <w:color w:val="auto"/>
        </w:rPr>
        <w:tab/>
      </w:r>
      <w:r>
        <w:rPr>
          <w:rFonts w:ascii="Courier New" w:cs="Courier New" w:eastAsia="Courier New" w:hAnsi="Courier New"/>
          <w:sz w:val="15"/>
          <w:szCs w:val="15"/>
          <w:color w:val="auto"/>
        </w:rPr>
        <w:t>23</w:t>
      </w:r>
    </w:p>
    <w:p>
      <w:pPr>
        <w:ind w:left="440"/>
        <w:spacing w:after="0" w:line="237" w:lineRule="auto"/>
        <w:tabs>
          <w:tab w:leader="none" w:pos="1740" w:val="left"/>
          <w:tab w:leader="dot" w:pos="6460" w:val="left"/>
        </w:tabs>
        <w:rPr>
          <w:sz w:val="20"/>
          <w:szCs w:val="20"/>
          <w:color w:val="auto"/>
        </w:rPr>
      </w:pPr>
      <w:r>
        <w:rPr>
          <w:rFonts w:ascii="Courier New" w:cs="Courier New" w:eastAsia="Courier New" w:hAnsi="Courier New"/>
          <w:sz w:val="15"/>
          <w:szCs w:val="15"/>
          <w:color w:val="auto"/>
        </w:rPr>
        <w:t>SECTION 304.</w:t>
        <w:tab/>
        <w:t>Temporary Securities</w:t>
      </w:r>
      <w:r>
        <w:rPr>
          <w:sz w:val="20"/>
          <w:szCs w:val="20"/>
          <w:color w:val="auto"/>
        </w:rPr>
        <w:tab/>
      </w:r>
      <w:r>
        <w:rPr>
          <w:rFonts w:ascii="Courier New" w:cs="Courier New" w:eastAsia="Courier New" w:hAnsi="Courier New"/>
          <w:sz w:val="15"/>
          <w:szCs w:val="15"/>
          <w:color w:val="auto"/>
        </w:rPr>
        <w:t>25</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617" w:right="1440" w:bottom="1440" w:gutter="0" w:footer="0" w:header="0"/>
        </w:sectPr>
      </w:pPr>
    </w:p>
    <w:bookmarkStart w:id="103" w:name="page104"/>
    <w:bookmarkEnd w:id="103"/>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305.</w:t>
      </w:r>
      <w:r>
        <w:rPr>
          <w:sz w:val="20"/>
          <w:szCs w:val="20"/>
          <w:color w:val="auto"/>
        </w:rPr>
        <w:tab/>
      </w:r>
      <w:r>
        <w:rPr>
          <w:rFonts w:ascii="Courier New" w:cs="Courier New" w:eastAsia="Courier New" w:hAnsi="Courier New"/>
          <w:sz w:val="14"/>
          <w:szCs w:val="14"/>
          <w:color w:val="auto"/>
        </w:rPr>
        <w:t>Registration, Registration of Transfer and</w:t>
      </w:r>
    </w:p>
    <w:p>
      <w:pPr>
        <w:jc w:val="right"/>
        <w:ind w:right="3499"/>
        <w:spacing w:after="0" w:line="237" w:lineRule="auto"/>
        <w:tabs>
          <w:tab w:leader="dot" w:pos="160" w:val="left"/>
        </w:tabs>
        <w:rPr>
          <w:sz w:val="20"/>
          <w:szCs w:val="20"/>
          <w:color w:val="auto"/>
        </w:rPr>
      </w:pPr>
      <w:r>
        <w:rPr>
          <w:rFonts w:ascii="Courier New" w:cs="Courier New" w:eastAsia="Courier New" w:hAnsi="Courier New"/>
          <w:sz w:val="15"/>
          <w:szCs w:val="15"/>
          <w:color w:val="auto"/>
        </w:rPr>
        <w:t>Exchange</w:t>
      </w:r>
      <w:r>
        <w:rPr>
          <w:sz w:val="20"/>
          <w:szCs w:val="20"/>
          <w:color w:val="auto"/>
        </w:rPr>
        <w:tab/>
      </w:r>
      <w:r>
        <w:rPr>
          <w:rFonts w:ascii="Courier New" w:cs="Courier New" w:eastAsia="Courier New" w:hAnsi="Courier New"/>
          <w:sz w:val="15"/>
          <w:szCs w:val="15"/>
          <w:color w:val="auto"/>
        </w:rPr>
        <w:t>28</w:t>
      </w:r>
    </w:p>
    <w:p>
      <w:pPr>
        <w:ind w:left="440"/>
        <w:spacing w:after="0" w:line="238"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306.</w:t>
        <w:tab/>
        <w:t>Mutilated, Destroyed, Lost and Stolen Securities</w:t>
      </w:r>
      <w:r>
        <w:rPr>
          <w:sz w:val="20"/>
          <w:szCs w:val="20"/>
          <w:color w:val="auto"/>
        </w:rPr>
        <w:tab/>
      </w:r>
      <w:r>
        <w:rPr>
          <w:rFonts w:ascii="Courier New" w:cs="Courier New" w:eastAsia="Courier New" w:hAnsi="Courier New"/>
          <w:sz w:val="15"/>
          <w:szCs w:val="15"/>
          <w:color w:val="auto"/>
        </w:rPr>
        <w:t>32</w:t>
      </w:r>
    </w:p>
    <w:p>
      <w:pPr>
        <w:ind w:left="440"/>
        <w:spacing w:after="0" w:line="237"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307.</w:t>
        <w:tab/>
        <w:t>Payment of Interest; Interest Rights Preserved</w:t>
      </w:r>
      <w:r>
        <w:rPr>
          <w:sz w:val="20"/>
          <w:szCs w:val="20"/>
          <w:color w:val="auto"/>
        </w:rPr>
        <w:tab/>
      </w:r>
      <w:r>
        <w:rPr>
          <w:rFonts w:ascii="Courier New" w:cs="Courier New" w:eastAsia="Courier New" w:hAnsi="Courier New"/>
          <w:sz w:val="15"/>
          <w:szCs w:val="15"/>
          <w:color w:val="auto"/>
        </w:rPr>
        <w:t>33</w:t>
      </w:r>
    </w:p>
    <w:p>
      <w:pPr>
        <w:ind w:left="440"/>
        <w:spacing w:after="0" w:line="238"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308.</w:t>
        <w:tab/>
        <w:t>Persons Deemed Owners</w:t>
      </w:r>
      <w:r>
        <w:rPr>
          <w:sz w:val="20"/>
          <w:szCs w:val="20"/>
          <w:color w:val="auto"/>
        </w:rPr>
        <w:tab/>
      </w:r>
      <w:r>
        <w:rPr>
          <w:rFonts w:ascii="Courier New" w:cs="Courier New" w:eastAsia="Courier New" w:hAnsi="Courier New"/>
          <w:sz w:val="15"/>
          <w:szCs w:val="15"/>
          <w:color w:val="auto"/>
        </w:rPr>
        <w:t>36</w:t>
      </w:r>
    </w:p>
    <w:p>
      <w:pPr>
        <w:ind w:left="440"/>
        <w:spacing w:after="0" w:line="237"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309.</w:t>
        <w:tab/>
        <w:t>Cancellation</w:t>
      </w:r>
      <w:r>
        <w:rPr>
          <w:sz w:val="20"/>
          <w:szCs w:val="20"/>
          <w:color w:val="auto"/>
        </w:rPr>
        <w:tab/>
      </w:r>
      <w:r>
        <w:rPr>
          <w:rFonts w:ascii="Courier New" w:cs="Courier New" w:eastAsia="Courier New" w:hAnsi="Courier New"/>
          <w:sz w:val="15"/>
          <w:szCs w:val="15"/>
          <w:color w:val="auto"/>
        </w:rPr>
        <w:t>37</w:t>
      </w:r>
    </w:p>
    <w:p>
      <w:pPr>
        <w:ind w:left="440"/>
        <w:spacing w:after="0" w:line="238"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310.</w:t>
        <w:tab/>
        <w:t>Computation of Interest</w:t>
      </w:r>
      <w:r>
        <w:rPr>
          <w:sz w:val="20"/>
          <w:szCs w:val="20"/>
          <w:color w:val="auto"/>
        </w:rPr>
        <w:tab/>
      </w:r>
      <w:r>
        <w:rPr>
          <w:rFonts w:ascii="Courier New" w:cs="Courier New" w:eastAsia="Courier New" w:hAnsi="Courier New"/>
          <w:sz w:val="15"/>
          <w:szCs w:val="15"/>
          <w:color w:val="auto"/>
        </w:rPr>
        <w:t>37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FOUR</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SATISFACTION AND DISCHARGE</w:t>
      </w:r>
    </w:p>
    <w:p>
      <w:pPr>
        <w:spacing w:after="0" w:line="166" w:lineRule="exact"/>
        <w:rPr>
          <w:sz w:val="20"/>
          <w:szCs w:val="20"/>
          <w:color w:val="auto"/>
        </w:rPr>
      </w:pPr>
    </w:p>
    <w:p>
      <w:pPr>
        <w:ind w:left="440"/>
        <w:spacing w:after="0"/>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401.</w:t>
        <w:tab/>
        <w:t>Satisfaction and Discharge of Indenture</w:t>
      </w:r>
      <w:r>
        <w:rPr>
          <w:sz w:val="20"/>
          <w:szCs w:val="20"/>
          <w:color w:val="auto"/>
        </w:rPr>
        <w:tab/>
      </w:r>
      <w:r>
        <w:rPr>
          <w:rFonts w:ascii="Courier New" w:cs="Courier New" w:eastAsia="Courier New" w:hAnsi="Courier New"/>
          <w:sz w:val="15"/>
          <w:szCs w:val="15"/>
          <w:color w:val="auto"/>
        </w:rPr>
        <w:t>37</w:t>
      </w:r>
    </w:p>
    <w:p>
      <w:pPr>
        <w:ind w:left="440"/>
        <w:spacing w:after="0" w:line="237"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402.</w:t>
        <w:tab/>
        <w:t>Application of Trust Funds</w:t>
      </w:r>
      <w:r>
        <w:rPr>
          <w:sz w:val="20"/>
          <w:szCs w:val="20"/>
          <w:color w:val="auto"/>
        </w:rPr>
        <w:tab/>
      </w:r>
      <w:r>
        <w:rPr>
          <w:rFonts w:ascii="Courier New" w:cs="Courier New" w:eastAsia="Courier New" w:hAnsi="Courier New"/>
          <w:sz w:val="15"/>
          <w:szCs w:val="15"/>
          <w:color w:val="auto"/>
        </w:rPr>
        <w:t>39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FIVE</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REMEDIES</w:t>
      </w:r>
    </w:p>
    <w:p>
      <w:pPr>
        <w:spacing w:after="0" w:line="166" w:lineRule="exact"/>
        <w:rPr>
          <w:sz w:val="20"/>
          <w:szCs w:val="20"/>
          <w:color w:val="auto"/>
        </w:rPr>
      </w:pPr>
    </w:p>
    <w:p>
      <w:pPr>
        <w:ind w:left="440"/>
        <w:spacing w:after="0"/>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501.</w:t>
        <w:tab/>
        <w:t>Events of Default</w:t>
      </w:r>
      <w:r>
        <w:rPr>
          <w:sz w:val="20"/>
          <w:szCs w:val="20"/>
          <w:color w:val="auto"/>
        </w:rPr>
        <w:tab/>
      </w:r>
      <w:r>
        <w:rPr>
          <w:rFonts w:ascii="Courier New" w:cs="Courier New" w:eastAsia="Courier New" w:hAnsi="Courier New"/>
          <w:sz w:val="15"/>
          <w:szCs w:val="15"/>
          <w:color w:val="auto"/>
        </w:rPr>
        <w:t>39</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Acceleration of Maturity; Rescission and</w:t>
      </w:r>
    </w:p>
    <w:p>
      <w:pPr>
        <w:jc w:val="right"/>
        <w:ind w:right="3499"/>
        <w:spacing w:after="0" w:line="238" w:lineRule="auto"/>
        <w:tabs>
          <w:tab w:leader="dot" w:pos="160" w:val="left"/>
        </w:tabs>
        <w:rPr>
          <w:sz w:val="20"/>
          <w:szCs w:val="20"/>
          <w:color w:val="auto"/>
        </w:rPr>
      </w:pPr>
      <w:r>
        <w:rPr>
          <w:rFonts w:ascii="Courier New" w:cs="Courier New" w:eastAsia="Courier New" w:hAnsi="Courier New"/>
          <w:sz w:val="15"/>
          <w:szCs w:val="15"/>
          <w:color w:val="auto"/>
        </w:rPr>
        <w:t>Annulment</w:t>
      </w:r>
      <w:r>
        <w:rPr>
          <w:sz w:val="20"/>
          <w:szCs w:val="20"/>
          <w:color w:val="auto"/>
        </w:rPr>
        <w:tab/>
      </w:r>
      <w:r>
        <w:rPr>
          <w:rFonts w:ascii="Courier New" w:cs="Courier New" w:eastAsia="Courier New" w:hAnsi="Courier New"/>
          <w:sz w:val="15"/>
          <w:szCs w:val="15"/>
          <w:color w:val="auto"/>
        </w:rPr>
        <w:t>41</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4"/>
          <w:szCs w:val="14"/>
          <w:color w:val="auto"/>
        </w:rPr>
        <w:t>Collection of Indebtedness and Suits for</w:t>
      </w:r>
    </w:p>
    <w:p>
      <w:pPr>
        <w:jc w:val="right"/>
        <w:ind w:right="3499"/>
        <w:spacing w:after="0" w:line="238" w:lineRule="auto"/>
        <w:tabs>
          <w:tab w:leader="dot" w:pos="160" w:val="left"/>
        </w:tabs>
        <w:rPr>
          <w:sz w:val="20"/>
          <w:szCs w:val="20"/>
          <w:color w:val="auto"/>
        </w:rPr>
      </w:pPr>
      <w:r>
        <w:rPr>
          <w:rFonts w:ascii="Courier New" w:cs="Courier New" w:eastAsia="Courier New" w:hAnsi="Courier New"/>
          <w:sz w:val="15"/>
          <w:szCs w:val="15"/>
          <w:color w:val="auto"/>
        </w:rPr>
        <w:t>Enforcement by Trustee</w:t>
      </w:r>
      <w:r>
        <w:rPr>
          <w:sz w:val="20"/>
          <w:szCs w:val="20"/>
          <w:color w:val="auto"/>
        </w:rPr>
        <w:tab/>
      </w:r>
      <w:r>
        <w:rPr>
          <w:rFonts w:ascii="Courier New" w:cs="Courier New" w:eastAsia="Courier New" w:hAnsi="Courier New"/>
          <w:sz w:val="15"/>
          <w:szCs w:val="15"/>
          <w:color w:val="auto"/>
        </w:rPr>
        <w:t>42</w:t>
      </w:r>
    </w:p>
    <w:p>
      <w:pPr>
        <w:ind w:left="440"/>
        <w:spacing w:after="0" w:line="237"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504.</w:t>
        <w:tab/>
        <w:t>Trustee May File Proofs of Claim</w:t>
      </w:r>
      <w:r>
        <w:rPr>
          <w:sz w:val="20"/>
          <w:szCs w:val="20"/>
          <w:color w:val="auto"/>
        </w:rPr>
        <w:tab/>
      </w:r>
      <w:r>
        <w:rPr>
          <w:rFonts w:ascii="Courier New" w:cs="Courier New" w:eastAsia="Courier New" w:hAnsi="Courier New"/>
          <w:sz w:val="15"/>
          <w:szCs w:val="15"/>
          <w:color w:val="auto"/>
        </w:rPr>
        <w:t>43</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505.</w:t>
      </w:r>
      <w:r>
        <w:rPr>
          <w:sz w:val="20"/>
          <w:szCs w:val="20"/>
          <w:color w:val="auto"/>
        </w:rPr>
        <w:tab/>
      </w:r>
      <w:r>
        <w:rPr>
          <w:rFonts w:ascii="Courier New" w:cs="Courier New" w:eastAsia="Courier New" w:hAnsi="Courier New"/>
          <w:sz w:val="14"/>
          <w:szCs w:val="14"/>
          <w:color w:val="auto"/>
        </w:rPr>
        <w:t>Trustee May Enforce Claims Without Possession of</w:t>
      </w:r>
    </w:p>
    <w:p>
      <w:pPr>
        <w:jc w:val="right"/>
        <w:ind w:right="3499"/>
        <w:spacing w:after="0" w:line="237" w:lineRule="auto"/>
        <w:tabs>
          <w:tab w:leader="dot" w:pos="160" w:val="left"/>
        </w:tabs>
        <w:rPr>
          <w:sz w:val="20"/>
          <w:szCs w:val="20"/>
          <w:color w:val="auto"/>
        </w:rPr>
      </w:pPr>
      <w:r>
        <w:rPr>
          <w:rFonts w:ascii="Courier New" w:cs="Courier New" w:eastAsia="Courier New" w:hAnsi="Courier New"/>
          <w:sz w:val="15"/>
          <w:szCs w:val="15"/>
          <w:color w:val="auto"/>
        </w:rPr>
        <w:t>Securities or Coupons</w:t>
      </w:r>
      <w:r>
        <w:rPr>
          <w:sz w:val="20"/>
          <w:szCs w:val="20"/>
          <w:color w:val="auto"/>
        </w:rPr>
        <w:tab/>
      </w:r>
      <w:r>
        <w:rPr>
          <w:rFonts w:ascii="Courier New" w:cs="Courier New" w:eastAsia="Courier New" w:hAnsi="Courier New"/>
          <w:sz w:val="15"/>
          <w:szCs w:val="15"/>
          <w:color w:val="auto"/>
        </w:rPr>
        <w:t>44</w:t>
      </w:r>
    </w:p>
    <w:p>
      <w:pPr>
        <w:ind w:left="440"/>
        <w:spacing w:after="0" w:line="238"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506.</w:t>
        <w:tab/>
        <w:t>Application of Money Collected</w:t>
      </w:r>
      <w:r>
        <w:rPr>
          <w:sz w:val="20"/>
          <w:szCs w:val="20"/>
          <w:color w:val="auto"/>
        </w:rPr>
        <w:tab/>
      </w:r>
      <w:r>
        <w:rPr>
          <w:rFonts w:ascii="Courier New" w:cs="Courier New" w:eastAsia="Courier New" w:hAnsi="Courier New"/>
          <w:sz w:val="15"/>
          <w:szCs w:val="15"/>
          <w:color w:val="auto"/>
        </w:rPr>
        <w:t>44</w:t>
      </w:r>
    </w:p>
    <w:p>
      <w:pPr>
        <w:ind w:left="440"/>
        <w:spacing w:after="0" w:line="238"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507.</w:t>
        <w:tab/>
        <w:t>Limitation on Suits</w:t>
      </w:r>
      <w:r>
        <w:rPr>
          <w:sz w:val="20"/>
          <w:szCs w:val="20"/>
          <w:color w:val="auto"/>
        </w:rPr>
        <w:tab/>
      </w:r>
      <w:r>
        <w:rPr>
          <w:rFonts w:ascii="Courier New" w:cs="Courier New" w:eastAsia="Courier New" w:hAnsi="Courier New"/>
          <w:sz w:val="15"/>
          <w:szCs w:val="15"/>
          <w:color w:val="auto"/>
        </w:rPr>
        <w:t>45</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508.</w:t>
      </w:r>
      <w:r>
        <w:rPr>
          <w:sz w:val="20"/>
          <w:szCs w:val="20"/>
          <w:color w:val="auto"/>
        </w:rPr>
        <w:tab/>
      </w:r>
      <w:r>
        <w:rPr>
          <w:rFonts w:ascii="Courier New" w:cs="Courier New" w:eastAsia="Courier New" w:hAnsi="Courier New"/>
          <w:sz w:val="14"/>
          <w:szCs w:val="14"/>
          <w:color w:val="auto"/>
        </w:rPr>
        <w:t>Unconditional Right of Holders to Receive Principal,</w:t>
      </w:r>
    </w:p>
    <w:p>
      <w:pPr>
        <w:jc w:val="right"/>
        <w:ind w:right="3499"/>
        <w:spacing w:after="0" w:line="238" w:lineRule="auto"/>
        <w:tabs>
          <w:tab w:leader="dot" w:pos="160" w:val="left"/>
        </w:tabs>
        <w:rPr>
          <w:sz w:val="20"/>
          <w:szCs w:val="20"/>
          <w:color w:val="auto"/>
        </w:rPr>
      </w:pPr>
      <w:r>
        <w:rPr>
          <w:rFonts w:ascii="Courier New" w:cs="Courier New" w:eastAsia="Courier New" w:hAnsi="Courier New"/>
          <w:sz w:val="15"/>
          <w:szCs w:val="15"/>
          <w:color w:val="auto"/>
        </w:rPr>
        <w:t>Premium, if any, Interest and Additional Amounts</w:t>
      </w:r>
      <w:r>
        <w:rPr>
          <w:sz w:val="20"/>
          <w:szCs w:val="20"/>
          <w:color w:val="auto"/>
        </w:rPr>
        <w:tab/>
      </w:r>
      <w:r>
        <w:rPr>
          <w:rFonts w:ascii="Courier New" w:cs="Courier New" w:eastAsia="Courier New" w:hAnsi="Courier New"/>
          <w:sz w:val="15"/>
          <w:szCs w:val="15"/>
          <w:color w:val="auto"/>
        </w:rPr>
        <w:t>45</w:t>
      </w:r>
    </w:p>
    <w:p>
      <w:pPr>
        <w:ind w:left="440"/>
        <w:spacing w:after="0" w:line="237"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509.</w:t>
        <w:tab/>
        <w:t>Restoration of Rights and Remedies</w:t>
      </w:r>
      <w:r>
        <w:rPr>
          <w:sz w:val="20"/>
          <w:szCs w:val="20"/>
          <w:color w:val="auto"/>
        </w:rPr>
        <w:tab/>
      </w:r>
      <w:r>
        <w:rPr>
          <w:rFonts w:ascii="Courier New" w:cs="Courier New" w:eastAsia="Courier New" w:hAnsi="Courier New"/>
          <w:sz w:val="15"/>
          <w:szCs w:val="15"/>
          <w:color w:val="auto"/>
        </w:rPr>
        <w:t>46</w:t>
      </w:r>
    </w:p>
    <w:p>
      <w:pPr>
        <w:ind w:left="440"/>
        <w:spacing w:after="0" w:line="238"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510.</w:t>
        <w:tab/>
        <w:t>Rights and Remedies Cumulative</w:t>
      </w:r>
      <w:r>
        <w:rPr>
          <w:sz w:val="20"/>
          <w:szCs w:val="20"/>
          <w:color w:val="auto"/>
        </w:rPr>
        <w:tab/>
      </w:r>
      <w:r>
        <w:rPr>
          <w:rFonts w:ascii="Courier New" w:cs="Courier New" w:eastAsia="Courier New" w:hAnsi="Courier New"/>
          <w:sz w:val="15"/>
          <w:szCs w:val="15"/>
          <w:color w:val="auto"/>
        </w:rPr>
        <w:t>46</w:t>
      </w:r>
    </w:p>
    <w:p>
      <w:pPr>
        <w:ind w:left="440"/>
        <w:spacing w:after="0" w:line="237"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511.</w:t>
        <w:tab/>
        <w:t>Delay or Omission Not Waiver</w:t>
      </w:r>
      <w:r>
        <w:rPr>
          <w:sz w:val="20"/>
          <w:szCs w:val="20"/>
          <w:color w:val="auto"/>
        </w:rPr>
        <w:tab/>
      </w:r>
      <w:r>
        <w:rPr>
          <w:rFonts w:ascii="Courier New" w:cs="Courier New" w:eastAsia="Courier New" w:hAnsi="Courier New"/>
          <w:sz w:val="15"/>
          <w:szCs w:val="15"/>
          <w:color w:val="auto"/>
        </w:rPr>
        <w:t>46</w:t>
      </w:r>
    </w:p>
    <w:p>
      <w:pPr>
        <w:ind w:left="440"/>
        <w:spacing w:after="0" w:line="238"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512.</w:t>
        <w:tab/>
        <w:t>Control by Holders of Securities</w:t>
      </w:r>
      <w:r>
        <w:rPr>
          <w:sz w:val="20"/>
          <w:szCs w:val="20"/>
          <w:color w:val="auto"/>
        </w:rPr>
        <w:tab/>
      </w:r>
      <w:r>
        <w:rPr>
          <w:rFonts w:ascii="Courier New" w:cs="Courier New" w:eastAsia="Courier New" w:hAnsi="Courier New"/>
          <w:sz w:val="15"/>
          <w:szCs w:val="15"/>
          <w:color w:val="auto"/>
        </w:rPr>
        <w:t>46</w:t>
      </w:r>
    </w:p>
    <w:p>
      <w:pPr>
        <w:ind w:left="440"/>
        <w:spacing w:after="0" w:line="238"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513.</w:t>
        <w:tab/>
        <w:t>Waiver of Past Defaults</w:t>
      </w:r>
      <w:r>
        <w:rPr>
          <w:sz w:val="20"/>
          <w:szCs w:val="20"/>
          <w:color w:val="auto"/>
        </w:rPr>
        <w:tab/>
      </w:r>
      <w:r>
        <w:rPr>
          <w:rFonts w:ascii="Courier New" w:cs="Courier New" w:eastAsia="Courier New" w:hAnsi="Courier New"/>
          <w:sz w:val="15"/>
          <w:szCs w:val="15"/>
          <w:color w:val="auto"/>
        </w:rPr>
        <w:t>47</w:t>
      </w:r>
    </w:p>
    <w:p>
      <w:pPr>
        <w:ind w:left="440"/>
        <w:spacing w:after="0" w:line="237"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514.</w:t>
        <w:tab/>
        <w:t>Waiver of Usury, Stay or Extension Laws</w:t>
      </w:r>
      <w:r>
        <w:rPr>
          <w:sz w:val="20"/>
          <w:szCs w:val="20"/>
          <w:color w:val="auto"/>
        </w:rPr>
        <w:tab/>
      </w:r>
      <w:r>
        <w:rPr>
          <w:rFonts w:ascii="Courier New" w:cs="Courier New" w:eastAsia="Courier New" w:hAnsi="Courier New"/>
          <w:sz w:val="15"/>
          <w:szCs w:val="15"/>
          <w:color w:val="auto"/>
        </w:rPr>
        <w:t>47</w:t>
      </w:r>
    </w:p>
    <w:p>
      <w:pPr>
        <w:ind w:left="440"/>
        <w:spacing w:after="0" w:line="238"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515.</w:t>
        <w:tab/>
        <w:t>Undertaking for Costs</w:t>
      </w:r>
      <w:r>
        <w:rPr>
          <w:sz w:val="20"/>
          <w:szCs w:val="20"/>
          <w:color w:val="auto"/>
        </w:rPr>
        <w:tab/>
      </w:r>
      <w:r>
        <w:rPr>
          <w:rFonts w:ascii="Courier New" w:cs="Courier New" w:eastAsia="Courier New" w:hAnsi="Courier New"/>
          <w:sz w:val="15"/>
          <w:szCs w:val="15"/>
          <w:color w:val="auto"/>
        </w:rPr>
        <w:t>47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SIX</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TRUSTEE</w:t>
      </w:r>
    </w:p>
    <w:p>
      <w:pPr>
        <w:spacing w:after="0" w:line="166" w:lineRule="exact"/>
        <w:rPr>
          <w:sz w:val="20"/>
          <w:szCs w:val="20"/>
          <w:color w:val="auto"/>
        </w:rPr>
      </w:pPr>
    </w:p>
    <w:p>
      <w:pPr>
        <w:ind w:left="440"/>
        <w:spacing w:after="0"/>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601.</w:t>
        <w:tab/>
        <w:t>Notice of Defaults</w:t>
      </w:r>
      <w:r>
        <w:rPr>
          <w:sz w:val="20"/>
          <w:szCs w:val="20"/>
          <w:color w:val="auto"/>
        </w:rPr>
        <w:tab/>
      </w:r>
      <w:r>
        <w:rPr>
          <w:rFonts w:ascii="Courier New" w:cs="Courier New" w:eastAsia="Courier New" w:hAnsi="Courier New"/>
          <w:sz w:val="15"/>
          <w:szCs w:val="15"/>
          <w:color w:val="auto"/>
        </w:rPr>
        <w:t>48</w:t>
      </w:r>
    </w:p>
    <w:p>
      <w:pPr>
        <w:ind w:left="440"/>
        <w:spacing w:after="0" w:line="237"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602.</w:t>
        <w:tab/>
        <w:t>Certain Rights of Trustee</w:t>
      </w:r>
      <w:r>
        <w:rPr>
          <w:sz w:val="20"/>
          <w:szCs w:val="20"/>
          <w:color w:val="auto"/>
        </w:rPr>
        <w:tab/>
      </w:r>
      <w:r>
        <w:rPr>
          <w:rFonts w:ascii="Courier New" w:cs="Courier New" w:eastAsia="Courier New" w:hAnsi="Courier New"/>
          <w:sz w:val="15"/>
          <w:szCs w:val="15"/>
          <w:color w:val="auto"/>
        </w:rPr>
        <w:t>48</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603.</w:t>
      </w:r>
      <w:r>
        <w:rPr>
          <w:sz w:val="20"/>
          <w:szCs w:val="20"/>
          <w:color w:val="auto"/>
        </w:rPr>
        <w:tab/>
      </w:r>
      <w:r>
        <w:rPr>
          <w:rFonts w:ascii="Courier New" w:cs="Courier New" w:eastAsia="Courier New" w:hAnsi="Courier New"/>
          <w:sz w:val="14"/>
          <w:szCs w:val="14"/>
          <w:color w:val="auto"/>
        </w:rPr>
        <w:t>Not Responsible for Recitals or Issuance of</w:t>
      </w:r>
    </w:p>
    <w:p>
      <w:pPr>
        <w:jc w:val="right"/>
        <w:ind w:right="3499"/>
        <w:spacing w:after="0" w:line="237" w:lineRule="auto"/>
        <w:tabs>
          <w:tab w:leader="dot" w:pos="1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50</w:t>
      </w:r>
    </w:p>
    <w:p>
      <w:pPr>
        <w:ind w:left="440"/>
        <w:spacing w:after="0" w:line="238"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604.</w:t>
        <w:tab/>
        <w:t>May Hold Securities</w:t>
      </w:r>
      <w:r>
        <w:rPr>
          <w:sz w:val="20"/>
          <w:szCs w:val="20"/>
          <w:color w:val="auto"/>
        </w:rPr>
        <w:tab/>
      </w:r>
      <w:r>
        <w:rPr>
          <w:rFonts w:ascii="Courier New" w:cs="Courier New" w:eastAsia="Courier New" w:hAnsi="Courier New"/>
          <w:sz w:val="15"/>
          <w:szCs w:val="15"/>
          <w:color w:val="auto"/>
        </w:rPr>
        <w:t>50</w:t>
      </w:r>
    </w:p>
    <w:p>
      <w:pPr>
        <w:ind w:left="440"/>
        <w:spacing w:after="0" w:line="237"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605.</w:t>
        <w:tab/>
        <w:t>Money Held in Trust</w:t>
      </w:r>
      <w:r>
        <w:rPr>
          <w:sz w:val="20"/>
          <w:szCs w:val="20"/>
          <w:color w:val="auto"/>
        </w:rPr>
        <w:tab/>
      </w:r>
      <w:r>
        <w:rPr>
          <w:rFonts w:ascii="Courier New" w:cs="Courier New" w:eastAsia="Courier New" w:hAnsi="Courier New"/>
          <w:sz w:val="15"/>
          <w:szCs w:val="15"/>
          <w:color w:val="auto"/>
        </w:rPr>
        <w:t>50</w:t>
      </w:r>
    </w:p>
    <w:p>
      <w:pPr>
        <w:ind w:left="440"/>
        <w:spacing w:after="0" w:line="238" w:lineRule="auto"/>
        <w:tabs>
          <w:tab w:leader="none" w:pos="1740" w:val="left"/>
          <w:tab w:leader="dot" w:pos="6540" w:val="left"/>
        </w:tabs>
        <w:rPr>
          <w:sz w:val="20"/>
          <w:szCs w:val="20"/>
          <w:color w:val="auto"/>
        </w:rPr>
      </w:pPr>
      <w:r>
        <w:rPr>
          <w:rFonts w:ascii="Courier New" w:cs="Courier New" w:eastAsia="Courier New" w:hAnsi="Courier New"/>
          <w:sz w:val="15"/>
          <w:szCs w:val="15"/>
          <w:color w:val="auto"/>
        </w:rPr>
        <w:t>SECTION 606.</w:t>
        <w:tab/>
        <w:t>Compensation and Reimbursement</w:t>
      </w:r>
      <w:r>
        <w:rPr>
          <w:sz w:val="20"/>
          <w:szCs w:val="20"/>
          <w:color w:val="auto"/>
        </w:rPr>
        <w:tab/>
      </w:r>
      <w:r>
        <w:rPr>
          <w:rFonts w:ascii="Courier New" w:cs="Courier New" w:eastAsia="Courier New" w:hAnsi="Courier New"/>
          <w:sz w:val="15"/>
          <w:szCs w:val="15"/>
          <w:color w:val="auto"/>
        </w:rPr>
        <w:t>50</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4"/>
          <w:szCs w:val="14"/>
          <w:color w:val="auto"/>
        </w:rPr>
        <w:t>Corporate Trustee Required; Eligibility;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617" w:right="1440" w:bottom="1440" w:gutter="0" w:footer="0" w:header="0"/>
        </w:sectPr>
      </w:pPr>
    </w:p>
    <w:bookmarkStart w:id="104" w:name="page105"/>
    <w:bookmarkEnd w:id="104"/>
    <w:p>
      <w:pPr>
        <w:jc w:val="right"/>
        <w:ind w:right="3399"/>
        <w:spacing w:after="0"/>
        <w:tabs>
          <w:tab w:leader="dot" w:pos="160" w:val="left"/>
        </w:tabs>
        <w:rPr>
          <w:sz w:val="20"/>
          <w:szCs w:val="20"/>
          <w:color w:val="auto"/>
        </w:rPr>
      </w:pPr>
      <w:r>
        <w:rPr>
          <w:rFonts w:ascii="Courier New" w:cs="Courier New" w:eastAsia="Courier New" w:hAnsi="Courier New"/>
          <w:sz w:val="15"/>
          <w:szCs w:val="15"/>
          <w:color w:val="auto"/>
        </w:rPr>
        <w:t>Conflicting Interests</w:t>
      </w:r>
      <w:r>
        <w:rPr>
          <w:sz w:val="20"/>
          <w:szCs w:val="20"/>
          <w:color w:val="auto"/>
        </w:rPr>
        <w:tab/>
      </w:r>
      <w:r>
        <w:rPr>
          <w:rFonts w:ascii="Courier New" w:cs="Courier New" w:eastAsia="Courier New" w:hAnsi="Courier New"/>
          <w:sz w:val="15"/>
          <w:szCs w:val="15"/>
          <w:color w:val="auto"/>
        </w:rPr>
        <w:t>51</w:t>
      </w:r>
    </w:p>
    <w:p>
      <w:pPr>
        <w:ind w:left="440"/>
        <w:spacing w:after="0" w:line="237" w:lineRule="auto"/>
        <w:tabs>
          <w:tab w:leader="none" w:pos="1740" w:val="left"/>
          <w:tab w:leader="dot" w:pos="6640" w:val="left"/>
        </w:tabs>
        <w:rPr>
          <w:sz w:val="20"/>
          <w:szCs w:val="20"/>
          <w:color w:val="auto"/>
        </w:rPr>
      </w:pPr>
      <w:r>
        <w:rPr>
          <w:rFonts w:ascii="Courier New" w:cs="Courier New" w:eastAsia="Courier New" w:hAnsi="Courier New"/>
          <w:sz w:val="15"/>
          <w:szCs w:val="15"/>
          <w:color w:val="auto"/>
        </w:rPr>
        <w:t>SECTION 608.</w:t>
        <w:tab/>
        <w:t>Resignation and Removal; Appointment of Successor</w:t>
      </w:r>
      <w:r>
        <w:rPr>
          <w:sz w:val="20"/>
          <w:szCs w:val="20"/>
          <w:color w:val="auto"/>
        </w:rPr>
        <w:tab/>
      </w:r>
      <w:r>
        <w:rPr>
          <w:rFonts w:ascii="Courier New" w:cs="Courier New" w:eastAsia="Courier New" w:hAnsi="Courier New"/>
          <w:sz w:val="15"/>
          <w:szCs w:val="15"/>
          <w:color w:val="auto"/>
        </w:rPr>
        <w:t>51</w:t>
      </w:r>
    </w:p>
    <w:p>
      <w:pPr>
        <w:ind w:left="440"/>
        <w:spacing w:after="0" w:line="238" w:lineRule="auto"/>
        <w:tabs>
          <w:tab w:leader="none" w:pos="1740" w:val="left"/>
          <w:tab w:leader="dot" w:pos="6640" w:val="left"/>
        </w:tabs>
        <w:rPr>
          <w:sz w:val="20"/>
          <w:szCs w:val="20"/>
          <w:color w:val="auto"/>
        </w:rPr>
      </w:pPr>
      <w:r>
        <w:rPr>
          <w:rFonts w:ascii="Courier New" w:cs="Courier New" w:eastAsia="Courier New" w:hAnsi="Courier New"/>
          <w:sz w:val="15"/>
          <w:szCs w:val="15"/>
          <w:color w:val="auto"/>
        </w:rPr>
        <w:t>SECTION 609.</w:t>
        <w:tab/>
        <w:t>Acceptance of Appointment by Successor</w:t>
      </w:r>
      <w:r>
        <w:rPr>
          <w:sz w:val="20"/>
          <w:szCs w:val="20"/>
          <w:color w:val="auto"/>
        </w:rPr>
        <w:tab/>
      </w:r>
      <w:r>
        <w:rPr>
          <w:rFonts w:ascii="Courier New" w:cs="Courier New" w:eastAsia="Courier New" w:hAnsi="Courier New"/>
          <w:sz w:val="15"/>
          <w:szCs w:val="15"/>
          <w:color w:val="auto"/>
        </w:rPr>
        <w:t>53</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Merger, Conversion, Consolidation or Succession to</w:t>
      </w:r>
    </w:p>
    <w:p>
      <w:pPr>
        <w:jc w:val="right"/>
        <w:ind w:right="3399"/>
        <w:spacing w:after="0" w:line="238" w:lineRule="auto"/>
        <w:tabs>
          <w:tab w:leader="dot" w:pos="16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54</w:t>
      </w:r>
    </w:p>
    <w:p>
      <w:pPr>
        <w:ind w:left="440"/>
        <w:spacing w:after="0" w:line="237" w:lineRule="auto"/>
        <w:tabs>
          <w:tab w:leader="none" w:pos="1740" w:val="left"/>
          <w:tab w:leader="dot" w:pos="6640" w:val="left"/>
        </w:tabs>
        <w:rPr>
          <w:sz w:val="20"/>
          <w:szCs w:val="20"/>
          <w:color w:val="auto"/>
        </w:rPr>
      </w:pPr>
      <w:r>
        <w:rPr>
          <w:rFonts w:ascii="Courier New" w:cs="Courier New" w:eastAsia="Courier New" w:hAnsi="Courier New"/>
          <w:sz w:val="15"/>
          <w:szCs w:val="15"/>
          <w:color w:val="auto"/>
        </w:rPr>
        <w:t>SECTION 611.</w:t>
        <w:tab/>
        <w:t>Appointment of Authenticating Agent</w:t>
      </w:r>
      <w:r>
        <w:rPr>
          <w:sz w:val="20"/>
          <w:szCs w:val="20"/>
          <w:color w:val="auto"/>
        </w:rPr>
        <w:tab/>
      </w:r>
      <w:r>
        <w:rPr>
          <w:rFonts w:ascii="Courier New" w:cs="Courier New" w:eastAsia="Courier New" w:hAnsi="Courier New"/>
          <w:sz w:val="15"/>
          <w:szCs w:val="15"/>
          <w:color w:val="auto"/>
        </w:rPr>
        <w:t>55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SEVEN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HOLDERS' LISTS AND REPORTS BY TRUSTEE AND COMPANY</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SECTION 701.</w:t>
            </w:r>
          </w:p>
        </w:tc>
        <w:tc>
          <w:tcPr>
            <w:tcW w:w="4900" w:type="dxa"/>
            <w:vAlign w:val="bottom"/>
          </w:tcPr>
          <w:p>
            <w:pPr>
              <w:ind w:left="140"/>
              <w:spacing w:after="0"/>
              <w:rPr>
                <w:sz w:val="20"/>
                <w:szCs w:val="20"/>
                <w:color w:val="auto"/>
              </w:rPr>
            </w:pPr>
            <w:r>
              <w:rPr>
                <w:rFonts w:ascii="Courier New" w:cs="Courier New" w:eastAsia="Courier New" w:hAnsi="Courier New"/>
                <w:sz w:val="15"/>
                <w:szCs w:val="15"/>
                <w:color w:val="auto"/>
                <w:w w:val="99"/>
              </w:rPr>
              <w:t>Disclosure of Names and Addresses of Holders.........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68"/>
        </w:trPr>
        <w:tc>
          <w:tcPr>
            <w:tcW w:w="1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SECTION 702.</w:t>
            </w:r>
          </w:p>
        </w:tc>
        <w:tc>
          <w:tcPr>
            <w:tcW w:w="49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Reports by Trustee...................................</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703.</w:t>
            </w:r>
          </w:p>
        </w:tc>
        <w:tc>
          <w:tcPr>
            <w:tcW w:w="49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Reports by Company...................................</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704.</w:t>
            </w:r>
          </w:p>
        </w:tc>
        <w:tc>
          <w:tcPr>
            <w:tcW w:w="49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Company to Furnish Trustee Names and Addresses of</w:t>
            </w:r>
          </w:p>
        </w:tc>
        <w:tc>
          <w:tcPr>
            <w:tcW w:w="32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9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Holders..............................................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EIGHT</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CONSOLIDATION, MERGER, SALE, LEASE OR CONVEYANCE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801.</w:t>
            </w:r>
          </w:p>
        </w:tc>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Consolidations and Mergers of Company and Sales,</w:t>
            </w:r>
          </w:p>
        </w:tc>
        <w:tc>
          <w:tcPr>
            <w:tcW w:w="3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Leases and Conveyances Permitted Subject to Certain</w:t>
            </w:r>
          </w:p>
        </w:tc>
        <w:tc>
          <w:tcPr>
            <w:tcW w:w="3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Conditions...........................................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802.</w:t>
            </w:r>
          </w:p>
        </w:tc>
        <w:tc>
          <w:tcPr>
            <w:tcW w:w="4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Rights and Duties of Successor Corporation...........</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803.</w:t>
            </w:r>
          </w:p>
        </w:tc>
        <w:tc>
          <w:tcPr>
            <w:tcW w:w="4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Officers' Certificate and Opinion of Counsel.........</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336"/>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NINE</w:t>
            </w:r>
          </w:p>
        </w:tc>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6"/>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40" w:type="dxa"/>
            <w:vAlign w:val="bottom"/>
          </w:tcPr>
          <w:p>
            <w:pPr>
              <w:ind w:left="780"/>
              <w:spacing w:after="0"/>
              <w:rPr>
                <w:sz w:val="20"/>
                <w:szCs w:val="20"/>
                <w:color w:val="auto"/>
              </w:rPr>
            </w:pPr>
            <w:r>
              <w:rPr>
                <w:rFonts w:ascii="Courier New" w:cs="Courier New" w:eastAsia="Courier New" w:hAnsi="Courier New"/>
                <w:sz w:val="15"/>
                <w:szCs w:val="15"/>
                <w:color w:val="auto"/>
              </w:rPr>
              <w:t>SUPPLEMENTAL INDENTURES</w:t>
            </w:r>
          </w:p>
        </w:tc>
        <w:tc>
          <w:tcPr>
            <w:tcW w:w="320" w:type="dxa"/>
            <w:vAlign w:val="bottom"/>
          </w:tcPr>
          <w:p>
            <w:pPr>
              <w:spacing w:after="0"/>
              <w:rPr>
                <w:sz w:val="24"/>
                <w:szCs w:val="24"/>
                <w:color w:val="auto"/>
              </w:rPr>
            </w:pPr>
          </w:p>
        </w:tc>
      </w:tr>
      <w:tr>
        <w:trPr>
          <w:trHeight w:val="336"/>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901.</w:t>
            </w:r>
          </w:p>
        </w:tc>
        <w:tc>
          <w:tcPr>
            <w:tcW w:w="4840" w:type="dxa"/>
            <w:vAlign w:val="bottom"/>
          </w:tcPr>
          <w:p>
            <w:pPr>
              <w:ind w:left="80"/>
              <w:spacing w:after="0"/>
              <w:rPr>
                <w:sz w:val="20"/>
                <w:szCs w:val="20"/>
                <w:color w:val="auto"/>
              </w:rPr>
            </w:pPr>
            <w:r>
              <w:rPr>
                <w:rFonts w:ascii="Courier New" w:cs="Courier New" w:eastAsia="Courier New" w:hAnsi="Courier New"/>
                <w:sz w:val="15"/>
                <w:szCs w:val="15"/>
                <w:color w:val="auto"/>
                <w:w w:val="99"/>
              </w:rPr>
              <w:t>Supplemental Indentures without Consent of Holders...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902.</w:t>
            </w:r>
          </w:p>
        </w:tc>
        <w:tc>
          <w:tcPr>
            <w:tcW w:w="4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Supplemental Indentures with Consent of Holders......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903.</w:t>
            </w:r>
          </w:p>
        </w:tc>
        <w:tc>
          <w:tcPr>
            <w:tcW w:w="4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Execution of Supplemental Indentures.................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904.</w:t>
            </w:r>
          </w:p>
        </w:tc>
        <w:tc>
          <w:tcPr>
            <w:tcW w:w="4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Effect of Supplemental Indentures....................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905.</w:t>
            </w:r>
          </w:p>
        </w:tc>
        <w:tc>
          <w:tcPr>
            <w:tcW w:w="4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Conformity with Trust Indenture Act..................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906.</w:t>
            </w:r>
          </w:p>
        </w:tc>
        <w:tc>
          <w:tcPr>
            <w:tcW w:w="4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Reference in Securities to Supplemental Indentures...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336"/>
        </w:trPr>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ARTICLE TEN</w:t>
            </w:r>
          </w:p>
        </w:tc>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6"/>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40" w:type="dxa"/>
            <w:vAlign w:val="bottom"/>
          </w:tcPr>
          <w:p>
            <w:pPr>
              <w:ind w:left="1400"/>
              <w:spacing w:after="0"/>
              <w:rPr>
                <w:sz w:val="20"/>
                <w:szCs w:val="20"/>
                <w:color w:val="auto"/>
              </w:rPr>
            </w:pPr>
            <w:r>
              <w:rPr>
                <w:rFonts w:ascii="Courier New" w:cs="Courier New" w:eastAsia="Courier New" w:hAnsi="Courier New"/>
                <w:sz w:val="15"/>
                <w:szCs w:val="15"/>
                <w:color w:val="auto"/>
              </w:rPr>
              <w:t>COVENANTS</w:t>
            </w:r>
          </w:p>
        </w:tc>
        <w:tc>
          <w:tcPr>
            <w:tcW w:w="320" w:type="dxa"/>
            <w:vAlign w:val="bottom"/>
          </w:tcPr>
          <w:p>
            <w:pPr>
              <w:spacing w:after="0"/>
              <w:rPr>
                <w:sz w:val="24"/>
                <w:szCs w:val="24"/>
                <w:color w:val="auto"/>
              </w:rPr>
            </w:pPr>
          </w:p>
        </w:tc>
      </w:tr>
      <w:tr>
        <w:trPr>
          <w:trHeight w:val="336"/>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1001.</w:t>
            </w:r>
          </w:p>
        </w:tc>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Payment of Principal, Premium, if any, Interest and</w:t>
            </w:r>
          </w:p>
        </w:tc>
        <w:tc>
          <w:tcPr>
            <w:tcW w:w="32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Additional Amounts...................................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1002.</w:t>
            </w:r>
          </w:p>
        </w:tc>
        <w:tc>
          <w:tcPr>
            <w:tcW w:w="4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Maintenance of Office or Agency......................</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1003.</w:t>
            </w:r>
          </w:p>
        </w:tc>
        <w:tc>
          <w:tcPr>
            <w:tcW w:w="4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Money for Securities Payments to Be Held in Trust....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bl>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617" w:right="1440" w:bottom="1440" w:gutter="0" w:footer="0" w:header="0"/>
        </w:sectPr>
      </w:pPr>
    </w:p>
    <w:bookmarkStart w:id="105" w:name="page106"/>
    <w:bookmarkEnd w:id="105"/>
    <w:p>
      <w:pPr>
        <w:jc w:val="right"/>
        <w:ind w:right="4099"/>
        <w:spacing w:after="0"/>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1004.</w:t>
        <w:tab/>
        <w:t>Existence</w:t>
      </w:r>
      <w:r>
        <w:rPr>
          <w:sz w:val="20"/>
          <w:szCs w:val="20"/>
          <w:color w:val="auto"/>
        </w:rPr>
        <w:tab/>
      </w:r>
      <w:r>
        <w:rPr>
          <w:rFonts w:ascii="Courier New" w:cs="Courier New" w:eastAsia="Courier New" w:hAnsi="Courier New"/>
          <w:sz w:val="15"/>
          <w:szCs w:val="15"/>
          <w:color w:val="auto"/>
        </w:rPr>
        <w:t>67</w:t>
      </w:r>
    </w:p>
    <w:p>
      <w:pPr>
        <w:jc w:val="right"/>
        <w:ind w:right="4099"/>
        <w:spacing w:after="0" w:line="237"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1005.</w:t>
        <w:tab/>
        <w:t>Maintenance of Properties</w:t>
      </w:r>
      <w:r>
        <w:rPr>
          <w:sz w:val="20"/>
          <w:szCs w:val="20"/>
          <w:color w:val="auto"/>
        </w:rPr>
        <w:tab/>
      </w:r>
      <w:r>
        <w:rPr>
          <w:rFonts w:ascii="Courier New" w:cs="Courier New" w:eastAsia="Courier New" w:hAnsi="Courier New"/>
          <w:sz w:val="15"/>
          <w:szCs w:val="15"/>
          <w:color w:val="auto"/>
        </w:rPr>
        <w:t>67</w:t>
      </w:r>
    </w:p>
    <w:p>
      <w:pPr>
        <w:jc w:val="right"/>
        <w:ind w:right="4099"/>
        <w:spacing w:after="0" w:line="238"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1006.</w:t>
        <w:tab/>
        <w:t>Insurance</w:t>
      </w:r>
      <w:r>
        <w:rPr>
          <w:sz w:val="20"/>
          <w:szCs w:val="20"/>
          <w:color w:val="auto"/>
        </w:rPr>
        <w:tab/>
      </w:r>
      <w:r>
        <w:rPr>
          <w:rFonts w:ascii="Courier New" w:cs="Courier New" w:eastAsia="Courier New" w:hAnsi="Courier New"/>
          <w:sz w:val="15"/>
          <w:szCs w:val="15"/>
          <w:color w:val="auto"/>
        </w:rPr>
        <w:t>67</w:t>
      </w:r>
    </w:p>
    <w:p>
      <w:pPr>
        <w:jc w:val="right"/>
        <w:ind w:right="4099"/>
        <w:spacing w:after="0" w:line="237"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1007.</w:t>
        <w:tab/>
        <w:t>Payment of Taxes and Other Claims</w:t>
      </w:r>
      <w:r>
        <w:rPr>
          <w:sz w:val="20"/>
          <w:szCs w:val="20"/>
          <w:color w:val="auto"/>
        </w:rPr>
        <w:tab/>
      </w:r>
      <w:r>
        <w:rPr>
          <w:rFonts w:ascii="Courier New" w:cs="Courier New" w:eastAsia="Courier New" w:hAnsi="Courier New"/>
          <w:sz w:val="15"/>
          <w:szCs w:val="15"/>
          <w:color w:val="auto"/>
        </w:rPr>
        <w:t>67</w:t>
      </w:r>
    </w:p>
    <w:p>
      <w:pPr>
        <w:jc w:val="right"/>
        <w:ind w:right="4099"/>
        <w:spacing w:after="0" w:line="238"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1008.</w:t>
        <w:tab/>
        <w:t>Provision of Financial Information</w:t>
      </w:r>
      <w:r>
        <w:rPr>
          <w:sz w:val="20"/>
          <w:szCs w:val="20"/>
          <w:color w:val="auto"/>
        </w:rPr>
        <w:tab/>
      </w:r>
      <w:r>
        <w:rPr>
          <w:rFonts w:ascii="Courier New" w:cs="Courier New" w:eastAsia="Courier New" w:hAnsi="Courier New"/>
          <w:sz w:val="15"/>
          <w:szCs w:val="15"/>
          <w:color w:val="auto"/>
        </w:rPr>
        <w:t>68</w:t>
      </w:r>
    </w:p>
    <w:p>
      <w:pPr>
        <w:jc w:val="right"/>
        <w:ind w:right="4099"/>
        <w:spacing w:after="0" w:line="237"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1009.</w:t>
        <w:tab/>
        <w:t>Statement as to Compliance</w:t>
      </w:r>
      <w:r>
        <w:rPr>
          <w:sz w:val="20"/>
          <w:szCs w:val="20"/>
          <w:color w:val="auto"/>
        </w:rPr>
        <w:tab/>
      </w:r>
      <w:r>
        <w:rPr>
          <w:rFonts w:ascii="Courier New" w:cs="Courier New" w:eastAsia="Courier New" w:hAnsi="Courier New"/>
          <w:sz w:val="15"/>
          <w:szCs w:val="15"/>
          <w:color w:val="auto"/>
        </w:rPr>
        <w:t>68</w:t>
      </w:r>
    </w:p>
    <w:p>
      <w:pPr>
        <w:jc w:val="right"/>
        <w:ind w:right="4099"/>
        <w:spacing w:after="0" w:line="238"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1010.</w:t>
        <w:tab/>
        <w:t>Additional Amounts</w:t>
      </w:r>
      <w:r>
        <w:rPr>
          <w:sz w:val="20"/>
          <w:szCs w:val="20"/>
          <w:color w:val="auto"/>
        </w:rPr>
        <w:tab/>
      </w:r>
      <w:r>
        <w:rPr>
          <w:rFonts w:ascii="Courier New" w:cs="Courier New" w:eastAsia="Courier New" w:hAnsi="Courier New"/>
          <w:sz w:val="15"/>
          <w:szCs w:val="15"/>
          <w:color w:val="auto"/>
        </w:rPr>
        <w:t>68</w:t>
      </w:r>
    </w:p>
    <w:p>
      <w:pPr>
        <w:jc w:val="right"/>
        <w:ind w:right="4099"/>
        <w:spacing w:after="0" w:line="237"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1011.</w:t>
        <w:tab/>
        <w:t>Waiver of Certain Covenants</w:t>
      </w:r>
      <w:r>
        <w:rPr>
          <w:sz w:val="20"/>
          <w:szCs w:val="20"/>
          <w:color w:val="auto"/>
        </w:rPr>
        <w:tab/>
      </w:r>
      <w:r>
        <w:rPr>
          <w:rFonts w:ascii="Courier New" w:cs="Courier New" w:eastAsia="Courier New" w:hAnsi="Courier New"/>
          <w:sz w:val="15"/>
          <w:szCs w:val="15"/>
          <w:color w:val="auto"/>
        </w:rPr>
        <w:t>69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ELEVEN</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REDEMPTION OF SECURITIES</w:t>
      </w:r>
    </w:p>
    <w:p>
      <w:pPr>
        <w:spacing w:after="0" w:line="166" w:lineRule="exact"/>
        <w:rPr>
          <w:sz w:val="20"/>
          <w:szCs w:val="20"/>
          <w:color w:val="auto"/>
        </w:rPr>
      </w:pPr>
    </w:p>
    <w:p>
      <w:pPr>
        <w:jc w:val="right"/>
        <w:ind w:right="4099"/>
        <w:spacing w:after="0"/>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1101.</w:t>
        <w:tab/>
        <w:t>Applicability of Article</w:t>
      </w:r>
      <w:r>
        <w:rPr>
          <w:sz w:val="20"/>
          <w:szCs w:val="20"/>
          <w:color w:val="auto"/>
        </w:rPr>
        <w:tab/>
      </w:r>
      <w:r>
        <w:rPr>
          <w:rFonts w:ascii="Courier New" w:cs="Courier New" w:eastAsia="Courier New" w:hAnsi="Courier New"/>
          <w:sz w:val="15"/>
          <w:szCs w:val="15"/>
          <w:color w:val="auto"/>
        </w:rPr>
        <w:t>70</w:t>
      </w:r>
    </w:p>
    <w:p>
      <w:pPr>
        <w:jc w:val="right"/>
        <w:ind w:right="4099"/>
        <w:spacing w:after="0" w:line="237"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1102.</w:t>
        <w:tab/>
        <w:t>Election to Redeem; Notice to Trustee</w:t>
      </w:r>
      <w:r>
        <w:rPr>
          <w:sz w:val="20"/>
          <w:szCs w:val="20"/>
          <w:color w:val="auto"/>
        </w:rPr>
        <w:tab/>
      </w:r>
      <w:r>
        <w:rPr>
          <w:rFonts w:ascii="Courier New" w:cs="Courier New" w:eastAsia="Courier New" w:hAnsi="Courier New"/>
          <w:sz w:val="15"/>
          <w:szCs w:val="15"/>
          <w:color w:val="auto"/>
        </w:rPr>
        <w:t>70</w:t>
      </w:r>
    </w:p>
    <w:p>
      <w:pPr>
        <w:ind w:left="700"/>
        <w:spacing w:after="0"/>
        <w:tabs>
          <w:tab w:leader="none" w:pos="2080" w:val="left"/>
        </w:tabs>
        <w:rPr>
          <w:sz w:val="20"/>
          <w:szCs w:val="20"/>
          <w:color w:val="auto"/>
        </w:rPr>
      </w:pPr>
      <w:r>
        <w:rPr>
          <w:rFonts w:ascii="Courier New" w:cs="Courier New" w:eastAsia="Courier New" w:hAnsi="Courier New"/>
          <w:sz w:val="15"/>
          <w:szCs w:val="15"/>
          <w:color w:val="auto"/>
        </w:rPr>
        <w:t>SECTION 1103.</w:t>
      </w:r>
      <w:r>
        <w:rPr>
          <w:sz w:val="20"/>
          <w:szCs w:val="20"/>
          <w:color w:val="auto"/>
        </w:rPr>
        <w:tab/>
      </w:r>
      <w:r>
        <w:rPr>
          <w:rFonts w:ascii="Courier New" w:cs="Courier New" w:eastAsia="Courier New" w:hAnsi="Courier New"/>
          <w:sz w:val="14"/>
          <w:szCs w:val="14"/>
          <w:color w:val="auto"/>
        </w:rPr>
        <w:t>Selection by Trustee of Securities to Be</w:t>
      </w:r>
    </w:p>
    <w:p>
      <w:pPr>
        <w:jc w:val="right"/>
        <w:ind w:right="4099"/>
        <w:spacing w:after="0" w:line="237" w:lineRule="auto"/>
        <w:tabs>
          <w:tab w:leader="dot" w:pos="160" w:val="left"/>
        </w:tabs>
        <w:rPr>
          <w:sz w:val="20"/>
          <w:szCs w:val="20"/>
          <w:color w:val="auto"/>
        </w:rPr>
      </w:pPr>
      <w:r>
        <w:rPr>
          <w:rFonts w:ascii="Courier New" w:cs="Courier New" w:eastAsia="Courier New" w:hAnsi="Courier New"/>
          <w:sz w:val="15"/>
          <w:szCs w:val="15"/>
          <w:color w:val="auto"/>
        </w:rPr>
        <w:t>Redeemed</w:t>
      </w:r>
      <w:r>
        <w:rPr>
          <w:sz w:val="20"/>
          <w:szCs w:val="20"/>
          <w:color w:val="auto"/>
        </w:rPr>
        <w:tab/>
      </w:r>
      <w:r>
        <w:rPr>
          <w:rFonts w:ascii="Courier New" w:cs="Courier New" w:eastAsia="Courier New" w:hAnsi="Courier New"/>
          <w:sz w:val="15"/>
          <w:szCs w:val="15"/>
          <w:color w:val="auto"/>
        </w:rPr>
        <w:t>70</w:t>
      </w:r>
    </w:p>
    <w:p>
      <w:pPr>
        <w:jc w:val="right"/>
        <w:ind w:right="4099"/>
        <w:spacing w:after="0" w:line="238"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1104.</w:t>
        <w:tab/>
        <w:t>Notice of Redemption</w:t>
      </w:r>
      <w:r>
        <w:rPr>
          <w:sz w:val="20"/>
          <w:szCs w:val="20"/>
          <w:color w:val="auto"/>
        </w:rPr>
        <w:tab/>
      </w:r>
      <w:r>
        <w:rPr>
          <w:rFonts w:ascii="Courier New" w:cs="Courier New" w:eastAsia="Courier New" w:hAnsi="Courier New"/>
          <w:sz w:val="15"/>
          <w:szCs w:val="15"/>
          <w:color w:val="auto"/>
        </w:rPr>
        <w:t>71</w:t>
      </w:r>
    </w:p>
    <w:p>
      <w:pPr>
        <w:jc w:val="right"/>
        <w:ind w:right="4099"/>
        <w:spacing w:after="0" w:line="237"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1105.</w:t>
        <w:tab/>
        <w:t>Deposit of Redemption Price</w:t>
      </w:r>
      <w:r>
        <w:rPr>
          <w:sz w:val="20"/>
          <w:szCs w:val="20"/>
          <w:color w:val="auto"/>
        </w:rPr>
        <w:tab/>
      </w:r>
      <w:r>
        <w:rPr>
          <w:rFonts w:ascii="Courier New" w:cs="Courier New" w:eastAsia="Courier New" w:hAnsi="Courier New"/>
          <w:sz w:val="15"/>
          <w:szCs w:val="15"/>
          <w:color w:val="auto"/>
        </w:rPr>
        <w:t>72</w:t>
      </w:r>
    </w:p>
    <w:p>
      <w:pPr>
        <w:jc w:val="right"/>
        <w:ind w:right="4099"/>
        <w:spacing w:after="0" w:line="238"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1106.</w:t>
        <w:tab/>
        <w:t>Securities Payable on Redemption Date</w:t>
      </w:r>
      <w:r>
        <w:rPr>
          <w:sz w:val="20"/>
          <w:szCs w:val="20"/>
          <w:color w:val="auto"/>
        </w:rPr>
        <w:tab/>
      </w:r>
      <w:r>
        <w:rPr>
          <w:rFonts w:ascii="Courier New" w:cs="Courier New" w:eastAsia="Courier New" w:hAnsi="Courier New"/>
          <w:sz w:val="15"/>
          <w:szCs w:val="15"/>
          <w:color w:val="auto"/>
        </w:rPr>
        <w:t>72</w:t>
      </w:r>
    </w:p>
    <w:p>
      <w:pPr>
        <w:jc w:val="right"/>
        <w:ind w:right="4099"/>
        <w:spacing w:after="0" w:line="237"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1107.</w:t>
        <w:tab/>
        <w:t>Securities Redeemed in Part</w:t>
      </w:r>
      <w:r>
        <w:rPr>
          <w:sz w:val="20"/>
          <w:szCs w:val="20"/>
          <w:color w:val="auto"/>
        </w:rPr>
        <w:tab/>
      </w:r>
      <w:r>
        <w:rPr>
          <w:rFonts w:ascii="Courier New" w:cs="Courier New" w:eastAsia="Courier New" w:hAnsi="Courier New"/>
          <w:sz w:val="15"/>
          <w:szCs w:val="15"/>
          <w:color w:val="auto"/>
        </w:rPr>
        <w:t>73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TWELVE</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SINKING FUNDS</w:t>
      </w:r>
    </w:p>
    <w:p>
      <w:pPr>
        <w:spacing w:after="0" w:line="166" w:lineRule="exact"/>
        <w:rPr>
          <w:sz w:val="20"/>
          <w:szCs w:val="20"/>
          <w:color w:val="auto"/>
        </w:rPr>
      </w:pPr>
    </w:p>
    <w:p>
      <w:pPr>
        <w:jc w:val="right"/>
        <w:ind w:right="4099"/>
        <w:spacing w:after="0"/>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1201.</w:t>
        <w:tab/>
        <w:t>Applicability of Article</w:t>
      </w:r>
      <w:r>
        <w:rPr>
          <w:sz w:val="20"/>
          <w:szCs w:val="20"/>
          <w:color w:val="auto"/>
        </w:rPr>
        <w:tab/>
      </w:r>
      <w:r>
        <w:rPr>
          <w:rFonts w:ascii="Courier New" w:cs="Courier New" w:eastAsia="Courier New" w:hAnsi="Courier New"/>
          <w:sz w:val="15"/>
          <w:szCs w:val="15"/>
          <w:color w:val="auto"/>
        </w:rPr>
        <w:t>74</w:t>
      </w:r>
    </w:p>
    <w:p>
      <w:pPr>
        <w:ind w:left="700"/>
        <w:spacing w:after="0"/>
        <w:tabs>
          <w:tab w:leader="none" w:pos="2080" w:val="left"/>
        </w:tabs>
        <w:rPr>
          <w:sz w:val="20"/>
          <w:szCs w:val="20"/>
          <w:color w:val="auto"/>
        </w:rPr>
      </w:pPr>
      <w:r>
        <w:rPr>
          <w:rFonts w:ascii="Courier New" w:cs="Courier New" w:eastAsia="Courier New" w:hAnsi="Courier New"/>
          <w:sz w:val="15"/>
          <w:szCs w:val="15"/>
          <w:color w:val="auto"/>
        </w:rPr>
        <w:t>SECTION 1202.</w:t>
      </w:r>
      <w:r>
        <w:rPr>
          <w:sz w:val="20"/>
          <w:szCs w:val="20"/>
          <w:color w:val="auto"/>
        </w:rPr>
        <w:tab/>
      </w:r>
      <w:r>
        <w:rPr>
          <w:rFonts w:ascii="Courier New" w:cs="Courier New" w:eastAsia="Courier New" w:hAnsi="Courier New"/>
          <w:sz w:val="14"/>
          <w:szCs w:val="14"/>
          <w:color w:val="auto"/>
        </w:rPr>
        <w:t>Satisfaction of Sinking Fund Payments</w:t>
      </w:r>
    </w:p>
    <w:p>
      <w:pPr>
        <w:jc w:val="right"/>
        <w:ind w:right="4099"/>
        <w:spacing w:after="0" w:line="238" w:lineRule="auto"/>
        <w:tabs>
          <w:tab w:leader="dot" w:pos="160" w:val="left"/>
        </w:tabs>
        <w:rPr>
          <w:sz w:val="20"/>
          <w:szCs w:val="20"/>
          <w:color w:val="auto"/>
        </w:rPr>
      </w:pPr>
      <w:r>
        <w:rPr>
          <w:rFonts w:ascii="Courier New" w:cs="Courier New" w:eastAsia="Courier New" w:hAnsi="Courier New"/>
          <w:sz w:val="15"/>
          <w:szCs w:val="15"/>
          <w:color w:val="auto"/>
        </w:rPr>
        <w:t>with Securities</w:t>
      </w:r>
      <w:r>
        <w:rPr>
          <w:sz w:val="20"/>
          <w:szCs w:val="20"/>
          <w:color w:val="auto"/>
        </w:rPr>
        <w:tab/>
      </w:r>
      <w:r>
        <w:rPr>
          <w:rFonts w:ascii="Courier New" w:cs="Courier New" w:eastAsia="Courier New" w:hAnsi="Courier New"/>
          <w:sz w:val="15"/>
          <w:szCs w:val="15"/>
          <w:color w:val="auto"/>
        </w:rPr>
        <w:t>74</w:t>
      </w:r>
    </w:p>
    <w:p>
      <w:pPr>
        <w:ind w:left="700"/>
        <w:spacing w:after="0"/>
        <w:tabs>
          <w:tab w:leader="none" w:pos="2080" w:val="left"/>
        </w:tabs>
        <w:rPr>
          <w:sz w:val="20"/>
          <w:szCs w:val="20"/>
          <w:color w:val="auto"/>
        </w:rPr>
      </w:pPr>
      <w:r>
        <w:rPr>
          <w:rFonts w:ascii="Courier New" w:cs="Courier New" w:eastAsia="Courier New" w:hAnsi="Courier New"/>
          <w:sz w:val="15"/>
          <w:szCs w:val="15"/>
          <w:color w:val="auto"/>
        </w:rPr>
        <w:t>SECTION 1203.</w:t>
      </w:r>
      <w:r>
        <w:rPr>
          <w:sz w:val="20"/>
          <w:szCs w:val="20"/>
          <w:color w:val="auto"/>
        </w:rPr>
        <w:tab/>
      </w:r>
      <w:r>
        <w:rPr>
          <w:rFonts w:ascii="Courier New" w:cs="Courier New" w:eastAsia="Courier New" w:hAnsi="Courier New"/>
          <w:sz w:val="14"/>
          <w:szCs w:val="14"/>
          <w:color w:val="auto"/>
        </w:rPr>
        <w:t>Redemption of Securities for Sinking</w:t>
      </w:r>
    </w:p>
    <w:p>
      <w:pPr>
        <w:jc w:val="right"/>
        <w:ind w:right="4099"/>
        <w:spacing w:after="0" w:line="238" w:lineRule="auto"/>
        <w:tabs>
          <w:tab w:leader="dot" w:pos="160" w:val="left"/>
        </w:tabs>
        <w:rPr>
          <w:sz w:val="20"/>
          <w:szCs w:val="20"/>
          <w:color w:val="auto"/>
        </w:rPr>
      </w:pPr>
      <w:r>
        <w:rPr>
          <w:rFonts w:ascii="Courier New" w:cs="Courier New" w:eastAsia="Courier New" w:hAnsi="Courier New"/>
          <w:sz w:val="15"/>
          <w:szCs w:val="15"/>
          <w:color w:val="auto"/>
        </w:rPr>
        <w:t>Fund</w:t>
      </w:r>
      <w:r>
        <w:rPr>
          <w:sz w:val="20"/>
          <w:szCs w:val="20"/>
          <w:color w:val="auto"/>
        </w:rPr>
        <w:tab/>
      </w:r>
      <w:r>
        <w:rPr>
          <w:rFonts w:ascii="Courier New" w:cs="Courier New" w:eastAsia="Courier New" w:hAnsi="Courier New"/>
          <w:sz w:val="15"/>
          <w:szCs w:val="15"/>
          <w:color w:val="auto"/>
        </w:rPr>
        <w:t>74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THIRTEEN</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REPAYMENT AT THE OPTION OF HOLDERS</w:t>
      </w:r>
    </w:p>
    <w:p>
      <w:pPr>
        <w:spacing w:after="0" w:line="166" w:lineRule="exact"/>
        <w:rPr>
          <w:sz w:val="20"/>
          <w:szCs w:val="20"/>
          <w:color w:val="auto"/>
        </w:rPr>
      </w:pPr>
    </w:p>
    <w:p>
      <w:pPr>
        <w:jc w:val="right"/>
        <w:ind w:right="4099"/>
        <w:spacing w:after="0"/>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1301.</w:t>
        <w:tab/>
        <w:t>Applicability of Article</w:t>
      </w:r>
      <w:r>
        <w:rPr>
          <w:sz w:val="20"/>
          <w:szCs w:val="20"/>
          <w:color w:val="auto"/>
        </w:rPr>
        <w:tab/>
      </w:r>
      <w:r>
        <w:rPr>
          <w:rFonts w:ascii="Courier New" w:cs="Courier New" w:eastAsia="Courier New" w:hAnsi="Courier New"/>
          <w:sz w:val="15"/>
          <w:szCs w:val="15"/>
          <w:color w:val="auto"/>
        </w:rPr>
        <w:t>75</w:t>
      </w:r>
    </w:p>
    <w:p>
      <w:pPr>
        <w:jc w:val="right"/>
        <w:ind w:right="4099"/>
        <w:spacing w:after="0" w:line="237"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1302.</w:t>
        <w:tab/>
        <w:t>Repayment of Securities</w:t>
      </w:r>
      <w:r>
        <w:rPr>
          <w:sz w:val="20"/>
          <w:szCs w:val="20"/>
          <w:color w:val="auto"/>
        </w:rPr>
        <w:tab/>
      </w:r>
      <w:r>
        <w:rPr>
          <w:rFonts w:ascii="Courier New" w:cs="Courier New" w:eastAsia="Courier New" w:hAnsi="Courier New"/>
          <w:sz w:val="15"/>
          <w:szCs w:val="15"/>
          <w:color w:val="auto"/>
        </w:rPr>
        <w:t>75</w:t>
      </w:r>
    </w:p>
    <w:p>
      <w:pPr>
        <w:jc w:val="right"/>
        <w:ind w:right="4099"/>
        <w:spacing w:after="0" w:line="238"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1303.</w:t>
        <w:tab/>
        <w:t>Exercise of Option</w:t>
      </w:r>
      <w:r>
        <w:rPr>
          <w:sz w:val="20"/>
          <w:szCs w:val="20"/>
          <w:color w:val="auto"/>
        </w:rPr>
        <w:tab/>
      </w:r>
      <w:r>
        <w:rPr>
          <w:rFonts w:ascii="Courier New" w:cs="Courier New" w:eastAsia="Courier New" w:hAnsi="Courier New"/>
          <w:sz w:val="15"/>
          <w:szCs w:val="15"/>
          <w:color w:val="auto"/>
        </w:rPr>
        <w:t>76</w:t>
      </w:r>
    </w:p>
    <w:p>
      <w:pPr>
        <w:ind w:left="700"/>
        <w:spacing w:after="0"/>
        <w:tabs>
          <w:tab w:leader="none" w:pos="2080" w:val="left"/>
        </w:tabs>
        <w:rPr>
          <w:sz w:val="20"/>
          <w:szCs w:val="20"/>
          <w:color w:val="auto"/>
        </w:rPr>
      </w:pPr>
      <w:r>
        <w:rPr>
          <w:rFonts w:ascii="Courier New" w:cs="Courier New" w:eastAsia="Courier New" w:hAnsi="Courier New"/>
          <w:sz w:val="15"/>
          <w:szCs w:val="15"/>
          <w:color w:val="auto"/>
        </w:rPr>
        <w:t>SECTION 1304.</w:t>
      </w:r>
      <w:r>
        <w:rPr>
          <w:sz w:val="20"/>
          <w:szCs w:val="20"/>
          <w:color w:val="auto"/>
        </w:rPr>
        <w:tab/>
      </w:r>
      <w:r>
        <w:rPr>
          <w:rFonts w:ascii="Courier New" w:cs="Courier New" w:eastAsia="Courier New" w:hAnsi="Courier New"/>
          <w:sz w:val="14"/>
          <w:szCs w:val="14"/>
          <w:color w:val="auto"/>
        </w:rPr>
        <w:t>When Securities Presented for Repayment</w:t>
      </w:r>
    </w:p>
    <w:p>
      <w:pPr>
        <w:jc w:val="right"/>
        <w:ind w:right="4099"/>
        <w:spacing w:after="0" w:line="238" w:lineRule="auto"/>
        <w:tabs>
          <w:tab w:leader="dot" w:pos="160" w:val="left"/>
        </w:tabs>
        <w:rPr>
          <w:sz w:val="20"/>
          <w:szCs w:val="20"/>
          <w:color w:val="auto"/>
        </w:rPr>
      </w:pPr>
      <w:r>
        <w:rPr>
          <w:rFonts w:ascii="Courier New" w:cs="Courier New" w:eastAsia="Courier New" w:hAnsi="Courier New"/>
          <w:sz w:val="15"/>
          <w:szCs w:val="15"/>
          <w:color w:val="auto"/>
        </w:rPr>
        <w:t>Become Due and Payable</w:t>
      </w:r>
      <w:r>
        <w:rPr>
          <w:sz w:val="20"/>
          <w:szCs w:val="20"/>
          <w:color w:val="auto"/>
        </w:rPr>
        <w:tab/>
      </w:r>
      <w:r>
        <w:rPr>
          <w:rFonts w:ascii="Courier New" w:cs="Courier New" w:eastAsia="Courier New" w:hAnsi="Courier New"/>
          <w:sz w:val="15"/>
          <w:szCs w:val="15"/>
          <w:color w:val="auto"/>
        </w:rPr>
        <w:t>76</w:t>
      </w:r>
    </w:p>
    <w:p>
      <w:pPr>
        <w:jc w:val="right"/>
        <w:ind w:right="4099"/>
        <w:spacing w:after="0" w:line="237"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1305.</w:t>
        <w:tab/>
        <w:t>Securities Repaid in Part</w:t>
      </w:r>
      <w:r>
        <w:rPr>
          <w:sz w:val="20"/>
          <w:szCs w:val="20"/>
          <w:color w:val="auto"/>
        </w:rPr>
        <w:tab/>
      </w:r>
      <w:r>
        <w:rPr>
          <w:rFonts w:ascii="Courier New" w:cs="Courier New" w:eastAsia="Courier New" w:hAnsi="Courier New"/>
          <w:sz w:val="15"/>
          <w:szCs w:val="15"/>
          <w:color w:val="auto"/>
        </w:rPr>
        <w:t>78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FOURTEEN</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DEFEASANCE AND COVENANT DEFEASANCE</w:t>
      </w:r>
    </w:p>
    <w:p>
      <w:pPr>
        <w:spacing w:after="0" w:line="166" w:lineRule="exact"/>
        <w:rPr>
          <w:sz w:val="20"/>
          <w:szCs w:val="20"/>
          <w:color w:val="auto"/>
        </w:rPr>
      </w:pPr>
    </w:p>
    <w:p>
      <w:pPr>
        <w:ind w:left="700"/>
        <w:spacing w:after="0"/>
        <w:tabs>
          <w:tab w:leader="none" w:pos="2080" w:val="left"/>
        </w:tabs>
        <w:rPr>
          <w:sz w:val="20"/>
          <w:szCs w:val="20"/>
          <w:color w:val="auto"/>
        </w:rPr>
      </w:pPr>
      <w:r>
        <w:rPr>
          <w:rFonts w:ascii="Courier New" w:cs="Courier New" w:eastAsia="Courier New" w:hAnsi="Courier New"/>
          <w:sz w:val="15"/>
          <w:szCs w:val="15"/>
          <w:color w:val="auto"/>
        </w:rPr>
        <w:t>SECTION 1401.</w:t>
      </w:r>
      <w:r>
        <w:rPr>
          <w:sz w:val="20"/>
          <w:szCs w:val="20"/>
          <w:color w:val="auto"/>
        </w:rPr>
        <w:tab/>
      </w:r>
      <w:r>
        <w:rPr>
          <w:rFonts w:ascii="Courier New" w:cs="Courier New" w:eastAsia="Courier New" w:hAnsi="Courier New"/>
          <w:sz w:val="14"/>
          <w:szCs w:val="14"/>
          <w:color w:val="auto"/>
        </w:rPr>
        <w:t>Applicability of Article; Company's</w:t>
      </w:r>
    </w:p>
    <w:p>
      <w:pPr>
        <w:ind w:left="2100"/>
        <w:spacing w:after="0" w:line="237" w:lineRule="auto"/>
        <w:rPr>
          <w:sz w:val="20"/>
          <w:szCs w:val="20"/>
          <w:color w:val="auto"/>
        </w:rPr>
      </w:pPr>
      <w:r>
        <w:rPr>
          <w:rFonts w:ascii="Courier New" w:cs="Courier New" w:eastAsia="Courier New" w:hAnsi="Courier New"/>
          <w:sz w:val="15"/>
          <w:szCs w:val="15"/>
          <w:color w:val="auto"/>
        </w:rPr>
        <w:t>Option to Effect Defeasance or Covenant</w:t>
      </w:r>
    </w:p>
    <w:p>
      <w:pPr>
        <w:jc w:val="right"/>
        <w:ind w:right="4099"/>
        <w:spacing w:after="0" w:line="238" w:lineRule="auto"/>
        <w:tabs>
          <w:tab w:leader="dot" w:pos="160" w:val="left"/>
        </w:tabs>
        <w:rPr>
          <w:sz w:val="20"/>
          <w:szCs w:val="20"/>
          <w:color w:val="auto"/>
        </w:rPr>
      </w:pPr>
      <w:r>
        <w:rPr>
          <w:rFonts w:ascii="Courier New" w:cs="Courier New" w:eastAsia="Courier New" w:hAnsi="Courier New"/>
          <w:sz w:val="15"/>
          <w:szCs w:val="15"/>
          <w:color w:val="auto"/>
        </w:rPr>
        <w:t>Defeasance</w:t>
      </w:r>
      <w:r>
        <w:rPr>
          <w:sz w:val="20"/>
          <w:szCs w:val="20"/>
          <w:color w:val="auto"/>
        </w:rPr>
        <w:tab/>
      </w:r>
      <w:r>
        <w:rPr>
          <w:rFonts w:ascii="Courier New" w:cs="Courier New" w:eastAsia="Courier New" w:hAnsi="Courier New"/>
          <w:sz w:val="15"/>
          <w:szCs w:val="15"/>
          <w:color w:val="auto"/>
        </w:rPr>
        <w:t>78</w:t>
      </w:r>
    </w:p>
    <w:p>
      <w:pPr>
        <w:jc w:val="right"/>
        <w:ind w:right="4099"/>
        <w:spacing w:after="0" w:line="237"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1402.</w:t>
        <w:tab/>
        <w:t>Defeasance and Discharge</w:t>
      </w:r>
      <w:r>
        <w:rPr>
          <w:sz w:val="20"/>
          <w:szCs w:val="20"/>
          <w:color w:val="auto"/>
        </w:rPr>
        <w:tab/>
      </w:r>
      <w:r>
        <w:rPr>
          <w:rFonts w:ascii="Courier New" w:cs="Courier New" w:eastAsia="Courier New" w:hAnsi="Courier New"/>
          <w:sz w:val="15"/>
          <w:szCs w:val="15"/>
          <w:color w:val="auto"/>
        </w:rPr>
        <w:t>78</w:t>
      </w:r>
    </w:p>
    <w:p>
      <w:pPr>
        <w:jc w:val="right"/>
        <w:ind w:right="4099"/>
        <w:spacing w:after="0" w:line="238" w:lineRule="auto"/>
        <w:tabs>
          <w:tab w:leader="none" w:pos="4020" w:val="left"/>
          <w:tab w:leader="dot" w:pos="160" w:val="left"/>
        </w:tabs>
        <w:rPr>
          <w:sz w:val="20"/>
          <w:szCs w:val="20"/>
          <w:color w:val="auto"/>
        </w:rPr>
      </w:pPr>
      <w:r>
        <w:rPr>
          <w:rFonts w:ascii="Courier New" w:cs="Courier New" w:eastAsia="Courier New" w:hAnsi="Courier New"/>
          <w:sz w:val="15"/>
          <w:szCs w:val="15"/>
          <w:color w:val="auto"/>
        </w:rPr>
        <w:t>SECTION 1403.</w:t>
        <w:tab/>
        <w:t>Covenant Defeasance</w:t>
      </w:r>
      <w:r>
        <w:rPr>
          <w:sz w:val="20"/>
          <w:szCs w:val="20"/>
          <w:color w:val="auto"/>
        </w:rPr>
        <w:tab/>
      </w:r>
      <w:r>
        <w:rPr>
          <w:rFonts w:ascii="Courier New" w:cs="Courier New" w:eastAsia="Courier New" w:hAnsi="Courier New"/>
          <w:sz w:val="15"/>
          <w:szCs w:val="15"/>
          <w:color w:val="auto"/>
        </w:rPr>
        <w:t>79</w:t>
      </w:r>
    </w:p>
    <w:p>
      <w:pPr>
        <w:ind w:left="700"/>
        <w:spacing w:after="0"/>
        <w:tabs>
          <w:tab w:leader="none" w:pos="2080" w:val="left"/>
        </w:tabs>
        <w:rPr>
          <w:sz w:val="20"/>
          <w:szCs w:val="20"/>
          <w:color w:val="auto"/>
        </w:rPr>
      </w:pPr>
      <w:r>
        <w:rPr>
          <w:rFonts w:ascii="Courier New" w:cs="Courier New" w:eastAsia="Courier New" w:hAnsi="Courier New"/>
          <w:sz w:val="15"/>
          <w:szCs w:val="15"/>
          <w:color w:val="auto"/>
        </w:rPr>
        <w:t>SECTION 1404.</w:t>
      </w:r>
      <w:r>
        <w:rPr>
          <w:sz w:val="20"/>
          <w:szCs w:val="20"/>
          <w:color w:val="auto"/>
        </w:rPr>
        <w:tab/>
      </w:r>
      <w:r>
        <w:rPr>
          <w:rFonts w:ascii="Courier New" w:cs="Courier New" w:eastAsia="Courier New" w:hAnsi="Courier New"/>
          <w:sz w:val="14"/>
          <w:szCs w:val="14"/>
          <w:color w:val="auto"/>
        </w:rPr>
        <w:t>Conditions to Defeasance or Covenant</w:t>
      </w:r>
    </w:p>
    <w:p>
      <w:pPr>
        <w:jc w:val="right"/>
        <w:ind w:right="4099"/>
        <w:spacing w:after="0" w:line="238" w:lineRule="auto"/>
        <w:tabs>
          <w:tab w:leader="dot" w:pos="160" w:val="left"/>
        </w:tabs>
        <w:rPr>
          <w:sz w:val="20"/>
          <w:szCs w:val="20"/>
          <w:color w:val="auto"/>
        </w:rPr>
      </w:pPr>
      <w:r>
        <w:rPr>
          <w:rFonts w:ascii="Courier New" w:cs="Courier New" w:eastAsia="Courier New" w:hAnsi="Courier New"/>
          <w:sz w:val="15"/>
          <w:szCs w:val="15"/>
          <w:color w:val="auto"/>
        </w:rPr>
        <w:t>Defeasance</w:t>
      </w:r>
      <w:r>
        <w:rPr>
          <w:sz w:val="20"/>
          <w:szCs w:val="20"/>
          <w:color w:val="auto"/>
        </w:rPr>
        <w:tab/>
      </w:r>
      <w:r>
        <w:rPr>
          <w:rFonts w:ascii="Courier New" w:cs="Courier New" w:eastAsia="Courier New" w:hAnsi="Courier New"/>
          <w:sz w:val="15"/>
          <w:szCs w:val="15"/>
          <w:color w:val="auto"/>
        </w:rPr>
        <w:t>79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39"/>
          </w:cols>
          <w:pgMar w:left="220" w:top="617"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0"/>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1405.</w:t>
            </w:r>
          </w:p>
        </w:tc>
        <w:tc>
          <w:tcPr>
            <w:tcW w:w="3840" w:type="dxa"/>
            <w:vAlign w:val="bottom"/>
          </w:tcPr>
          <w:p>
            <w:pPr>
              <w:ind w:left="120"/>
              <w:spacing w:after="0"/>
              <w:rPr>
                <w:sz w:val="20"/>
                <w:szCs w:val="20"/>
                <w:color w:val="auto"/>
              </w:rPr>
            </w:pPr>
            <w:r>
              <w:rPr>
                <w:rFonts w:ascii="Courier New" w:cs="Courier New" w:eastAsia="Courier New" w:hAnsi="Courier New"/>
                <w:sz w:val="15"/>
                <w:szCs w:val="15"/>
                <w:color w:val="auto"/>
              </w:rPr>
              <w:t>Deposited Money and Government</w:t>
            </w:r>
          </w:p>
        </w:tc>
        <w:tc>
          <w:tcPr>
            <w:tcW w:w="32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Obligations to Be Held in Trust; Other</w:t>
            </w:r>
          </w:p>
        </w:tc>
        <w:tc>
          <w:tcPr>
            <w:tcW w:w="32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Miscellaneous Provisions.................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336"/>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FIFTEEN</w:t>
            </w:r>
          </w:p>
        </w:tc>
        <w:tc>
          <w:tcPr>
            <w:tcW w:w="6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6"/>
        </w:trPr>
        <w:tc>
          <w:tcPr>
            <w:tcW w:w="1360" w:type="dxa"/>
            <w:vAlign w:val="bottom"/>
          </w:tcPr>
          <w:p>
            <w:pPr>
              <w:spacing w:after="0"/>
              <w:rPr>
                <w:sz w:val="24"/>
                <w:szCs w:val="24"/>
                <w:color w:val="auto"/>
              </w:rPr>
            </w:pPr>
          </w:p>
        </w:tc>
        <w:tc>
          <w:tcPr>
            <w:tcW w:w="4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MEETINGS OF HOLDERS OF SECURITIES</w:t>
            </w:r>
          </w:p>
        </w:tc>
        <w:tc>
          <w:tcPr>
            <w:tcW w:w="320" w:type="dxa"/>
            <w:vAlign w:val="bottom"/>
          </w:tcPr>
          <w:p>
            <w:pPr>
              <w:spacing w:after="0"/>
              <w:rPr>
                <w:sz w:val="24"/>
                <w:szCs w:val="24"/>
                <w:color w:val="auto"/>
              </w:rPr>
            </w:pPr>
          </w:p>
        </w:tc>
      </w:tr>
      <w:tr>
        <w:trPr>
          <w:trHeight w:val="336"/>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1501.</w:t>
            </w:r>
          </w:p>
        </w:tc>
        <w:tc>
          <w:tcPr>
            <w:tcW w:w="3840" w:type="dxa"/>
            <w:vAlign w:val="bottom"/>
          </w:tcPr>
          <w:p>
            <w:pPr>
              <w:ind w:left="120"/>
              <w:spacing w:after="0"/>
              <w:rPr>
                <w:sz w:val="20"/>
                <w:szCs w:val="20"/>
                <w:color w:val="auto"/>
              </w:rPr>
            </w:pPr>
            <w:r>
              <w:rPr>
                <w:rFonts w:ascii="Courier New" w:cs="Courier New" w:eastAsia="Courier New" w:hAnsi="Courier New"/>
                <w:sz w:val="15"/>
                <w:szCs w:val="15"/>
                <w:color w:val="auto"/>
              </w:rPr>
              <w:t>Purposes for Which Meetings May Be</w:t>
            </w:r>
          </w:p>
        </w:tc>
        <w:tc>
          <w:tcPr>
            <w:tcW w:w="320" w:type="dxa"/>
            <w:vAlign w:val="bottom"/>
          </w:tcPr>
          <w:p>
            <w:pPr>
              <w:spacing w:after="0"/>
              <w:rPr>
                <w:sz w:val="24"/>
                <w:szCs w:val="24"/>
                <w:color w:val="auto"/>
              </w:rPr>
            </w:pPr>
          </w:p>
        </w:tc>
      </w:tr>
      <w:tr>
        <w:trPr>
          <w:trHeight w:val="168"/>
        </w:trPr>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Called...................................</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1502.</w:t>
            </w:r>
          </w:p>
        </w:tc>
        <w:tc>
          <w:tcPr>
            <w:tcW w:w="3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Call, Notice and Place of Meetings.......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1503.</w:t>
            </w:r>
          </w:p>
        </w:tc>
        <w:tc>
          <w:tcPr>
            <w:tcW w:w="3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Persons Entitled to Vote at Meetings.....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1504.</w:t>
            </w:r>
          </w:p>
        </w:tc>
        <w:tc>
          <w:tcPr>
            <w:tcW w:w="3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Quorum; Action...........................</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1505.</w:t>
            </w:r>
          </w:p>
        </w:tc>
        <w:tc>
          <w:tcPr>
            <w:tcW w:w="3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Determination of Voting Rights; Conduct</w:t>
            </w:r>
          </w:p>
        </w:tc>
        <w:tc>
          <w:tcPr>
            <w:tcW w:w="32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and Adjournment of Meetings..............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1506.</w:t>
            </w:r>
          </w:p>
        </w:tc>
        <w:tc>
          <w:tcPr>
            <w:tcW w:w="3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Counting Votes and Recording Action of</w:t>
            </w:r>
          </w:p>
        </w:tc>
        <w:tc>
          <w:tcPr>
            <w:tcW w:w="32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Meetings.................................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TESTIMONIUM</w:t>
      </w:r>
    </w:p>
    <w:p>
      <w:pPr>
        <w:spacing w:after="0" w:line="237" w:lineRule="auto"/>
        <w:rPr>
          <w:sz w:val="20"/>
          <w:szCs w:val="20"/>
          <w:color w:val="auto"/>
        </w:rPr>
      </w:pPr>
      <w:r>
        <w:rPr>
          <w:rFonts w:ascii="Courier New" w:cs="Courier New" w:eastAsia="Courier New" w:hAnsi="Courier New"/>
          <w:sz w:val="15"/>
          <w:szCs w:val="15"/>
          <w:color w:val="auto"/>
        </w:rPr>
        <w:t>SIGNATURES AND SEALS</w:t>
      </w:r>
    </w:p>
    <w:p>
      <w:pPr>
        <w:spacing w:after="0" w:line="238" w:lineRule="auto"/>
        <w:rPr>
          <w:sz w:val="20"/>
          <w:szCs w:val="20"/>
          <w:color w:val="auto"/>
        </w:rPr>
      </w:pPr>
      <w:r>
        <w:rPr>
          <w:rFonts w:ascii="Courier New" w:cs="Courier New" w:eastAsia="Courier New" w:hAnsi="Courier New"/>
          <w:sz w:val="15"/>
          <w:szCs w:val="15"/>
          <w:color w:val="auto"/>
        </w:rPr>
        <w:t>ACKNOWLEDGMENTS</w:t>
      </w:r>
    </w:p>
    <w:p>
      <w:pPr>
        <w:spacing w:after="0" w:line="237" w:lineRule="auto"/>
        <w:rPr>
          <w:sz w:val="20"/>
          <w:szCs w:val="20"/>
          <w:color w:val="auto"/>
        </w:rPr>
      </w:pPr>
      <w:r>
        <w:rPr>
          <w:rFonts w:ascii="Courier New" w:cs="Courier New" w:eastAsia="Courier New" w:hAnsi="Courier New"/>
          <w:sz w:val="15"/>
          <w:szCs w:val="15"/>
          <w:color w:val="auto"/>
        </w:rPr>
        <w:t>EXHIBIT A - FORMS OF CERTIFICATION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39"/>
          </w:cols>
          <w:pgMar w:left="220" w:top="617" w:right="1440" w:bottom="1440" w:gutter="0" w:footer="0" w:header="0"/>
        </w:sectPr>
      </w:pPr>
    </w:p>
    <w:bookmarkStart w:id="107" w:name="page108"/>
    <w:bookmarkEnd w:id="107"/>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341" w:lineRule="exact"/>
        <w:rPr>
          <w:sz w:val="20"/>
          <w:szCs w:val="20"/>
          <w:color w:val="auto"/>
        </w:rPr>
      </w:pPr>
    </w:p>
    <w:p>
      <w:pPr>
        <w:ind w:right="4279" w:firstLine="875"/>
        <w:spacing w:after="0" w:line="234" w:lineRule="auto"/>
        <w:rPr>
          <w:sz w:val="20"/>
          <w:szCs w:val="20"/>
          <w:color w:val="auto"/>
        </w:rPr>
      </w:pPr>
      <w:r>
        <w:rPr>
          <w:rFonts w:ascii="Courier New" w:cs="Courier New" w:eastAsia="Courier New" w:hAnsi="Courier New"/>
          <w:sz w:val="15"/>
          <w:szCs w:val="15"/>
          <w:color w:val="auto"/>
        </w:rPr>
        <w:t>Reconciliation and tie between Trust Indenture Act of 1939 (the "1939 Act") and Indenture, dated as of September 1, 1998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jc w:val="right"/>
              <w:ind w:right="2027"/>
              <w:spacing w:after="0"/>
              <w:rPr>
                <w:sz w:val="20"/>
                <w:szCs w:val="20"/>
                <w:color w:val="auto"/>
              </w:rPr>
            </w:pPr>
            <w:r>
              <w:rPr>
                <w:rFonts w:ascii="Courier New" w:cs="Courier New" w:eastAsia="Courier New" w:hAnsi="Courier New"/>
                <w:sz w:val="15"/>
                <w:szCs w:val="15"/>
                <w:color w:val="auto"/>
                <w:w w:val="97"/>
              </w:rPr>
              <w:t>Trust Indenture Act Section</w:t>
            </w:r>
          </w:p>
        </w:tc>
        <w:tc>
          <w:tcPr>
            <w:tcW w:w="1920" w:type="dxa"/>
            <w:vAlign w:val="bottom"/>
            <w:gridSpan w:val="2"/>
          </w:tcPr>
          <w:p>
            <w:pPr>
              <w:spacing w:after="0"/>
              <w:rPr>
                <w:sz w:val="20"/>
                <w:szCs w:val="20"/>
                <w:color w:val="auto"/>
              </w:rPr>
            </w:pPr>
            <w:r>
              <w:rPr>
                <w:rFonts w:ascii="Courier New" w:cs="Courier New" w:eastAsia="Courier New" w:hAnsi="Courier New"/>
                <w:sz w:val="15"/>
                <w:szCs w:val="15"/>
                <w:color w:val="auto"/>
              </w:rPr>
              <w:t>Indenture Section</w:t>
            </w:r>
          </w:p>
        </w:tc>
      </w:tr>
      <w:tr>
        <w:trPr>
          <w:trHeight w:val="336"/>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w w:val="97"/>
              </w:rPr>
              <w:t>(s)310(a)(1).......................................</w:t>
            </w:r>
          </w:p>
        </w:tc>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607</w:t>
            </w:r>
          </w:p>
        </w:tc>
        <w:tc>
          <w:tcPr>
            <w:tcW w:w="1320" w:type="dxa"/>
            <w:vAlign w:val="bottom"/>
          </w:tcPr>
          <w:p>
            <w:pPr>
              <w:spacing w:after="0"/>
              <w:rPr>
                <w:sz w:val="24"/>
                <w:szCs w:val="2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(a)(2).......................................</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607</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w:t>
            </w:r>
          </w:p>
        </w:tc>
        <w:tc>
          <w:tcPr>
            <w:tcW w:w="19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607, 608</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(s)312(a)..........................................</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704</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(s)312(c)..........................................</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701</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(s)313(a)..........................................</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702</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702</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(s)314(a)..........................................</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703</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1009</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(c)(1).......................................</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102</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(c)(2).......................................</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102</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102</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(s)315(b)..........................................</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601</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(s)316(a) (last sentence)..........................</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101</w:t>
            </w:r>
          </w:p>
        </w:tc>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("Outstanding")</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(a)(1)(A)....................................</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512</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(a)(1)(B)....................................</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513</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508</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(s)317(a)(1).......................................</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503</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(a)(2).......................................</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504</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(s)318(a)..........................................</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111</w:t>
            </w:r>
          </w:p>
        </w:tc>
        <w:tc>
          <w:tcPr>
            <w:tcW w:w="13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111</w:t>
            </w:r>
          </w:p>
        </w:tc>
        <w:tc>
          <w:tcPr>
            <w:tcW w:w="132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w:t>
      </w:r>
    </w:p>
    <w:p>
      <w:pPr>
        <w:spacing w:after="0" w:line="5" w:lineRule="exact"/>
        <w:rPr>
          <w:sz w:val="20"/>
          <w:szCs w:val="20"/>
          <w:color w:val="auto"/>
        </w:rPr>
      </w:pPr>
    </w:p>
    <w:p>
      <w:pPr>
        <w:ind w:left="700" w:right="4459"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NOTE:</w:t>
        <w:tab/>
        <w:t>This reconciliation and tie shall not, for any purpose, be deemed to be a part of the Indenture.</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Attention should also be directed to Section 318 (c) of the 1939 Act, which provides that the provisions of Sections 310 to and including 317 of the 1939 Act are a part of and govern every qualified indenture, whether or not physically contained therein.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0239"/>
          </w:cols>
          <w:pgMar w:left="220" w:top="617" w:right="1440" w:bottom="1440" w:gutter="0" w:footer="0" w:header="0"/>
        </w:sectPr>
      </w:pPr>
    </w:p>
    <w:bookmarkStart w:id="108" w:name="page109"/>
    <w:bookmarkEnd w:id="108"/>
    <w:p>
      <w:pPr>
        <w:ind w:right="3239" w:firstLine="1399"/>
        <w:spacing w:after="0" w:line="255" w:lineRule="auto"/>
        <w:rPr>
          <w:sz w:val="20"/>
          <w:szCs w:val="20"/>
          <w:color w:val="auto"/>
        </w:rPr>
      </w:pPr>
      <w:r>
        <w:rPr>
          <w:rFonts w:ascii="Courier New" w:cs="Courier New" w:eastAsia="Courier New" w:hAnsi="Courier New"/>
          <w:sz w:val="14"/>
          <w:szCs w:val="14"/>
          <w:color w:val="auto"/>
        </w:rPr>
        <w:t>INDENTURE, dated as of September 1, 1998, between FEDERAL REALTY INVESTMENT TRUST, a business trust organized under the laws of the District of Columbia (hereinafter called the "Company"), having its principal office at 1626 East Jefferson Street, Rockville, Maryland 20852 and First Union National Bank, as Trustee hereunder (hereinafter called the "Trustee"), having its Corporate Trust Office at 230 S. Tryon Street, Charlotte, North Carolina 28288-1179.</w:t>
      </w:r>
    </w:p>
    <w:p>
      <w:pPr>
        <w:spacing w:after="0" w:line="16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RECITALS OF THE COMPANY</w:t>
      </w:r>
    </w:p>
    <w:p>
      <w:pPr>
        <w:spacing w:after="0" w:line="173" w:lineRule="exact"/>
        <w:rPr>
          <w:sz w:val="20"/>
          <w:szCs w:val="20"/>
          <w:color w:val="auto"/>
        </w:rPr>
      </w:pPr>
    </w:p>
    <w:p>
      <w:pPr>
        <w:ind w:right="3239" w:firstLine="1399"/>
        <w:spacing w:after="0" w:line="255" w:lineRule="auto"/>
        <w:rPr>
          <w:sz w:val="20"/>
          <w:szCs w:val="20"/>
          <w:color w:val="auto"/>
        </w:rPr>
      </w:pPr>
      <w:r>
        <w:rPr>
          <w:rFonts w:ascii="Courier New" w:cs="Courier New" w:eastAsia="Courier New" w:hAnsi="Courier New"/>
          <w:sz w:val="14"/>
          <w:szCs w:val="14"/>
          <w:color w:val="auto"/>
        </w:rPr>
        <w:t>The Company deems it necessary to issue from time to time for its lawful purposes senior debt securities (hereinafter called the "Securities") evidencing its unsecured and unsubordinated indebtedness, and has duly authorized the execution and delivery of this Indenture to provide for the issuance from time to time of the Securities, unlimited as to primcipal amount, to bear interest at the rates or formulas, to mature at such times and to have such other provisions as shall be fixed as hereinafter provided.</w:t>
      </w:r>
    </w:p>
    <w:p>
      <w:pPr>
        <w:spacing w:after="0" w:line="166" w:lineRule="exact"/>
        <w:rPr>
          <w:sz w:val="20"/>
          <w:szCs w:val="20"/>
          <w:color w:val="auto"/>
        </w:rPr>
      </w:pPr>
    </w:p>
    <w:p>
      <w:pPr>
        <w:ind w:right="3579" w:firstLine="1399"/>
        <w:spacing w:after="0" w:line="235" w:lineRule="auto"/>
        <w:rPr>
          <w:sz w:val="20"/>
          <w:szCs w:val="20"/>
          <w:color w:val="auto"/>
        </w:rPr>
      </w:pPr>
      <w:r>
        <w:rPr>
          <w:rFonts w:ascii="Courier New" w:cs="Courier New" w:eastAsia="Courier New" w:hAnsi="Courier New"/>
          <w:sz w:val="15"/>
          <w:szCs w:val="15"/>
          <w:color w:val="auto"/>
        </w:rPr>
        <w:t>This Indenture is subject to the provisions of the Trust Indenture Act of 1939, as amended ("TIA), that are deemed to be incorporated into this Indenture and shall, to the extent applicable, be governed by such provisions.</w:t>
      </w:r>
    </w:p>
    <w:p>
      <w:pPr>
        <w:spacing w:after="0" w:line="175" w:lineRule="exact"/>
        <w:rPr>
          <w:sz w:val="20"/>
          <w:szCs w:val="20"/>
          <w:color w:val="auto"/>
        </w:rPr>
      </w:pPr>
    </w:p>
    <w:p>
      <w:pPr>
        <w:ind w:right="3239" w:firstLine="1399"/>
        <w:spacing w:after="0" w:line="234" w:lineRule="auto"/>
        <w:rPr>
          <w:sz w:val="20"/>
          <w:szCs w:val="20"/>
          <w:color w:val="auto"/>
        </w:rPr>
      </w:pPr>
      <w:r>
        <w:rPr>
          <w:rFonts w:ascii="Courier New" w:cs="Courier New" w:eastAsia="Courier New" w:hAnsi="Courier New"/>
          <w:sz w:val="15"/>
          <w:szCs w:val="15"/>
          <w:color w:val="auto"/>
        </w:rPr>
        <w:t>All things necessary to make this Indenture a valid agreement of the Company, in accordance with its terms, have been done.</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NOW, THEREFORE, THIS INDENTURE WITNESSETH:</w:t>
      </w:r>
    </w:p>
    <w:p>
      <w:pPr>
        <w:spacing w:after="0" w:line="173" w:lineRule="exact"/>
        <w:rPr>
          <w:sz w:val="20"/>
          <w:szCs w:val="20"/>
          <w:color w:val="auto"/>
        </w:rPr>
      </w:pPr>
    </w:p>
    <w:p>
      <w:pPr>
        <w:ind w:right="3239" w:firstLine="1399"/>
        <w:spacing w:after="0" w:line="235" w:lineRule="auto"/>
        <w:rPr>
          <w:sz w:val="20"/>
          <w:szCs w:val="20"/>
          <w:color w:val="auto"/>
        </w:rPr>
      </w:pPr>
      <w:r>
        <w:rPr>
          <w:rFonts w:ascii="Courier New" w:cs="Courier New" w:eastAsia="Courier New" w:hAnsi="Courier New"/>
          <w:sz w:val="15"/>
          <w:szCs w:val="15"/>
          <w:color w:val="auto"/>
        </w:rPr>
        <w:t>For and in consideration of the premises and the purchase of the Securities by the holders thereof ("Holders"), it is mutually covenanted and agreed, for the equal and proportionate benefit of all Holders of the Securities, as follows:</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ONE</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DEFINITIONS AND OTHER PROVISIONS OF GENERAL APPLICATION</w:t>
      </w:r>
    </w:p>
    <w:p>
      <w:pPr>
        <w:spacing w:after="0" w:line="173"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SECTION 101. Definitions. For all purposes of this Indenture, except as otherwise expressly provided or unless the context otherwise requires:</w:t>
      </w:r>
    </w:p>
    <w:p>
      <w:pPr>
        <w:spacing w:after="0" w:line="173" w:lineRule="exact"/>
        <w:rPr>
          <w:sz w:val="20"/>
          <w:szCs w:val="20"/>
          <w:color w:val="auto"/>
        </w:rPr>
      </w:pPr>
    </w:p>
    <w:p>
      <w:pPr>
        <w:ind w:right="3939" w:firstLine="1409"/>
        <w:spacing w:after="0" w:line="235" w:lineRule="auto"/>
        <w:tabs>
          <w:tab w:leader="none" w:pos="183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defined in this Article have the meanings assigned to them in this Article, and include the plural as well as the singular;</w:t>
      </w:r>
    </w:p>
    <w:p>
      <w:pPr>
        <w:spacing w:after="0" w:line="173" w:lineRule="exact"/>
        <w:rPr>
          <w:rFonts w:ascii="Courier New" w:cs="Courier New" w:eastAsia="Courier New" w:hAnsi="Courier New"/>
          <w:sz w:val="15"/>
          <w:szCs w:val="15"/>
          <w:color w:val="auto"/>
        </w:rPr>
      </w:pPr>
    </w:p>
    <w:p>
      <w:pPr>
        <w:ind w:right="3499" w:firstLine="709"/>
        <w:spacing w:after="0" w:line="234" w:lineRule="auto"/>
        <w:tabs>
          <w:tab w:leader="none" w:pos="113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terms used herein which are defined in the TIA, either directly or by reference therein, have the meanings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23" w:right="1440" w:bottom="1440" w:gutter="0" w:footer="0" w:header="0"/>
        </w:sectPr>
      </w:pPr>
    </w:p>
    <w:bookmarkStart w:id="109" w:name="page110"/>
    <w:bookmarkEnd w:id="109"/>
    <w:p>
      <w:pPr>
        <w:ind w:left="440" w:right="3579"/>
        <w:spacing w:after="0" w:line="258" w:lineRule="auto"/>
        <w:rPr>
          <w:sz w:val="20"/>
          <w:szCs w:val="20"/>
          <w:color w:val="auto"/>
        </w:rPr>
      </w:pPr>
      <w:r>
        <w:rPr>
          <w:rFonts w:ascii="Courier New" w:cs="Courier New" w:eastAsia="Courier New" w:hAnsi="Courier New"/>
          <w:sz w:val="14"/>
          <w:szCs w:val="14"/>
          <w:color w:val="auto"/>
        </w:rPr>
        <w:t>assigned to them therein, and the terms "cash transaction" and "self-liquidating paper", as used in TIA Section 311, shall have the meanings assigned to them in the rules of the Commission adopted under the TIA;</w:t>
      </w:r>
    </w:p>
    <w:p>
      <w:pPr>
        <w:spacing w:after="0" w:line="161" w:lineRule="exact"/>
        <w:rPr>
          <w:sz w:val="20"/>
          <w:szCs w:val="20"/>
          <w:color w:val="auto"/>
        </w:rPr>
      </w:pPr>
    </w:p>
    <w:p>
      <w:pPr>
        <w:ind w:left="440" w:right="3939" w:firstLine="444"/>
        <w:spacing w:after="0" w:line="234" w:lineRule="auto"/>
        <w:tabs>
          <w:tab w:leader="none" w:pos="122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accounting terms not otherwise defined herein have the meanings assigned to them in accordance with GAAP; and</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and "hereunder" and other words of similar import refer to this Indenture as a whole and not to any particular Article, Section or other subdivision.</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"Act", when used with respect to any Holder, has the meaning specified</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in Section 104.</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"Additional Amounts" means any additional amounts which are required</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by a Security or by or pursuant to a Board Resolution, under circumstances specified therein, to be paid by the Company in respect of certain taxes imposed on certain Holders and which are owing to such Holders.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"Affiliate" of any specified Person means any other Person directly or</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"Authenticating Agent" means any authenticating agent appointed by the</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Trustee pursuant to Section 611.</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"Authorized Newspaper" means a newspaper, printed in the English</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"Bankruptcy Law" has the meaning specified in Section 501.</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"Bearer Security" means any Security established pursuant to Section</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201 which is payable to bearer.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110" w:name="page111"/>
    <w:bookmarkEnd w:id="110"/>
    <w:p>
      <w:pPr>
        <w:ind w:left="880"/>
        <w:spacing w:after="0"/>
        <w:rPr>
          <w:sz w:val="20"/>
          <w:szCs w:val="20"/>
          <w:color w:val="auto"/>
        </w:rPr>
      </w:pPr>
      <w:r>
        <w:rPr>
          <w:rFonts w:ascii="Courier New" w:cs="Courier New" w:eastAsia="Courier New" w:hAnsi="Courier New"/>
          <w:sz w:val="15"/>
          <w:szCs w:val="15"/>
          <w:color w:val="auto"/>
        </w:rPr>
        <w:t>"Board of Trustees" means the board of trustees of the Company, the</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executive committee or any committee of that board duly authorized to act hereunder.</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"Board Resolution" means a copy of a resolution certified by the</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Secretary or an Assistant Secretary of the Company to have been duly adopted by the Board of Trustees and to be in full force and effect on the date of such certification, and delivered to the Trustee.</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"Business Day", when used with respect to any Place of Payment or any</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other particular location referred to in this Indenture or in the Securities, means, unless otherwise specified with respect to any Securities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6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"CEDEL" means Centrale de Livraison de Valeurs Mobilieres, S.A., or</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its successor.</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"Commission" means the Securities and Exchange Commission, as from</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time to time constituted, created under the Securities Exchange Act of 1934, or, if at any time after execution of this instrument such Commission is not existing and performing the duties now assigned to it under the Trust Indenture Act, then the body performing such duties on such date.</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"Common Shares" means, with respect to any Person, capital stock</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issued by such Person other than Preferred Stock.</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"Company" means the Person named as the "Company" in the first</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paragraph of this Indenture until a successor corporation shall have become such pursuant to the applicable provisions of this Indenture, and thereafter "Company" shall mean such successor corporation.</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"Company Request" and "Company Order" mean, respectively, a written</w:t>
      </w:r>
    </w:p>
    <w:p>
      <w:pPr>
        <w:ind w:left="980"/>
        <w:spacing w:after="0" w:line="237" w:lineRule="auto"/>
        <w:tabs>
          <w:tab w:leader="none" w:pos="2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request or order signed in the name of the Company by one trustee and one executive officer of the Company, and delivered to the Trustee.</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"Conversion Event" means the cessation of use of (i) a Foreign</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111" w:name="page112"/>
    <w:bookmarkEnd w:id="111"/>
    <w:p>
      <w:pPr>
        <w:ind w:right="3239" w:firstLine="700"/>
        <w:spacing w:after="0" w:line="235" w:lineRule="auto"/>
        <w:rPr>
          <w:sz w:val="20"/>
          <w:szCs w:val="20"/>
          <w:color w:val="auto"/>
        </w:rPr>
      </w:pPr>
      <w:r>
        <w:rPr>
          <w:rFonts w:ascii="Courier New" w:cs="Courier New" w:eastAsia="Courier New" w:hAnsi="Courier New"/>
          <w:sz w:val="15"/>
          <w:szCs w:val="15"/>
          <w:color w:val="auto"/>
        </w:rPr>
        <w:t>"Corporate Trust Office" means the office of the Trustee at which, at any particular time, its corporate trust business shall be principally administered, which office at the date hereof is located at 230 S. Tryon Street, Charlotte, North Carolina 28288-1179.</w:t>
      </w:r>
    </w:p>
    <w:p>
      <w:pPr>
        <w:spacing w:after="0" w:line="175" w:lineRule="exact"/>
        <w:rPr>
          <w:sz w:val="20"/>
          <w:szCs w:val="20"/>
          <w:color w:val="auto"/>
        </w:rPr>
      </w:pPr>
    </w:p>
    <w:p>
      <w:pPr>
        <w:ind w:right="3939" w:firstLine="700"/>
        <w:spacing w:after="0" w:line="234" w:lineRule="auto"/>
        <w:rPr>
          <w:sz w:val="20"/>
          <w:szCs w:val="20"/>
          <w:color w:val="auto"/>
        </w:rPr>
      </w:pPr>
      <w:r>
        <w:rPr>
          <w:rFonts w:ascii="Courier New" w:cs="Courier New" w:eastAsia="Courier New" w:hAnsi="Courier New"/>
          <w:sz w:val="15"/>
          <w:szCs w:val="15"/>
          <w:color w:val="auto"/>
        </w:rPr>
        <w:t>"corporation" includes corporations, associations, partnerships, companies and business trusts.</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"coupon" means any interest coupon appertaining to a Bearer Security.</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"Custodian" has the meaning specified in Section 501.</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"Defaulted Interest" has the meaning specified in Section 307.</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"Dollar" or "$" means a dollar or other equivalent unit in such coin or currency of the United States of America as at the time shall be legal tender for the payment of public and private debts.</w:t>
      </w:r>
    </w:p>
    <w:p>
      <w:pPr>
        <w:spacing w:after="0" w:line="174"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"ECU" means the European Currency Unit as defined and revised from time to time by the Council of the European Communities.</w:t>
      </w:r>
    </w:p>
    <w:p>
      <w:pPr>
        <w:spacing w:after="0" w:line="173" w:lineRule="exact"/>
        <w:rPr>
          <w:sz w:val="20"/>
          <w:szCs w:val="20"/>
          <w:color w:val="auto"/>
        </w:rPr>
      </w:pPr>
    </w:p>
    <w:p>
      <w:pPr>
        <w:ind w:right="3499" w:firstLine="700"/>
        <w:spacing w:after="0" w:line="234" w:lineRule="auto"/>
        <w:rPr>
          <w:sz w:val="20"/>
          <w:szCs w:val="20"/>
          <w:color w:val="auto"/>
        </w:rPr>
      </w:pPr>
      <w:r>
        <w:rPr>
          <w:rFonts w:ascii="Courier New" w:cs="Courier New" w:eastAsia="Courier New" w:hAnsi="Courier New"/>
          <w:sz w:val="15"/>
          <w:szCs w:val="15"/>
          <w:color w:val="auto"/>
        </w:rPr>
        <w:t>"Euroclear" means Morgan Guaranty Trust Company of New York, Brussels Office, or its successor as operator of the Euroclear System.</w:t>
      </w:r>
    </w:p>
    <w:p>
      <w:pPr>
        <w:spacing w:after="0" w:line="173" w:lineRule="exact"/>
        <w:rPr>
          <w:sz w:val="20"/>
          <w:szCs w:val="20"/>
          <w:color w:val="auto"/>
        </w:rPr>
      </w:pPr>
    </w:p>
    <w:p>
      <w:pPr>
        <w:ind w:right="3679" w:firstLine="700"/>
        <w:spacing w:after="0" w:line="261" w:lineRule="auto"/>
        <w:rPr>
          <w:sz w:val="20"/>
          <w:szCs w:val="20"/>
          <w:color w:val="auto"/>
        </w:rPr>
      </w:pPr>
      <w:r>
        <w:rPr>
          <w:rFonts w:ascii="Courier New" w:cs="Courier New" w:eastAsia="Courier New" w:hAnsi="Courier New"/>
          <w:sz w:val="14"/>
          <w:szCs w:val="14"/>
          <w:color w:val="auto"/>
        </w:rPr>
        <w:t>"European Communities" means the European Economic Community, the European Coal and Steel Community and the European Atomic Energy Community.</w:t>
      </w:r>
    </w:p>
    <w:p>
      <w:pPr>
        <w:spacing w:after="0" w:line="160"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"European Monetary System" means the European Monetary System established by the Resolution of December 5, 1978 of the Council of the European Communities.</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"Event of Default" has the meaning specified in Article Five.</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"Foreign Currency"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175" w:lineRule="exact"/>
        <w:rPr>
          <w:sz w:val="20"/>
          <w:szCs w:val="20"/>
          <w:color w:val="auto"/>
        </w:rPr>
      </w:pPr>
    </w:p>
    <w:p>
      <w:pPr>
        <w:ind w:right="3239" w:firstLine="700"/>
        <w:spacing w:after="0" w:line="261" w:lineRule="auto"/>
        <w:rPr>
          <w:sz w:val="20"/>
          <w:szCs w:val="20"/>
          <w:color w:val="auto"/>
        </w:rPr>
      </w:pPr>
      <w:r>
        <w:rPr>
          <w:rFonts w:ascii="Courier New" w:cs="Courier New" w:eastAsia="Courier New" w:hAnsi="Courier New"/>
          <w:sz w:val="14"/>
          <w:szCs w:val="14"/>
          <w:color w:val="auto"/>
        </w:rPr>
        <w:t>"GAAP" means generally accepted accounting principles, as in effect from time to time, as used in the United States applied on a consistent basis.</w:t>
      </w:r>
    </w:p>
    <w:p>
      <w:pPr>
        <w:spacing w:after="0" w:line="160"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"Government Obligations" means securities which are (i) direct obligations of the United States of America or the government which issued the Foreign Currency in which the Securities of a par-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3" w:right="1440" w:bottom="1440" w:gutter="0" w:footer="0" w:header="0"/>
        </w:sectPr>
      </w:pPr>
    </w:p>
    <w:bookmarkStart w:id="112" w:name="page113"/>
    <w:bookmarkEnd w:id="112"/>
    <w:p>
      <w:pPr>
        <w:ind w:right="3239"/>
        <w:spacing w:after="0" w:line="255" w:lineRule="auto"/>
        <w:rPr>
          <w:sz w:val="20"/>
          <w:szCs w:val="20"/>
          <w:color w:val="auto"/>
        </w:rPr>
      </w:pPr>
      <w:r>
        <w:rPr>
          <w:rFonts w:ascii="Courier New" w:cs="Courier New" w:eastAsia="Courier New" w:hAnsi="Courier New"/>
          <w:sz w:val="14"/>
          <w:szCs w:val="14"/>
          <w:color w:val="auto"/>
        </w:rPr>
        <w:t>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6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"Holder"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75"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"Indenture"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provided, however,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74" w:lineRule="exact"/>
        <w:rPr>
          <w:sz w:val="20"/>
          <w:szCs w:val="20"/>
          <w:color w:val="auto"/>
        </w:rPr>
      </w:pPr>
    </w:p>
    <w:p>
      <w:pPr>
        <w:jc w:val="both"/>
        <w:ind w:right="3239" w:firstLine="700"/>
        <w:spacing w:after="0" w:line="235" w:lineRule="auto"/>
        <w:rPr>
          <w:sz w:val="20"/>
          <w:szCs w:val="20"/>
          <w:color w:val="auto"/>
        </w:rPr>
      </w:pPr>
      <w:r>
        <w:rPr>
          <w:rFonts w:ascii="Courier New" w:cs="Courier New" w:eastAsia="Courier New" w:hAnsi="Courier New"/>
          <w:sz w:val="15"/>
          <w:szCs w:val="15"/>
          <w:color w:val="auto"/>
        </w:rPr>
        <w:t>"Indexed Security" means a Security the terms of which provide that the principal amount thereof payable at Stated Maturity may be more or less than the principal face amount thereof at original issuance.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13" w:name="page114"/>
    <w:bookmarkEnd w:id="113"/>
    <w:p>
      <w:pPr>
        <w:ind w:left="880"/>
        <w:spacing w:after="0"/>
        <w:rPr>
          <w:sz w:val="20"/>
          <w:szCs w:val="20"/>
          <w:color w:val="auto"/>
        </w:rPr>
      </w:pPr>
      <w:r>
        <w:rPr>
          <w:rFonts w:ascii="Courier New" w:cs="Courier New" w:eastAsia="Courier New" w:hAnsi="Courier New"/>
          <w:sz w:val="15"/>
          <w:szCs w:val="15"/>
          <w:color w:val="auto"/>
        </w:rPr>
        <w:t>"Interest", when used with respect to an Original Issue Discount</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Security which by its terms bears interest only after Maturity, shall mean interest payable after Maturity, and, when used with respect to a Security which provides for the payment of Additional Amounts pursuant to Section 1010, includes such Additional Amounts.</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"Interest Payment Date", when used with respect to any Security, means</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the Stated Maturity of an installment of interest on such Security.</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"Maturity", when used with respect to any Security, means the date on</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which the principal of such Security or an installment of principal becomes due and payable as therein or herein provided, whether at the Stated Maturity or by declaration of acceleration, notice of redemption, notice of option to elect repayment or otherwise.</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"Officers' Certificate" means a certificate signed by a trustee and an</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executive officer of the Company, and delivered to the Trustee.</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"Opinion of Counsel" means a written opinion of counsel, who may be</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counsel for the Company or who may be an employee of or other counsel for the Company and who shall be satisfactory to the Trustee.</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"Original Issue Discount Security" means any Security which provides</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for an amount less than the principal amount thereof to be due and payable upon a declaration of acceleration of the Maturity thereof pursuant to Section 502.</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"Outstanding", when used with respect to Securities, means, as of the</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date of determination, all Securities theretofore authenticated and delivered under this Indenture, except:</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right="3319" w:firstLine="444"/>
        <w:spacing w:after="0" w:line="234" w:lineRule="auto"/>
        <w:tabs>
          <w:tab w:leader="none" w:pos="140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theretofore cancelled by the Trustee or delivered to the Trustee for cancellation;</w:t>
      </w:r>
    </w:p>
    <w:p>
      <w:pPr>
        <w:spacing w:after="0" w:line="173" w:lineRule="exact"/>
        <w:rPr>
          <w:rFonts w:ascii="Courier New" w:cs="Courier New" w:eastAsia="Courier New" w:hAnsi="Courier New"/>
          <w:sz w:val="15"/>
          <w:szCs w:val="15"/>
          <w:color w:val="auto"/>
        </w:rPr>
      </w:pPr>
    </w:p>
    <w:p>
      <w:pPr>
        <w:ind w:left="440" w:right="3239" w:firstLine="444"/>
        <w:spacing w:after="0" w:line="254" w:lineRule="auto"/>
        <w:tabs>
          <w:tab w:leader="none" w:pos="1402"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provided that, if such</w:t>
      </w:r>
    </w:p>
    <w:p>
      <w:pPr>
        <w:ind w:left="474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Securities are to be redeemed, notice of such redemption has been duly given pursuant to this Indenture or provision therefor satisfactory to the Trustee has been made;</w:t>
      </w:r>
    </w:p>
    <w:p>
      <w:pPr>
        <w:spacing w:after="0" w:line="174" w:lineRule="exact"/>
        <w:rPr>
          <w:sz w:val="20"/>
          <w:szCs w:val="20"/>
          <w:color w:val="auto"/>
        </w:rPr>
      </w:pPr>
    </w:p>
    <w:p>
      <w:pPr>
        <w:ind w:left="440" w:right="3399" w:firstLine="444"/>
        <w:spacing w:after="0" w:line="234" w:lineRule="auto"/>
        <w:tabs>
          <w:tab w:leader="none" w:pos="140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except to the extent provided in Sections 1402 and 1403, with respect to which the Company has affected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114" w:name="page115"/>
    <w:bookmarkEnd w:id="114"/>
    <w:p>
      <w:pPr>
        <w:ind w:left="440"/>
        <w:spacing w:after="0"/>
        <w:rPr>
          <w:sz w:val="20"/>
          <w:szCs w:val="20"/>
          <w:color w:val="auto"/>
        </w:rPr>
      </w:pPr>
      <w:r>
        <w:rPr>
          <w:rFonts w:ascii="Courier New" w:cs="Courier New" w:eastAsia="Courier New" w:hAnsi="Courier New"/>
          <w:sz w:val="15"/>
          <w:szCs w:val="15"/>
          <w:color w:val="auto"/>
        </w:rPr>
        <w:t>defeasance and/or covenant defeasance as provided in Article Fourteen;</w:t>
      </w:r>
    </w:p>
    <w:p>
      <w:pPr>
        <w:spacing w:after="0" w:line="173" w:lineRule="exact"/>
        <w:rPr>
          <w:sz w:val="20"/>
          <w:szCs w:val="20"/>
          <w:color w:val="auto"/>
        </w:rPr>
      </w:pPr>
    </w:p>
    <w:p>
      <w:pPr>
        <w:ind w:left="440" w:right="3239" w:firstLine="444"/>
        <w:spacing w:after="0" w:line="255" w:lineRule="auto"/>
        <w:tabs>
          <w:tab w:leader="none" w:pos="131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166" w:lineRule="exact"/>
        <w:rPr>
          <w:rFonts w:ascii="Courier New" w:cs="Courier New" w:eastAsia="Courier New" w:hAnsi="Courier New"/>
          <w:sz w:val="14"/>
          <w:szCs w:val="14"/>
          <w:color w:val="auto"/>
        </w:rPr>
      </w:pPr>
    </w:p>
    <w:p>
      <w:pPr>
        <w:jc w:val="both"/>
        <w:ind w:left="440" w:right="3759" w:firstLine="444"/>
        <w:spacing w:after="0" w:line="258" w:lineRule="auto"/>
        <w:tabs>
          <w:tab w:leader="none" w:pos="131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converted into Common Shares or Preferred Shares pursuant to or in accordance with this Indenture if the terms of such Securities provide for convertibility pursuant to Section 301;</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however, that in determining whether the Holders of the requisite</w:t>
      </w:r>
    </w:p>
    <w:p>
      <w:pPr>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w:t>
      </w:r>
    </w:p>
    <w:p>
      <w:pPr>
        <w:spacing w:after="0" w:line="6" w:lineRule="exact"/>
        <w:rPr>
          <w:sz w:val="20"/>
          <w:szCs w:val="20"/>
          <w:color w:val="auto"/>
        </w:rPr>
      </w:pPr>
    </w:p>
    <w:p>
      <w:pPr>
        <w:ind w:right="3239" w:firstLine="10"/>
        <w:spacing w:after="0" w:line="255" w:lineRule="auto"/>
        <w:tabs>
          <w:tab w:leader="none" w:pos="35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115" w:name="page116"/>
    <w:bookmarkEnd w:id="115"/>
    <w:p>
      <w:pPr>
        <w:ind w:right="3399"/>
        <w:spacing w:after="0" w:line="234" w:lineRule="auto"/>
        <w:rPr>
          <w:sz w:val="20"/>
          <w:szCs w:val="20"/>
          <w:color w:val="auto"/>
        </w:rPr>
      </w:pPr>
      <w:r>
        <w:rPr>
          <w:rFonts w:ascii="Courier New" w:cs="Courier New" w:eastAsia="Courier New" w:hAnsi="Courier New"/>
          <w:sz w:val="15"/>
          <w:szCs w:val="15"/>
          <w:color w:val="auto"/>
        </w:rPr>
        <w:t>or any other obligor upon the Securities or any Affiliate of the Company or of such other obligor.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"Paying Agent" means any Person authorized by the Company to pay the</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principal of (and premium, if any) or interest on any Securities or coupons on behalf of the Company.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"Person" means any individual, corporation, partnership, joint venture,</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association, joint-stock company, trust, unincorporated organization or government or any agency or political subdivision thereof.</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"Place of Payment", when used with respect to the Securities of or within</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any series, means the place or places where the principal of (and premium, if any) and interest on such Securities are payable as specified as contemplated by Sections 301 and 1002.</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"Predecessor Security" of any particular Security means every previous</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Security evidencing all or a portion of the same debt as that evidenced by such particular Security; and, for the purposes of this definition, any Security authenticated and delivered under Section 306 in exchange for or in lieu of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Shares" means, with respect to any Person, capital shares issued</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by such Person that are entitled to a preference or priority over any other capital shares issued by such Person upon any distribution of such Person's assets, whether by dividend or upon liquidation.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"Redemption Date", when used with respect to any Security to be redeemed,</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 whole or in part, means the date fixed for such redemption by or pursuant to this Indenture.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"Redemption Price", when used with respect to any Security to be redeemed,</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means the price at which it is to be redeemed pursuant to this Indenture.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"Registered Security" shall mean any Security which is registered in the</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Security Register.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"Regular Record Date" for the interest payable on any Interest Payment Date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on the Registered Securities of or within any series means the date specified for that purpose as contemplated by Section 301, whether or not a Business Day.</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3" w:right="1440" w:bottom="1440" w:gutter="0" w:footer="0" w:header="0"/>
        </w:sectPr>
      </w:pPr>
    </w:p>
    <w:bookmarkStart w:id="116" w:name="page117"/>
    <w:bookmarkEnd w:id="116"/>
    <w:p>
      <w:pPr>
        <w:ind w:left="440"/>
        <w:spacing w:after="0"/>
        <w:rPr>
          <w:sz w:val="20"/>
          <w:szCs w:val="20"/>
          <w:color w:val="auto"/>
        </w:rPr>
      </w:pPr>
      <w:r>
        <w:rPr>
          <w:rFonts w:ascii="Courier New" w:cs="Courier New" w:eastAsia="Courier New" w:hAnsi="Courier New"/>
          <w:sz w:val="14"/>
          <w:szCs w:val="14"/>
          <w:color w:val="auto"/>
        </w:rPr>
        <w:t>"Repayment Date" means, when used with respect to any Security to be repaid</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at the option of the Holder, the date fixed for such repayment by or pursuant to this Indenture.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"Repayment Price" means, when used with respect to any Security to be</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repaid at the option of the Holder, the price at which it is to be repaid by or pursuant to this Indenture.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"Responsible Officer", when used with respect to the Trustee, means the</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chairman or vice-chairman of the board of directors, the chairman or vice-chairman of the executive committee of the board of directors, the president, any vice president (whether or not designated by a number or a word or words added before or after the title "vice president"), the secretary, any assistant secretary, the treasurer, any assistant treasurer, any corporate trust officer, the controller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and familiarity with the particular subject.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"Security" has the meaning stated in the first recital of this Indenture</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and, more particularly, means any Security or Securities authenticated and delivered under this Indenture; provided, however, that, if at any time there is</w:t>
      </w:r>
    </w:p>
    <w:p>
      <w:pPr>
        <w:ind w:left="2800"/>
        <w:spacing w:after="0" w:line="231" w:lineRule="auto"/>
        <w:tabs>
          <w:tab w:leader="none" w:pos="36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"Security Register" and "Security Registrar" have the respective meanings</w:t>
      </w:r>
    </w:p>
    <w:p>
      <w:pPr>
        <w:spacing w:after="0" w:line="3"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specified in Section 305.</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"Significant Subsidiary" means any Subsidiary which is a "significant</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subsidiary" (as defined in Article I, Rule 1.02 of Regulation S-X, promulgated under the Securities Act of 1933) of the Company.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"Special Record Date" for the payment of any Defaulted Interest on the</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Registered Securities of or within any series means a date fixed by the Trustee pursuant to Section 307.</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"Stated Maturity", when used with respect to any Security or any</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17" w:name="page118"/>
    <w:bookmarkEnd w:id="117"/>
    <w:p>
      <w:pPr>
        <w:ind w:left="880"/>
        <w:spacing w:after="0"/>
        <w:rPr>
          <w:sz w:val="20"/>
          <w:szCs w:val="20"/>
          <w:color w:val="auto"/>
        </w:rPr>
      </w:pPr>
      <w:r>
        <w:rPr>
          <w:rFonts w:ascii="Courier New" w:cs="Courier New" w:eastAsia="Courier New" w:hAnsi="Courier New"/>
          <w:sz w:val="14"/>
          <w:szCs w:val="14"/>
          <w:color w:val="auto"/>
        </w:rPr>
        <w:t>"Subsidiary" means a corporation a majority of the outstanding voting</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stock of which is owned, directly or indirectly, by the Company or by one or more other Subsidiaries of the Company. For purposes of this definition, "voting stock" means stock having voting power for the election of directors, whether at all times or only so long as no senior class of stock has such voting power by reason of any contingency.</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"Trust Indenture Act" or "TIA" means the Trust Indenture Act of 1939,</w:t>
      </w:r>
    </w:p>
    <w:p>
      <w:pPr>
        <w:spacing w:after="0" w:line="3" w:lineRule="exact"/>
        <w:rPr>
          <w:sz w:val="20"/>
          <w:szCs w:val="20"/>
          <w:color w:val="auto"/>
        </w:rPr>
      </w:pPr>
    </w:p>
    <w:p>
      <w:pPr>
        <w:ind w:left="980"/>
        <w:spacing w:after="0"/>
        <w:tabs>
          <w:tab w:leader="none" w:pos="31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as amended and as in force at the date as of which this Indenture was executed, except as provided in Section 905.</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"Trustee" means the Person named as the "Trustee" in the first</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54" w:lineRule="auto"/>
        <w:rPr>
          <w:sz w:val="20"/>
          <w:szCs w:val="20"/>
          <w:color w:val="auto"/>
        </w:rPr>
      </w:pPr>
      <w:r>
        <w:rPr>
          <w:rFonts w:ascii="Courier New" w:cs="Courier New" w:eastAsia="Courier New" w:hAnsi="Courier New"/>
          <w:sz w:val="14"/>
          <w:szCs w:val="14"/>
          <w:color w:val="auto"/>
        </w:rPr>
        <w:t>paragraph of this Indenture until a successor Trustee shall have become such pursuant to the applicable provisions of this Indenture, and thereafter "Trustee" shall mean or include each Person who is then a Trustee hereunder; provided, however, that if at any time there is more than one such Person,</w:t>
      </w:r>
    </w:p>
    <w:p>
      <w:pPr>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"Trustee" as used with respect to the Securities of any series shall mean only the Trustee with respect to Securities of that series.</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"United States" means, unless otherwise specified with respect to any</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Securities pursuant to Section 301, the United States of America (including the states and the District of Columbia), its territories, its possessions and other areas subject to its jurisdiction.</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"United States person" means, unless otherwise specified with respect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"Yield to Maturity" means the yield to maturity, computed at the time</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of issuance of a Security (or, if applicable, at the most recent redetermination of interest on such Security) and as set forth in such Security in accordance with generally accepted United States bond yield computation principles.</w:t>
      </w:r>
    </w:p>
    <w:p>
      <w:pPr>
        <w:spacing w:after="0" w:line="15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102. Compliance Certificates and Opinions. Upon any</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3" w:right="1440" w:bottom="1440" w:gutter="0" w:footer="0" w:header="0"/>
        </w:sectPr>
      </w:pPr>
    </w:p>
    <w:bookmarkStart w:id="118" w:name="page119"/>
    <w:bookmarkEnd w:id="118"/>
    <w:p>
      <w:pPr>
        <w:ind w:right="3679"/>
        <w:spacing w:after="0" w:line="234" w:lineRule="auto"/>
        <w:rPr>
          <w:sz w:val="20"/>
          <w:szCs w:val="20"/>
          <w:color w:val="auto"/>
        </w:rPr>
      </w:pPr>
      <w:r>
        <w:rPr>
          <w:rFonts w:ascii="Courier New" w:cs="Courier New" w:eastAsia="Courier New" w:hAnsi="Courier New"/>
          <w:sz w:val="15"/>
          <w:szCs w:val="15"/>
          <w:color w:val="auto"/>
        </w:rPr>
        <w:t>Indenture relating to such particular application or request, no additional certificate or opinion need be furnished.</w:t>
      </w:r>
    </w:p>
    <w:p>
      <w:pPr>
        <w:spacing w:after="0" w:line="173"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Every certificate or opinion with respect to compliance with a condition or covenant provided for in this Indenture (including certificates delivered pursuant to Section 1009) shall include:</w:t>
      </w:r>
    </w:p>
    <w:p>
      <w:pPr>
        <w:spacing w:after="0" w:line="174" w:lineRule="exact"/>
        <w:rPr>
          <w:sz w:val="20"/>
          <w:szCs w:val="20"/>
          <w:color w:val="auto"/>
        </w:rPr>
      </w:pPr>
    </w:p>
    <w:p>
      <w:pPr>
        <w:jc w:val="both"/>
        <w:ind w:left="440" w:right="3679" w:firstLine="444"/>
        <w:spacing w:after="0" w:line="235" w:lineRule="auto"/>
        <w:tabs>
          <w:tab w:leader="none" w:pos="131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each individual signing such certificate or opinion has read such condition or covenant and the definitions herein relating thereto;</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31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31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75" w:lineRule="exact"/>
        <w:rPr>
          <w:rFonts w:ascii="Courier New" w:cs="Courier New" w:eastAsia="Courier New" w:hAnsi="Courier New"/>
          <w:sz w:val="15"/>
          <w:szCs w:val="15"/>
          <w:color w:val="auto"/>
        </w:rPr>
      </w:pPr>
    </w:p>
    <w:p>
      <w:pPr>
        <w:ind w:left="440" w:right="4199" w:firstLine="444"/>
        <w:spacing w:after="0" w:line="261" w:lineRule="auto"/>
        <w:tabs>
          <w:tab w:leader="none" w:pos="131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individual, such condition or covenant has been complied with.</w:t>
      </w:r>
    </w:p>
    <w:p>
      <w:pPr>
        <w:spacing w:after="0" w:line="15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SECTION 103. Form of Documents Delivered to Trustee. In any case where</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as to such matters in one or several documents.</w:t>
      </w:r>
    </w:p>
    <w:p>
      <w:pPr>
        <w:spacing w:after="0" w:line="176"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that the certificate or opinion or representations as to such matters are erroneous.</w:t>
      </w:r>
    </w:p>
    <w:p>
      <w:pPr>
        <w:spacing w:after="0" w:line="180"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19" w:name="page120"/>
    <w:bookmarkEnd w:id="119"/>
    <w:p>
      <w:pPr>
        <w:ind w:left="880"/>
        <w:spacing w:after="0"/>
        <w:tabs>
          <w:tab w:leader="none" w:pos="2080" w:val="left"/>
          <w:tab w:leader="none" w:pos="3660" w:val="left"/>
        </w:tabs>
        <w:rPr>
          <w:sz w:val="20"/>
          <w:szCs w:val="20"/>
          <w:color w:val="auto"/>
        </w:rPr>
      </w:pPr>
      <w:r>
        <w:rPr>
          <w:rFonts w:ascii="Courier New" w:cs="Courier New" w:eastAsia="Courier New" w:hAnsi="Courier New"/>
          <w:sz w:val="15"/>
          <w:szCs w:val="15"/>
          <w:color w:val="auto"/>
        </w:rPr>
        <w:t>SECTION 104.</w:t>
        <w:tab/>
        <w:t>Acts of Holders.</w:t>
      </w:r>
      <w:r>
        <w:rPr>
          <w:sz w:val="20"/>
          <w:szCs w:val="20"/>
          <w:color w:val="auto"/>
        </w:rPr>
        <w:tab/>
      </w:r>
      <w:r>
        <w:rPr>
          <w:rFonts w:ascii="Courier New" w:cs="Courier New" w:eastAsia="Courier New" w:hAnsi="Courier New"/>
          <w:sz w:val="14"/>
          <w:szCs w:val="14"/>
          <w:color w:val="auto"/>
        </w:rPr>
        <w:t>(a) Any request, demand,</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The record of any meeting of Holders of Securities shall be proved in the manner provided in Section 1506.</w:t>
      </w:r>
    </w:p>
    <w:p>
      <w:pPr>
        <w:spacing w:after="0" w:line="344" w:lineRule="exact"/>
        <w:rPr>
          <w:sz w:val="20"/>
          <w:szCs w:val="20"/>
          <w:color w:val="auto"/>
        </w:rPr>
      </w:pPr>
    </w:p>
    <w:p>
      <w:pPr>
        <w:ind w:right="3239" w:firstLine="884"/>
        <w:spacing w:after="0" w:line="255" w:lineRule="auto"/>
        <w:tabs>
          <w:tab w:leader="none" w:pos="1312"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65" w:lineRule="exact"/>
        <w:rPr>
          <w:rFonts w:ascii="Courier New" w:cs="Courier New" w:eastAsia="Courier New" w:hAnsi="Courier New"/>
          <w:sz w:val="14"/>
          <w:szCs w:val="14"/>
          <w:color w:val="auto"/>
        </w:rPr>
      </w:pPr>
    </w:p>
    <w:p>
      <w:pPr>
        <w:ind w:right="3579" w:firstLine="884"/>
        <w:spacing w:after="0" w:line="234" w:lineRule="auto"/>
        <w:tabs>
          <w:tab w:leader="none" w:pos="131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of Registered Securities shall be proved by the Security Register.</w:t>
      </w:r>
    </w:p>
    <w:p>
      <w:pPr>
        <w:spacing w:after="0" w:line="173" w:lineRule="exact"/>
        <w:rPr>
          <w:rFonts w:ascii="Courier New" w:cs="Courier New" w:eastAsia="Courier New" w:hAnsi="Courier New"/>
          <w:sz w:val="15"/>
          <w:szCs w:val="15"/>
          <w:color w:val="auto"/>
        </w:rPr>
      </w:pPr>
    </w:p>
    <w:p>
      <w:pPr>
        <w:ind w:right="3579" w:firstLine="884"/>
        <w:spacing w:after="0" w:line="236" w:lineRule="auto"/>
        <w:tabs>
          <w:tab w:leader="none" w:pos="131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of Bearer Securities may be proved by the production of such Bearer Securities or by a certificate executed, as depositary, by any trust company, bank, banker or other depositary, wherever situated, if such certificate shall be deemed by the Trustee to be satisfactory, showing that at the date therein mentioned such Person had on deposit with such depositary, or exhi-</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20" w:name="page121"/>
    <w:bookmarkEnd w:id="120"/>
    <w:p>
      <w:pPr>
        <w:ind w:right="3239"/>
        <w:spacing w:after="0" w:line="254" w:lineRule="auto"/>
        <w:rPr>
          <w:sz w:val="20"/>
          <w:szCs w:val="20"/>
          <w:color w:val="auto"/>
        </w:rPr>
      </w:pPr>
      <w:r>
        <w:rPr>
          <w:rFonts w:ascii="Courier New" w:cs="Courier New" w:eastAsia="Courier New" w:hAnsi="Courier New"/>
          <w:sz w:val="14"/>
          <w:szCs w:val="14"/>
          <w:color w:val="auto"/>
        </w:rPr>
        <w:t>?ited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w:t>
      </w:r>
    </w:p>
    <w:p>
      <w:pPr>
        <w:spacing w:after="0" w:line="3" w:lineRule="exact"/>
        <w:rPr>
          <w:sz w:val="20"/>
          <w:szCs w:val="20"/>
          <w:color w:val="auto"/>
        </w:rPr>
      </w:pPr>
    </w:p>
    <w:p>
      <w:pPr>
        <w:ind w:right="3679" w:firstLine="10"/>
        <w:spacing w:after="0" w:line="235" w:lineRule="auto"/>
        <w:tabs>
          <w:tab w:leader="none" w:pos="35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Bearer Security is no longer Outstanding. The ownership of Bearer Securities may also be proved in any other manner which the Trustee deems sufficient.</w:t>
      </w:r>
    </w:p>
    <w:p>
      <w:pPr>
        <w:spacing w:after="0" w:line="173" w:lineRule="exact"/>
        <w:rPr>
          <w:rFonts w:ascii="Courier New" w:cs="Courier New" w:eastAsia="Courier New" w:hAnsi="Courier New"/>
          <w:sz w:val="15"/>
          <w:szCs w:val="15"/>
          <w:color w:val="auto"/>
        </w:rPr>
      </w:pPr>
    </w:p>
    <w:p>
      <w:pPr>
        <w:ind w:right="3239" w:firstLine="709"/>
        <w:spacing w:after="0" w:line="237" w:lineRule="auto"/>
        <w:tabs>
          <w:tab w:leader="none" w:pos="1137"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eleven months after the record date.</w:t>
      </w:r>
    </w:p>
    <w:p>
      <w:pPr>
        <w:spacing w:after="0" w:line="177"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In the absence of any such record date fixed by the Company, regardless as to whether a solicitation of the Holders is occurring on behalf of the Company or any Holder, the Trustee may, at its option, fix in advance a record date for the determination of such holders entitled to give such request, demand, authorization, direction, notice, consent, waiver or other Act, but the Trustee shall have no obligation to do so. Any such record date shall be a date not more than 30 days prior to the first solicitation of holders generally in connection therewith no later than the date of such solicitation.</w:t>
      </w:r>
    </w:p>
    <w:p>
      <w:pPr>
        <w:spacing w:after="0" w:line="166" w:lineRule="exact"/>
        <w:rPr>
          <w:sz w:val="20"/>
          <w:szCs w:val="20"/>
          <w:color w:val="auto"/>
        </w:rPr>
      </w:pPr>
    </w:p>
    <w:p>
      <w:pPr>
        <w:ind w:right="3579" w:firstLine="709"/>
        <w:spacing w:after="0" w:line="234" w:lineRule="auto"/>
        <w:tabs>
          <w:tab w:leader="none" w:pos="113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demand, authorization, direction, notice, consent, waiver or other Act of the Holder of any Security shall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3" w:right="1440" w:bottom="1440" w:gutter="0" w:footer="0" w:header="0"/>
        </w:sectPr>
      </w:pPr>
    </w:p>
    <w:bookmarkStart w:id="121" w:name="page122"/>
    <w:bookmarkEnd w:id="121"/>
    <w:p>
      <w:pPr>
        <w:jc w:val="both"/>
        <w:ind w:right="3319"/>
        <w:spacing w:after="0" w:line="236" w:lineRule="auto"/>
        <w:rPr>
          <w:sz w:val="20"/>
          <w:szCs w:val="20"/>
          <w:color w:val="auto"/>
        </w:rPr>
      </w:pPr>
      <w:r>
        <w:rPr>
          <w:rFonts w:ascii="Courier New" w:cs="Courier New" w:eastAsia="Courier New" w:hAnsi="Courier New"/>
          <w:sz w:val="15"/>
          <w:szCs w:val="15"/>
          <w:color w:val="auto"/>
        </w:rPr>
        <w:t>bind every future Holder of the same Security and the Holder of every Security issued upon the registration of transfer thereof or in exchange therefore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75"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SECTION 105. Notices, etc. to Trustee and Company. Any request, demand, authorization, direction, notice, consent, waiver or Act of Holders or other document provided or permitted by this Indenture to be made upon, given or furnished to, or filed with,</w:t>
      </w:r>
    </w:p>
    <w:p>
      <w:pPr>
        <w:spacing w:after="0" w:line="175" w:lineRule="exact"/>
        <w:rPr>
          <w:sz w:val="20"/>
          <w:szCs w:val="20"/>
          <w:color w:val="auto"/>
        </w:rPr>
      </w:pPr>
    </w:p>
    <w:p>
      <w:pPr>
        <w:ind w:left="700" w:right="3759" w:firstLine="709"/>
        <w:spacing w:after="0" w:line="256" w:lineRule="auto"/>
        <w:tabs>
          <w:tab w:leader="none" w:pos="1837"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by any Holder or by the Company shall be sufficient for every purpose hereunder if made, given, furnished or filed in writing to or with the Trustee at 230 S. Tryon Street, Charlotte, North Carolina, 28288-1179; Attention: Susan Schwartz.</w:t>
      </w:r>
    </w:p>
    <w:p>
      <w:pPr>
        <w:spacing w:after="0" w:line="164" w:lineRule="exact"/>
        <w:rPr>
          <w:rFonts w:ascii="Courier New" w:cs="Courier New" w:eastAsia="Courier New" w:hAnsi="Courier New"/>
          <w:sz w:val="14"/>
          <w:szCs w:val="14"/>
          <w:color w:val="auto"/>
        </w:rPr>
      </w:pPr>
    </w:p>
    <w:p>
      <w:pPr>
        <w:ind w:left="700" w:right="3839" w:firstLine="709"/>
        <w:spacing w:after="0" w:line="236" w:lineRule="auto"/>
        <w:tabs>
          <w:tab w:leader="none" w:pos="183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the Trustee or by any Holder shall be sufficient for every purpose hereunder (unless otherwise herein expressly provided) if in writing and mailed, first class postage prepaid, to the Company addressed to it at the address of its principal office specified in the first paragraph of this Indenture or at any other address previously furnished in writing to the Trustee by the Company.</w:t>
      </w:r>
    </w:p>
    <w:p>
      <w:pPr>
        <w:spacing w:after="0" w:line="176" w:lineRule="exact"/>
        <w:rPr>
          <w:sz w:val="20"/>
          <w:szCs w:val="20"/>
          <w:color w:val="auto"/>
        </w:rPr>
      </w:pPr>
    </w:p>
    <w:p>
      <w:pPr>
        <w:ind w:right="3239" w:firstLine="1399"/>
        <w:spacing w:after="0" w:line="237" w:lineRule="auto"/>
        <w:rPr>
          <w:sz w:val="20"/>
          <w:szCs w:val="20"/>
          <w:color w:val="auto"/>
        </w:rPr>
      </w:pPr>
      <w:r>
        <w:rPr>
          <w:rFonts w:ascii="Courier New" w:cs="Courier New" w:eastAsia="Courier New" w:hAnsi="Courier New"/>
          <w:sz w:val="15"/>
          <w:szCs w:val="15"/>
          <w:color w:val="auto"/>
        </w:rPr>
        <w:t>SECTION 106. Notice to Holders; Waiver.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and not earlier than the earliest date,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74" w:lineRule="exact"/>
        <w:rPr>
          <w:sz w:val="20"/>
          <w:szCs w:val="20"/>
          <w:color w:val="auto"/>
        </w:rPr>
      </w:pPr>
    </w:p>
    <w:p>
      <w:pPr>
        <w:ind w:right="3319" w:firstLine="1399"/>
        <w:spacing w:after="0" w:line="256" w:lineRule="auto"/>
        <w:rPr>
          <w:sz w:val="20"/>
          <w:szCs w:val="20"/>
          <w:color w:val="auto"/>
        </w:rPr>
      </w:pPr>
      <w:r>
        <w:rPr>
          <w:rFonts w:ascii="Courier New" w:cs="Courier New" w:eastAsia="Courier New" w:hAnsi="Courier New"/>
          <w:sz w:val="14"/>
          <w:szCs w:val="14"/>
          <w:color w:val="auto"/>
        </w:rPr>
        <w:t>If by reason of the suspension of or irregularities in regular mail service or by reason of any other cause it shall be impacticable to give such notice by mail, then such notification to Holders of Registered Securities as shall be made with the approval of the Trustee shall constitute a sufficient notification to such Holders for every purpose hereunder.</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22" w:name="page123"/>
    <w:bookmarkEnd w:id="122"/>
    <w:p>
      <w:pPr>
        <w:ind w:right="3319" w:firstLine="875"/>
        <w:spacing w:after="0" w:line="255" w:lineRule="auto"/>
        <w:rPr>
          <w:sz w:val="20"/>
          <w:szCs w:val="20"/>
          <w:color w:val="auto"/>
        </w:rPr>
      </w:pPr>
      <w:r>
        <w:rPr>
          <w:rFonts w:ascii="Courier New" w:cs="Courier New" w:eastAsia="Courier New" w:hAnsi="Courier New"/>
          <w:sz w:val="14"/>
          <w:szCs w:val="14"/>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New York City and in such other city or cities as may be specified in such Securities on a Business Day, such publication to be not later than the latest date, and not earlier than the earliest date, prescribed for the giving of such notice. Any such notice shall be deemed to have been given on the date of such publication or, if published more than once, on the date of the first such publication.</w:t>
      </w:r>
    </w:p>
    <w:p>
      <w:pPr>
        <w:spacing w:after="0" w:line="165"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If by reason of the suspension of publication of any Authorized Newspaper or Authorized Newspapers or by reason of any other cause if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65"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8" w:lineRule="exact"/>
        <w:rPr>
          <w:sz w:val="20"/>
          <w:szCs w:val="20"/>
          <w:color w:val="auto"/>
        </w:rPr>
      </w:pPr>
    </w:p>
    <w:p>
      <w:pPr>
        <w:jc w:val="center"/>
        <w:ind w:right="2619"/>
        <w:spacing w:after="0"/>
        <w:tabs>
          <w:tab w:leader="none" w:pos="140" w:val="left"/>
        </w:tabs>
        <w:rPr>
          <w:sz w:val="20"/>
          <w:szCs w:val="20"/>
          <w:color w:val="auto"/>
        </w:rPr>
      </w:pPr>
      <w:r>
        <w:rPr>
          <w:rFonts w:ascii="Courier New" w:cs="Courier New" w:eastAsia="Courier New" w:hAnsi="Courier New"/>
          <w:sz w:val="15"/>
          <w:szCs w:val="15"/>
          <w:color w:val="auto"/>
        </w:rPr>
        <w:t>SECTION 107.</w:t>
      </w:r>
      <w:r>
        <w:rPr>
          <w:sz w:val="20"/>
          <w:szCs w:val="20"/>
          <w:color w:val="auto"/>
        </w:rPr>
        <w:tab/>
      </w:r>
      <w:r>
        <w:rPr>
          <w:rFonts w:ascii="Courier New" w:cs="Courier New" w:eastAsia="Courier New" w:hAnsi="Courier New"/>
          <w:sz w:val="14"/>
          <w:szCs w:val="14"/>
          <w:color w:val="auto"/>
        </w:rPr>
        <w:t>Effect of Headings and Table of Contents. The Article</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and Section headings herein and the Table of Contents are for convenience only and shall not affect the construction hereof.</w:t>
      </w:r>
    </w:p>
    <w:p>
      <w:pPr>
        <w:spacing w:after="0" w:line="167"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SECTION 108.</w:t>
      </w:r>
      <w:r>
        <w:rPr>
          <w:sz w:val="20"/>
          <w:szCs w:val="20"/>
          <w:color w:val="auto"/>
        </w:rPr>
        <w:tab/>
      </w:r>
      <w:r>
        <w:rPr>
          <w:rFonts w:ascii="Courier New" w:cs="Courier New" w:eastAsia="Courier New" w:hAnsi="Courier New"/>
          <w:sz w:val="14"/>
          <w:szCs w:val="14"/>
          <w:color w:val="auto"/>
        </w:rPr>
        <w:t>Successors and Assigns. All covenants and agreements in</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this Indenture by the Company shall bind its successors and assigns, whether so expressed or not.</w:t>
      </w:r>
    </w:p>
    <w:p>
      <w:pPr>
        <w:spacing w:after="0" w:line="167"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SECTION 109.</w:t>
      </w:r>
      <w:r>
        <w:rPr>
          <w:sz w:val="20"/>
          <w:szCs w:val="20"/>
          <w:color w:val="auto"/>
        </w:rPr>
        <w:tab/>
      </w:r>
      <w:r>
        <w:rPr>
          <w:rFonts w:ascii="Courier New" w:cs="Courier New" w:eastAsia="Courier New" w:hAnsi="Courier New"/>
          <w:sz w:val="14"/>
          <w:szCs w:val="14"/>
          <w:color w:val="auto"/>
        </w:rPr>
        <w:t>Separability Clause. In case any provision in this</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839"/>
        <w:spacing w:after="0" w:line="258" w:lineRule="auto"/>
        <w:rPr>
          <w:sz w:val="20"/>
          <w:szCs w:val="20"/>
          <w:color w:val="auto"/>
        </w:rPr>
      </w:pPr>
      <w:r>
        <w:rPr>
          <w:rFonts w:ascii="Courier New" w:cs="Courier New" w:eastAsia="Courier New" w:hAnsi="Courier New"/>
          <w:sz w:val="14"/>
          <w:szCs w:val="14"/>
          <w:color w:val="auto"/>
        </w:rPr>
        <w:t>Indenture or in any Security or coupon shall be invalid, illegal or unenforceable, the validity, legality and enforceability of the remaining provisions shall not in any way be affected or impaired thereby.</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23" w:name="page124"/>
    <w:bookmarkEnd w:id="123"/>
    <w:p>
      <w:pPr>
        <w:ind w:left="880"/>
        <w:spacing w:after="0"/>
        <w:tabs>
          <w:tab w:leader="none" w:pos="2080" w:val="left"/>
        </w:tabs>
        <w:rPr>
          <w:sz w:val="20"/>
          <w:szCs w:val="20"/>
          <w:color w:val="auto"/>
        </w:rPr>
      </w:pPr>
      <w:r>
        <w:rPr>
          <w:rFonts w:ascii="Courier New" w:cs="Courier New" w:eastAsia="Courier New" w:hAnsi="Courier New"/>
          <w:sz w:val="15"/>
          <w:szCs w:val="15"/>
          <w:color w:val="auto"/>
        </w:rPr>
        <w:t>SECTION 110.</w:t>
      </w:r>
      <w:r>
        <w:rPr>
          <w:sz w:val="20"/>
          <w:szCs w:val="20"/>
          <w:color w:val="auto"/>
        </w:rPr>
        <w:tab/>
      </w:r>
      <w:r>
        <w:rPr>
          <w:rFonts w:ascii="Courier New" w:cs="Courier New" w:eastAsia="Courier New" w:hAnsi="Courier New"/>
          <w:sz w:val="14"/>
          <w:szCs w:val="14"/>
          <w:color w:val="auto"/>
        </w:rPr>
        <w:t>Benefits of Indenture. Nothing in this Indenture or in</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Securities or coupons,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5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Governing Law. This Indenture and the Securities and</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coupons shall be governed by and construed in accordance with the law of the State of New York. This Indenture is subject to the provisions of the TIA that are required to be part of this Indenture and shall, to the extent applicable, be governed by such provisions.</w:t>
      </w:r>
    </w:p>
    <w:p>
      <w:pPr>
        <w:spacing w:after="0" w:line="169"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4"/>
          <w:szCs w:val="14"/>
          <w:color w:val="auto"/>
        </w:rPr>
        <w:t>Legal Holidays. In any case where any Interest Payment</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Date, Redemption Date, Repayment Date, sinking fund payment date, Stated Maturity or Maturity of any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any Additional Amounts or principal (and premium, if any) need not be made at such Place of Payment on such date, but may be made on the next succeeding Business Day at such Place of Payment with the same force and effect as if made on the Interest Payment Date, Redemption Date, Repayment Date or sinking fund payment date, or at the Stated Maturity or Maturity, provided that</w:t>
      </w:r>
    </w:p>
    <w:p>
      <w:pPr>
        <w:ind w:left="5780"/>
        <w:spacing w:after="0" w:line="235"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no interest shall accrue on the amount so payable for the period from and after such Interest Payment Date, Redemption Date, Repayment Date, sinking fund payment date, Stated Maturity or Maturity, as the case may be.</w:t>
      </w:r>
    </w:p>
    <w:p>
      <w:pPr>
        <w:spacing w:after="0" w:line="167"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Immunity of Shareholders, Trustees, Officers and Agents</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 In accordance with Section 8.3 of the Third Amended and Restated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Declaration of Trust of the Company ("Declaration of Trust"), the Trustee recognizes and agrees that the obligations of the Company under the Indenture and the Securities and all documents delivered in the name of the Company in connection herewith and therewith do not and shall not constitute personal obligations of the trustees, officers, employees, agents or shareholders of the Company or any of them, and shall not involve any claim against or personal liability on the part of any of them, and that all persons including the Trustee shall look solely to the assets of the Company for the payment of any claim thereunder or for the performance thereof and shall not seek recourse against such trustees, officers, employees, agents or shareholders of the Company or any of them or any of their personal assets for such satisfaction. The performance of the obligations of the Company under the Indenture and the Securities and all documents delivered in the name of the Company in connection therewith shall not be deemed a waiver of any rights or powers of the Company, trustees or shareholders under the Declaration of Trust.</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24" w:name="page125"/>
    <w:bookmarkEnd w:id="124"/>
    <w:p>
      <w:pPr>
        <w:ind w:left="2980"/>
        <w:spacing w:after="0"/>
        <w:rPr>
          <w:sz w:val="20"/>
          <w:szCs w:val="20"/>
          <w:color w:val="auto"/>
        </w:rPr>
      </w:pPr>
      <w:r>
        <w:rPr>
          <w:rFonts w:ascii="Courier New" w:cs="Courier New" w:eastAsia="Courier New" w:hAnsi="Courier New"/>
          <w:sz w:val="15"/>
          <w:szCs w:val="15"/>
          <w:color w:val="auto"/>
        </w:rPr>
        <w:t>ARTICLE TWO</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SECURITIES FORMS</w:t>
      </w:r>
    </w:p>
    <w:p>
      <w:pPr>
        <w:spacing w:after="0" w:line="173" w:lineRule="exact"/>
        <w:rPr>
          <w:sz w:val="20"/>
          <w:szCs w:val="20"/>
          <w:color w:val="auto"/>
        </w:rPr>
      </w:pPr>
    </w:p>
    <w:p>
      <w:pPr>
        <w:ind w:right="3399" w:firstLine="1399"/>
        <w:spacing w:after="0" w:line="255" w:lineRule="auto"/>
        <w:rPr>
          <w:sz w:val="20"/>
          <w:szCs w:val="20"/>
          <w:color w:val="auto"/>
        </w:rPr>
      </w:pPr>
      <w:r>
        <w:rPr>
          <w:rFonts w:ascii="Courier New" w:cs="Courier New" w:eastAsia="Courier New" w:hAnsi="Courier New"/>
          <w:sz w:val="14"/>
          <w:szCs w:val="14"/>
          <w:color w:val="auto"/>
        </w:rPr>
        <w:t>SECTION 201. Forms of Securities. The Registered Securities, if any, of each series and the Bearer Securities, if any, of each series and related coupons shall be in substantially the forms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spacing w:after="0" w:line="164" w:lineRule="exact"/>
        <w:rPr>
          <w:sz w:val="20"/>
          <w:szCs w:val="20"/>
          <w:color w:val="auto"/>
        </w:rPr>
      </w:pPr>
    </w:p>
    <w:p>
      <w:pPr>
        <w:ind w:right="3759" w:firstLine="1399"/>
        <w:spacing w:after="0" w:line="234" w:lineRule="auto"/>
        <w:rPr>
          <w:sz w:val="20"/>
          <w:szCs w:val="20"/>
          <w:color w:val="auto"/>
        </w:rPr>
      </w:pPr>
      <w:r>
        <w:rPr>
          <w:rFonts w:ascii="Courier New" w:cs="Courier New" w:eastAsia="Courier New" w:hAnsi="Courier New"/>
          <w:sz w:val="15"/>
          <w:szCs w:val="15"/>
          <w:color w:val="auto"/>
        </w:rPr>
        <w:t>Unless otherwise specified as contemplated by Section 301, Bearer Securities shall have interest coupons attached.</w:t>
      </w:r>
    </w:p>
    <w:p>
      <w:pPr>
        <w:spacing w:after="0" w:line="173" w:lineRule="exact"/>
        <w:rPr>
          <w:sz w:val="20"/>
          <w:szCs w:val="20"/>
          <w:color w:val="auto"/>
        </w:rPr>
      </w:pPr>
    </w:p>
    <w:p>
      <w:pPr>
        <w:ind w:right="3319" w:firstLine="1399"/>
        <w:spacing w:after="0" w:line="236" w:lineRule="auto"/>
        <w:rPr>
          <w:sz w:val="20"/>
          <w:szCs w:val="20"/>
          <w:color w:val="auto"/>
        </w:rPr>
      </w:pPr>
      <w:r>
        <w:rPr>
          <w:rFonts w:ascii="Courier New" w:cs="Courier New" w:eastAsia="Courier New" w:hAnsi="Courier New"/>
          <w:sz w:val="15"/>
          <w:szCs w:val="15"/>
          <w:color w:val="auto"/>
        </w:rPr>
        <w:t>The definitive Securities and coupons shall be printed, lithographed or engraved or produced by any combination of these methods on a steel engraved border or steel engraved borders or may be produced in any other manner, all as determined by the officers executing such Securities or coupons, as evidenced by their execution of such Securities or coupons.</w:t>
      </w:r>
    </w:p>
    <w:p>
      <w:pPr>
        <w:spacing w:after="0" w:line="174" w:lineRule="exact"/>
        <w:rPr>
          <w:sz w:val="20"/>
          <w:szCs w:val="20"/>
          <w:color w:val="auto"/>
        </w:rPr>
      </w:pPr>
    </w:p>
    <w:p>
      <w:pPr>
        <w:jc w:val="both"/>
        <w:ind w:right="3319" w:firstLine="1399"/>
        <w:spacing w:after="0" w:line="235" w:lineRule="auto"/>
        <w:rPr>
          <w:sz w:val="20"/>
          <w:szCs w:val="20"/>
          <w:color w:val="auto"/>
        </w:rPr>
      </w:pPr>
      <w:r>
        <w:rPr>
          <w:rFonts w:ascii="Courier New" w:cs="Courier New" w:eastAsia="Courier New" w:hAnsi="Courier New"/>
          <w:sz w:val="15"/>
          <w:szCs w:val="15"/>
          <w:color w:val="auto"/>
        </w:rPr>
        <w:t>SECTION 202. Form of Trustee's Certificate of Authentication. Subject to Section 611, the Trustee's certificate of authentication shall be in substantially the following form:</w:t>
      </w:r>
    </w:p>
    <w:p>
      <w:pPr>
        <w:spacing w:after="0" w:line="174" w:lineRule="exact"/>
        <w:rPr>
          <w:sz w:val="20"/>
          <w:szCs w:val="20"/>
          <w:color w:val="auto"/>
        </w:rPr>
      </w:pPr>
    </w:p>
    <w:p>
      <w:pPr>
        <w:jc w:val="both"/>
        <w:ind w:right="3319" w:firstLine="700"/>
        <w:spacing w:after="0" w:line="234" w:lineRule="auto"/>
        <w:rPr>
          <w:sz w:val="20"/>
          <w:szCs w:val="20"/>
          <w:color w:val="auto"/>
        </w:rPr>
      </w:pPr>
      <w:r>
        <w:rPr>
          <w:rFonts w:ascii="Courier New" w:cs="Courier New" w:eastAsia="Courier New" w:hAnsi="Courier New"/>
          <w:sz w:val="15"/>
          <w:szCs w:val="15"/>
          <w:color w:val="auto"/>
        </w:rPr>
        <w:t>This is one of the Securities of the series designated therein referred to in the within mentioned Indenture.</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FIRST UNION NATIONAL BANK</w:t>
      </w:r>
    </w:p>
    <w:p>
      <w:pPr>
        <w:ind w:left="2800"/>
        <w:spacing w:after="0" w:line="237" w:lineRule="auto"/>
        <w:rPr>
          <w:sz w:val="20"/>
          <w:szCs w:val="20"/>
          <w:color w:val="auto"/>
        </w:rPr>
      </w:pPr>
      <w:r>
        <w:rPr>
          <w:rFonts w:ascii="Courier New" w:cs="Courier New" w:eastAsia="Courier New" w:hAnsi="Courier New"/>
          <w:sz w:val="15"/>
          <w:szCs w:val="15"/>
          <w:color w:val="auto"/>
        </w:rPr>
        <w:t>as Trustee</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By________________________________</w:t>
      </w:r>
    </w:p>
    <w:p>
      <w:pPr>
        <w:ind w:left="2800"/>
        <w:spacing w:after="0" w:line="237" w:lineRule="auto"/>
        <w:rPr>
          <w:sz w:val="20"/>
          <w:szCs w:val="20"/>
          <w:color w:val="auto"/>
        </w:rPr>
      </w:pPr>
      <w:r>
        <w:rPr>
          <w:rFonts w:ascii="Courier New" w:cs="Courier New" w:eastAsia="Courier New" w:hAnsi="Courier New"/>
          <w:sz w:val="15"/>
          <w:szCs w:val="15"/>
          <w:color w:val="auto"/>
        </w:rPr>
        <w:t>Authorized Signatory</w:t>
      </w:r>
    </w:p>
    <w:p>
      <w:pPr>
        <w:spacing w:after="0" w:line="173"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SECTION 203. Securities Issuable in Global Form. If Securities of or within a series are issuable in global form, as specified as contemplated by Section 301, then, notwithstanding clause (8) of Section 301 and the provisions of Section 302, any such Security shall represent such of the Outstanding Securities of such series as shall be specified therein and may provide that it shall represent the aggregate amount of Outstanding Securities of</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25" w:name="page126"/>
    <w:bookmarkEnd w:id="125"/>
    <w:p>
      <w:pPr>
        <w:ind w:right="3239"/>
        <w:spacing w:after="0" w:line="255" w:lineRule="auto"/>
        <w:rPr>
          <w:sz w:val="20"/>
          <w:szCs w:val="20"/>
          <w:color w:val="auto"/>
        </w:rPr>
      </w:pPr>
      <w:r>
        <w:rPr>
          <w:rFonts w:ascii="Courier New" w:cs="Courier New" w:eastAsia="Courier New" w:hAnsi="Courier New"/>
          <w:sz w:val="14"/>
          <w:szCs w:val="14"/>
          <w:color w:val="auto"/>
        </w:rPr>
        <w:t>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therein or in the Company Order to be delivered to the Trustee pursuant to Section 303 or 304. Subject to the provisions of Section 303 and, if applicable, Section 304, the Trustee shall deliver and redeliver any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Security in global form shall be in writing but need not comply with Section 102 and need not be accompanied by an Opinion of Counsel.</w:t>
      </w:r>
    </w:p>
    <w:p>
      <w:pPr>
        <w:spacing w:after="0" w:line="16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The provisions of the last sentence of Section 303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77"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Notwithstanding the provisions of Section 307, unless otherwise specified as contemplated by Section 301, payment of principal of and any premium and interest on any Security in permanent global form shall be made to the Person or Persons specified therein.</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permanent global Security in bearer form, Euroclear or CEDEL.</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THREE</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SECURITIES</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SECTION 301. Amount Unlimited; Issuable in Series. The aggregate principal amount of Securities which may be authenticated delivered under this Indenture is unlimited.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126" w:name="page127"/>
    <w:bookmarkEnd w:id="126"/>
    <w:p>
      <w:pPr>
        <w:ind w:right="3239" w:firstLine="875"/>
        <w:spacing w:after="0" w:line="255" w:lineRule="auto"/>
        <w:rPr>
          <w:sz w:val="20"/>
          <w:szCs w:val="20"/>
          <w:color w:val="auto"/>
        </w:rPr>
      </w:pPr>
      <w:r>
        <w:rPr>
          <w:rFonts w:ascii="Courier New" w:cs="Courier New" w:eastAsia="Courier New" w:hAnsi="Courier New"/>
          <w:sz w:val="14"/>
          <w:szCs w:val="14"/>
          <w:color w:val="auto"/>
        </w:rPr>
        <w:t>The Securities may be issued in one or more series. There shall be established in one or more Board Resolutions or pursuant to authority granted by one or more Board Resolutions and, subject to Section 303, set forth, or determined in the manner provided, in an Officers' Certificate, or established in one or more indentures supplemental hereto, prior to the issuance of Securities of any series, any or all of the following, as applicable (each of which (except for the matters set forth in clauses (1), (2) and (15) below), if so provided, may be determined from time to time by the Company with respect to unissued Securities of the series when issued from time to time):</w:t>
      </w:r>
    </w:p>
    <w:p>
      <w:pPr>
        <w:spacing w:after="0" w:line="165" w:lineRule="exact"/>
        <w:rPr>
          <w:sz w:val="20"/>
          <w:szCs w:val="20"/>
          <w:color w:val="auto"/>
        </w:rPr>
      </w:pPr>
    </w:p>
    <w:p>
      <w:pPr>
        <w:ind w:left="440" w:right="4019" w:firstLine="444"/>
        <w:spacing w:after="0" w:line="235" w:lineRule="auto"/>
        <w:tabs>
          <w:tab w:leader="none" w:pos="131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the Securities of the series (which shall distinguish the Securities of such series from all other series of Securities);</w:t>
      </w:r>
    </w:p>
    <w:p>
      <w:pPr>
        <w:spacing w:after="0" w:line="173" w:lineRule="exact"/>
        <w:rPr>
          <w:rFonts w:ascii="Courier New" w:cs="Courier New" w:eastAsia="Courier New" w:hAnsi="Courier New"/>
          <w:sz w:val="15"/>
          <w:szCs w:val="15"/>
          <w:color w:val="auto"/>
        </w:rPr>
      </w:pPr>
    </w:p>
    <w:p>
      <w:pPr>
        <w:ind w:left="440" w:right="3319" w:firstLine="444"/>
        <w:spacing w:after="0" w:line="256" w:lineRule="auto"/>
        <w:tabs>
          <w:tab w:leader="none" w:pos="131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1107 or 1305);</w:t>
      </w:r>
    </w:p>
    <w:p>
      <w:pPr>
        <w:spacing w:after="0" w:line="163" w:lineRule="exact"/>
        <w:rPr>
          <w:rFonts w:ascii="Courier New" w:cs="Courier New" w:eastAsia="Courier New" w:hAnsi="Courier New"/>
          <w:sz w:val="14"/>
          <w:szCs w:val="14"/>
          <w:color w:val="auto"/>
        </w:rPr>
      </w:pPr>
    </w:p>
    <w:p>
      <w:pPr>
        <w:jc w:val="both"/>
        <w:ind w:left="440" w:right="3239" w:firstLine="444"/>
        <w:spacing w:after="0" w:line="235" w:lineRule="auto"/>
        <w:tabs>
          <w:tab w:leader="none" w:pos="131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or the method by which such date or dates will be determined, on which the principal of the Securities of the series shall be payable;</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will be payable and the Regular Record Date, if any, for the interest payable on any Registered Security on any Interest Payment Date, or the method by which such date shall be determined, and the basis upon which interest shall be calculated if other than that of a 360-day year of twelve 30-day months;</w:t>
      </w:r>
    </w:p>
    <w:p>
      <w:pPr>
        <w:spacing w:after="0" w:line="178" w:lineRule="exact"/>
        <w:rPr>
          <w:rFonts w:ascii="Courier New" w:cs="Courier New" w:eastAsia="Courier New" w:hAnsi="Courier New"/>
          <w:sz w:val="15"/>
          <w:szCs w:val="15"/>
          <w:color w:val="auto"/>
        </w:rPr>
      </w:pPr>
    </w:p>
    <w:p>
      <w:pPr>
        <w:ind w:left="440" w:right="3399" w:firstLine="444"/>
        <w:spacing w:after="0" w:line="255" w:lineRule="auto"/>
        <w:tabs>
          <w:tab w:leader="none" w:pos="131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if any, other than or in addition to the Borough of Manhattan, New York City, where the principal of (and premium, if any), interest, if any, on, and Additional Amounts, if any, payable in respect of, Securities of the series shall be payable, any Registered Securities of the series may be surrendered for registration of transfer, exchange or conversion and notices or demands to or upon the Company in respect of the Securities of the series and this Indenture may be served;</w:t>
      </w:r>
    </w:p>
    <w:p>
      <w:pPr>
        <w:spacing w:after="0" w:line="166" w:lineRule="exact"/>
        <w:rPr>
          <w:rFonts w:ascii="Courier New" w:cs="Courier New" w:eastAsia="Courier New" w:hAnsi="Courier New"/>
          <w:sz w:val="14"/>
          <w:szCs w:val="14"/>
          <w:color w:val="auto"/>
        </w:rPr>
      </w:pPr>
    </w:p>
    <w:p>
      <w:pPr>
        <w:jc w:val="both"/>
        <w:ind w:left="440" w:right="3239" w:firstLine="444"/>
        <w:spacing w:after="0" w:line="235" w:lineRule="auto"/>
        <w:tabs>
          <w:tab w:leader="none" w:pos="131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or periods within which, the price or prices at which, the currency or currencies, currency unit or units or composite currency or currencies in which, and other terms and conditions upon which Securities of the series may be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3" w:right="1440" w:bottom="1440" w:gutter="0" w:footer="0" w:header="0"/>
        </w:sectPr>
      </w:pPr>
    </w:p>
    <w:bookmarkStart w:id="127" w:name="page128"/>
    <w:bookmarkEnd w:id="127"/>
    <w:p>
      <w:pPr>
        <w:ind w:right="3399"/>
        <w:spacing w:after="0" w:line="234" w:lineRule="auto"/>
        <w:rPr>
          <w:sz w:val="20"/>
          <w:szCs w:val="20"/>
          <w:color w:val="auto"/>
        </w:rPr>
      </w:pPr>
      <w:r>
        <w:rPr>
          <w:rFonts w:ascii="Courier New" w:cs="Courier New" w:eastAsia="Courier New" w:hAnsi="Courier New"/>
          <w:sz w:val="15"/>
          <w:szCs w:val="15"/>
          <w:color w:val="auto"/>
        </w:rPr>
        <w:t>redeemed, in whole or in part, at the option of the Company, if the Company is to have the option;</w:t>
      </w:r>
    </w:p>
    <w:p>
      <w:pPr>
        <w:spacing w:after="0" w:line="173" w:lineRule="exact"/>
        <w:rPr>
          <w:sz w:val="20"/>
          <w:szCs w:val="20"/>
          <w:color w:val="auto"/>
        </w:rPr>
      </w:pPr>
    </w:p>
    <w:p>
      <w:pPr>
        <w:ind w:right="3239" w:firstLine="447"/>
        <w:spacing w:after="0" w:line="255" w:lineRule="auto"/>
        <w:tabs>
          <w:tab w:leader="none" w:pos="875"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or currencies, currency unit or units or composite currency or currencies in which, and other terms and conditions upon which Securities of the series shall be redeemed, repaid or purchased, in whole or in part, pursuant to such obligation;</w:t>
      </w:r>
    </w:p>
    <w:p>
      <w:pPr>
        <w:spacing w:after="0" w:line="166" w:lineRule="exact"/>
        <w:rPr>
          <w:rFonts w:ascii="Courier New" w:cs="Courier New" w:eastAsia="Courier New" w:hAnsi="Courier New"/>
          <w:sz w:val="14"/>
          <w:szCs w:val="14"/>
          <w:color w:val="auto"/>
        </w:rPr>
      </w:pPr>
    </w:p>
    <w:p>
      <w:pPr>
        <w:ind w:right="3239" w:firstLine="447"/>
        <w:spacing w:after="0" w:line="236" w:lineRule="auto"/>
        <w:tabs>
          <w:tab w:leader="none" w:pos="87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denominations of $1,000 and any integral multiple thereof, the denominations in which any Registered Securities of the series shall be issuable and, if other than the denomination of $5,000, the denomination or denominations in which any Bearer Securities of the series shall be issuable;</w:t>
      </w:r>
    </w:p>
    <w:p>
      <w:pPr>
        <w:spacing w:after="0" w:line="173" w:lineRule="exact"/>
        <w:rPr>
          <w:rFonts w:ascii="Courier New" w:cs="Courier New" w:eastAsia="Courier New" w:hAnsi="Courier New"/>
          <w:sz w:val="15"/>
          <w:szCs w:val="15"/>
          <w:color w:val="auto"/>
        </w:rPr>
      </w:pPr>
    </w:p>
    <w:p>
      <w:pPr>
        <w:ind w:right="3579" w:firstLine="447"/>
        <w:spacing w:after="0" w:line="234" w:lineRule="auto"/>
        <w:tabs>
          <w:tab w:leader="none" w:pos="87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Trustee, the identity of each Security Registrar and/or Paying Agent;</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87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principal amount thereof, the portion of the principal amount of Securities of the series that shall be payable upon declaration of acceleration of the Maturity thereof pursuant to Section 502 or, if applicable, the portion of the principal amount of Securities of the series that is convertible in accordance with the provisions of this Indenture, or the method by which such portion shall be determined;</w:t>
      </w:r>
    </w:p>
    <w:p>
      <w:pPr>
        <w:spacing w:after="0" w:line="174" w:lineRule="exact"/>
        <w:rPr>
          <w:rFonts w:ascii="Courier New" w:cs="Courier New" w:eastAsia="Courier New" w:hAnsi="Courier New"/>
          <w:sz w:val="15"/>
          <w:szCs w:val="15"/>
          <w:color w:val="auto"/>
        </w:rPr>
      </w:pPr>
    </w:p>
    <w:p>
      <w:pPr>
        <w:ind w:right="3499" w:firstLine="447"/>
        <w:spacing w:after="0" w:line="235" w:lineRule="auto"/>
        <w:tabs>
          <w:tab w:leader="none" w:pos="87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Dollars, the Foreign Currency or Currencies in which payment of the principal of (and premium, if any) or interest or Additional Amounts, if any, on the Securities of the series shall be payable or in which the Securities of the series shall be denominated;</w:t>
      </w:r>
    </w:p>
    <w:p>
      <w:pPr>
        <w:spacing w:after="0" w:line="175" w:lineRule="exact"/>
        <w:rPr>
          <w:rFonts w:ascii="Courier New" w:cs="Courier New" w:eastAsia="Courier New" w:hAnsi="Courier New"/>
          <w:sz w:val="15"/>
          <w:szCs w:val="15"/>
          <w:color w:val="auto"/>
        </w:rPr>
      </w:pPr>
    </w:p>
    <w:p>
      <w:pPr>
        <w:ind w:right="3399" w:firstLine="447"/>
        <w:spacing w:after="0" w:line="236" w:lineRule="auto"/>
        <w:tabs>
          <w:tab w:leader="none" w:pos="87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amount of payments of principal of (and premium, if any) or interest, if any, on the Securities of the series may be determined with reference to an index, formula or other method (which index, formula or method may be based, without limitation, on one or more currencies, currency units, composite currencies, commodities, equity indices or other indices), and the manner in which such amounts shall be determined;</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principal of (and premium, if any) or interest or Additional Amounts, if any,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128" w:name="page129"/>
    <w:bookmarkEnd w:id="128"/>
    <w:p>
      <w:pPr>
        <w:ind w:right="3319"/>
        <w:spacing w:after="0" w:line="255" w:lineRule="auto"/>
        <w:rPr>
          <w:sz w:val="20"/>
          <w:szCs w:val="20"/>
          <w:color w:val="auto"/>
        </w:rPr>
      </w:pPr>
      <w:r>
        <w:rPr>
          <w:rFonts w:ascii="Courier New" w:cs="Courier New" w:eastAsia="Courier New" w:hAnsi="Courier New"/>
          <w:sz w:val="14"/>
          <w:szCs w:val="14"/>
          <w:color w:val="auto"/>
        </w:rPr>
        <w:t>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60" w:lineRule="exact"/>
        <w:rPr>
          <w:sz w:val="20"/>
          <w:szCs w:val="20"/>
          <w:color w:val="auto"/>
        </w:rPr>
      </w:pPr>
    </w:p>
    <w:p>
      <w:pPr>
        <w:ind w:left="880" w:hanging="433"/>
        <w:spacing w:after="0"/>
        <w:tabs>
          <w:tab w:leader="none" w:pos="88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if any, granting special rights to the Holder of</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Securities of the series upon the occurrence of such events as may be specified;</w:t>
      </w:r>
    </w:p>
    <w:p>
      <w:pPr>
        <w:spacing w:after="0" w:line="177" w:lineRule="exact"/>
        <w:rPr>
          <w:rFonts w:ascii="Courier New" w:cs="Courier New" w:eastAsia="Courier New" w:hAnsi="Courier New"/>
          <w:sz w:val="15"/>
          <w:szCs w:val="15"/>
          <w:color w:val="auto"/>
        </w:rPr>
      </w:pPr>
    </w:p>
    <w:p>
      <w:pPr>
        <w:ind w:right="3499" w:firstLine="447"/>
        <w:spacing w:after="0" w:line="235" w:lineRule="auto"/>
        <w:tabs>
          <w:tab w:leader="none" w:pos="87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175"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from and whether any Securities of the series are to be issuable in permanent global form with or without coupons and, if so, whether beneficial owners of interests in any such permanent global Security may exchange such interest for Securities of such series and of like tenor of any authorized form and denomination and the circumstances under which any such exchanges may occur, if other than in the manner provided in Section 305, and, if Registered Securities of the series are to be issuable as a global Security, the identity of the depositary for such series;</w:t>
      </w:r>
    </w:p>
    <w:p>
      <w:pPr>
        <w:spacing w:after="0" w:line="163" w:lineRule="exact"/>
        <w:rPr>
          <w:rFonts w:ascii="Courier New" w:cs="Courier New" w:eastAsia="Courier New" w:hAnsi="Courier New"/>
          <w:sz w:val="14"/>
          <w:szCs w:val="14"/>
          <w:color w:val="auto"/>
        </w:rPr>
      </w:pPr>
    </w:p>
    <w:p>
      <w:pPr>
        <w:ind w:right="3239" w:firstLine="447"/>
        <w:spacing w:after="0" w:line="235" w:lineRule="auto"/>
        <w:tabs>
          <w:tab w:leader="none" w:pos="87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3" w:right="1440" w:bottom="1440" w:gutter="0" w:footer="0" w:header="0"/>
        </w:sectPr>
      </w:pPr>
    </w:p>
    <w:bookmarkStart w:id="129" w:name="page130"/>
    <w:bookmarkEnd w:id="1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ind w:right="3679"/>
        <w:spacing w:after="0" w:line="234" w:lineRule="auto"/>
        <w:rPr>
          <w:sz w:val="20"/>
          <w:szCs w:val="20"/>
          <w:color w:val="auto"/>
        </w:rPr>
      </w:pPr>
      <w:r>
        <w:rPr>
          <w:rFonts w:ascii="Courier New" w:cs="Courier New" w:eastAsia="Courier New" w:hAnsi="Courier New"/>
          <w:sz w:val="15"/>
          <w:szCs w:val="15"/>
          <w:color w:val="auto"/>
        </w:rPr>
        <w:t>interest payable on a temporary global Security on an Interest Payment Date will be paid if other than in the manner provided in Section 304;</w:t>
      </w:r>
    </w:p>
    <w:p>
      <w:pPr>
        <w:spacing w:after="0" w:line="173" w:lineRule="exact"/>
        <w:rPr>
          <w:sz w:val="20"/>
          <w:szCs w:val="20"/>
          <w:color w:val="auto"/>
        </w:rPr>
      </w:pPr>
    </w:p>
    <w:p>
      <w:pPr>
        <w:ind w:right="3399" w:firstLine="447"/>
        <w:spacing w:after="0" w:line="235" w:lineRule="auto"/>
        <w:tabs>
          <w:tab w:leader="none" w:pos="87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applicability, if any, if Sections 1402 and/or 1403 to the Securities of the series and any provisions in modification of, in addition to or in lieu of any of the provisions of Article Fourteen;</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73" w:lineRule="exact"/>
        <w:rPr>
          <w:rFonts w:ascii="Courier New" w:cs="Courier New" w:eastAsia="Courier New" w:hAnsi="Courier New"/>
          <w:sz w:val="15"/>
          <w:szCs w:val="15"/>
          <w:color w:val="auto"/>
        </w:rPr>
      </w:pPr>
    </w:p>
    <w:p>
      <w:pPr>
        <w:ind w:right="3399" w:firstLine="447"/>
        <w:spacing w:after="0" w:line="236" w:lineRule="auto"/>
        <w:tabs>
          <w:tab w:leader="none" w:pos="87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and under what circumstances the company will pay Additional Amounts as contemplated by Section 1010 on the Securities of the series to any Holder who is not a United States person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the Company to permit the conversion of the Securities of such series into the Company's Common Shares or Preferred Shares,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 and</w:t>
      </w:r>
    </w:p>
    <w:p>
      <w:pPr>
        <w:spacing w:after="0" w:line="175" w:lineRule="exact"/>
        <w:rPr>
          <w:rFonts w:ascii="Courier New" w:cs="Courier New" w:eastAsia="Courier New" w:hAnsi="Courier New"/>
          <w:sz w:val="15"/>
          <w:szCs w:val="15"/>
          <w:color w:val="auto"/>
        </w:rPr>
      </w:pPr>
    </w:p>
    <w:p>
      <w:pPr>
        <w:ind w:right="3399" w:firstLine="447"/>
        <w:spacing w:after="0" w:line="234" w:lineRule="auto"/>
        <w:tabs>
          <w:tab w:leader="none" w:pos="87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the series (which terms shall not be inconsistent with the provisions of this Indenture).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If any of the terms of the Securities of any series are established by action taken pursuant to one or more Board Resolutions, a copy of a appropriate record of such action(s) shall be certified by the Secretary or an Assistant Secretary of the Company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3" w:right="1440" w:bottom="1440" w:gutter="0" w:footer="0" w:header="0"/>
        </w:sectPr>
      </w:pPr>
    </w:p>
    <w:bookmarkStart w:id="131" w:name="page132"/>
    <w:bookmarkEnd w:id="131"/>
    <w:p>
      <w:pPr>
        <w:ind w:right="3839"/>
        <w:spacing w:after="0" w:line="261" w:lineRule="auto"/>
        <w:rPr>
          <w:sz w:val="20"/>
          <w:szCs w:val="20"/>
          <w:color w:val="auto"/>
        </w:rPr>
      </w:pPr>
      <w:r>
        <w:rPr>
          <w:rFonts w:ascii="Courier New" w:cs="Courier New" w:eastAsia="Courier New" w:hAnsi="Courier New"/>
          <w:sz w:val="14"/>
          <w:szCs w:val="14"/>
          <w:color w:val="auto"/>
        </w:rPr>
        <w:t>and delivered to the Trustee at or prior to the delivery of the Officers' Certificate setting forth the terms of the Securities of such series.</w:t>
      </w:r>
    </w:p>
    <w:p>
      <w:pPr>
        <w:spacing w:after="0" w:line="153"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4"/>
          <w:szCs w:val="14"/>
          <w:color w:val="auto"/>
        </w:rPr>
        <w:t>Denominations. The Securities of each series shall be</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issuable in such denominations as shall be specified as contemplated by Section</w:t>
      </w:r>
    </w:p>
    <w:p>
      <w:pPr>
        <w:spacing w:after="0" w:line="10" w:lineRule="exact"/>
        <w:rPr>
          <w:sz w:val="20"/>
          <w:szCs w:val="20"/>
          <w:color w:val="auto"/>
        </w:rPr>
      </w:pPr>
    </w:p>
    <w:p>
      <w:pPr>
        <w:ind w:right="3239" w:firstLine="10"/>
        <w:spacing w:after="0" w:line="236" w:lineRule="auto"/>
        <w:tabs>
          <w:tab w:leader="none" w:pos="43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denominations of $1,000 and any integral multiple thereof and the Bearer Securities of such series, other than Bearer Securities issued in global form (which may be of any denomination), shall be issuable in a denomination of $5,000.</w:t>
      </w:r>
    </w:p>
    <w:p>
      <w:pPr>
        <w:spacing w:after="0" w:line="171"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4"/>
          <w:szCs w:val="14"/>
          <w:color w:val="auto"/>
        </w:rPr>
        <w:t>Execution, Authentication, Delivery and Dating. The</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Securities and any coupons appertaining thereto shall be executed on behalf of the Company by a trustee and an executive officer of the Company and attested by its Secretary or one of its Assistant Secretaries. The signature of any of these individuals on the Securities and coupons may be manual or facsimile signatures of the present or any future such authorized officer and trustee and may be imprinted or otherwise reproduced on the Securities.</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Securities or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and the Trustee in accordance with the Company Order shall authenticate and deliver such Securities; provided however, that, in</w:t>
      </w:r>
    </w:p>
    <w:p>
      <w:pPr>
        <w:ind w:left="4740"/>
        <w:spacing w:after="0" w:line="233"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connection with its original issuance, no Bearer Security shall be mailed or otherwise delivered to any location in the United States; and provided further</w:t>
      </w:r>
    </w:p>
    <w:p>
      <w:pPr>
        <w:ind w:left="5440"/>
        <w:spacing w:after="0" w:line="231"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Cedel, as the case may be, in the form set forth in Exhibit A-1 to this Indenture or such other certificate as may be specified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132" w:name="page133"/>
    <w:bookmarkEnd w:id="132"/>
    <w:p>
      <w:pPr>
        <w:ind w:right="3239"/>
        <w:spacing w:after="0" w:line="255" w:lineRule="auto"/>
        <w:rPr>
          <w:sz w:val="20"/>
          <w:szCs w:val="20"/>
          <w:color w:val="auto"/>
        </w:rPr>
      </w:pPr>
      <w:r>
        <w:rPr>
          <w:rFonts w:ascii="Courier New" w:cs="Courier New" w:eastAsia="Courier New" w:hAnsi="Courier New"/>
          <w:sz w:val="14"/>
          <w:szCs w:val="14"/>
          <w:color w:val="auto"/>
        </w:rPr>
        <w:t>with the terms of such temporary Security and this Indenture.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cancelled.</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to relying upon.</w:t>
      </w:r>
    </w:p>
    <w:p>
      <w:pPr>
        <w:spacing w:after="0" w:line="173" w:lineRule="exact"/>
        <w:rPr>
          <w:sz w:val="20"/>
          <w:szCs w:val="20"/>
          <w:color w:val="auto"/>
        </w:rPr>
      </w:pPr>
    </w:p>
    <w:p>
      <w:pPr>
        <w:ind w:left="980" w:hanging="533"/>
        <w:spacing w:after="0"/>
        <w:tabs>
          <w:tab w:leader="none" w:pos="9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stating that</w:t>
      </w:r>
    </w:p>
    <w:p>
      <w:pPr>
        <w:spacing w:after="0" w:line="172" w:lineRule="exact"/>
        <w:rPr>
          <w:rFonts w:ascii="Courier New" w:cs="Courier New" w:eastAsia="Courier New" w:hAnsi="Courier New"/>
          <w:sz w:val="15"/>
          <w:szCs w:val="15"/>
          <w:color w:val="auto"/>
        </w:rPr>
      </w:pPr>
    </w:p>
    <w:p>
      <w:pPr>
        <w:ind w:left="980" w:right="3319" w:hanging="8"/>
        <w:spacing w:after="0" w:line="261" w:lineRule="auto"/>
        <w:tabs>
          <w:tab w:leader="none" w:pos="1505"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 or forms of such Securities and any coupons have been established in conformity with the provisions of this Indenture;</w:t>
      </w:r>
    </w:p>
    <w:p>
      <w:pPr>
        <w:spacing w:after="0" w:line="159" w:lineRule="exact"/>
        <w:rPr>
          <w:rFonts w:ascii="Courier New" w:cs="Courier New" w:eastAsia="Courier New" w:hAnsi="Courier New"/>
          <w:sz w:val="14"/>
          <w:szCs w:val="14"/>
          <w:color w:val="auto"/>
        </w:rPr>
      </w:pPr>
    </w:p>
    <w:p>
      <w:pPr>
        <w:ind w:left="980" w:right="3319" w:hanging="8"/>
        <w:spacing w:after="0" w:line="261" w:lineRule="auto"/>
        <w:tabs>
          <w:tab w:leader="none" w:pos="1505"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such Securities and any coupons have been established in conformity with the provisions of this Indenture; and</w:t>
      </w:r>
    </w:p>
    <w:p>
      <w:pPr>
        <w:spacing w:after="0" w:line="159" w:lineRule="exact"/>
        <w:rPr>
          <w:rFonts w:ascii="Courier New" w:cs="Courier New" w:eastAsia="Courier New" w:hAnsi="Courier New"/>
          <w:sz w:val="14"/>
          <w:szCs w:val="14"/>
          <w:color w:val="auto"/>
        </w:rPr>
      </w:pPr>
    </w:p>
    <w:p>
      <w:pPr>
        <w:ind w:left="980" w:right="3239" w:hanging="8"/>
        <w:spacing w:after="0" w:line="237" w:lineRule="auto"/>
        <w:tabs>
          <w:tab w:leader="none" w:pos="1505"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binding obligations of the Company, enforceable in accordance with their terms, subject to applicable bankruptcy, insolvency, reorganization and other similar laws of general applicability relating to or affecting the enforcement of creditors' rights generally and to general equitable principles; and</w:t>
      </w:r>
    </w:p>
    <w:p>
      <w:pPr>
        <w:spacing w:after="0" w:line="173" w:lineRule="exact"/>
        <w:rPr>
          <w:sz w:val="20"/>
          <w:szCs w:val="20"/>
          <w:color w:val="auto"/>
        </w:rPr>
      </w:pPr>
    </w:p>
    <w:p>
      <w:pPr>
        <w:ind w:right="3239" w:firstLine="972"/>
        <w:spacing w:after="0" w:line="235" w:lineRule="auto"/>
        <w:tabs>
          <w:tab w:leader="none" w:pos="148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Officers' Certificate stating that all conditions precedent provided for in this Indenture relating to the issuance of the Securities have been complied with and that, to the best of the knowledge of the signers of such certificate, no</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133" w:name="page134"/>
    <w:bookmarkEnd w:id="133"/>
    <w:p>
      <w:pPr>
        <w:ind w:left="440" w:right="3319"/>
        <w:spacing w:after="0" w:line="234" w:lineRule="auto"/>
        <w:rPr>
          <w:sz w:val="20"/>
          <w:szCs w:val="20"/>
          <w:color w:val="auto"/>
        </w:rPr>
      </w:pPr>
      <w:r>
        <w:rPr>
          <w:rFonts w:ascii="Courier New" w:cs="Courier New" w:eastAsia="Courier New" w:hAnsi="Courier New"/>
          <w:sz w:val="15"/>
          <w:szCs w:val="15"/>
          <w:color w:val="auto"/>
        </w:rPr>
        <w:t>Event of Default with respect to any of the Securities shall have occurred and be continuing.</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If such form or terms have been so established, the Trustee shall not be required to authenticate such Securities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74"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78"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Each Registered Security shall be dated the date of its authentication and each Bearer Security shall be dated as of the date specified as contemplated by Section 301.</w:t>
      </w:r>
    </w:p>
    <w:p>
      <w:pPr>
        <w:spacing w:after="0" w:line="174"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5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304. Temporary Securities. (a) Pending the preparation of</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3" w:right="1440" w:bottom="1440" w:gutter="0" w:footer="0" w:header="0"/>
        </w:sectPr>
      </w:pPr>
    </w:p>
    <w:bookmarkStart w:id="134" w:name="page135"/>
    <w:bookmarkEnd w:id="134"/>
    <w:p>
      <w:pPr>
        <w:ind w:right="3239"/>
        <w:spacing w:after="0" w:line="236" w:lineRule="auto"/>
        <w:rPr>
          <w:sz w:val="20"/>
          <w:szCs w:val="20"/>
          <w:color w:val="auto"/>
        </w:rPr>
      </w:pPr>
      <w:r>
        <w:rPr>
          <w:rFonts w:ascii="Courier New" w:cs="Courier New" w:eastAsia="Courier New" w:hAnsi="Courier New"/>
          <w:sz w:val="15"/>
          <w:szCs w:val="15"/>
          <w:color w:val="auto"/>
        </w:rPr>
        <w:t>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Except in the case of temporary Securities in global form (which shall be exchanged in accordance with Section 304(b) or as otherwise provided in or pursuant to a Board Resolution),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Holder. Upon surrender for cancellation of any one or more temporary Securities of any series (accompanied by any non-matured coupons appertaining thereto), the Company shall execute and the Trustee shall authenticate and deliver in exchange therefor a like principal amount of definitive Securities of the same series of authorized denominations; provided, however, that no definitive Bearer Security shall be delivered in</w:t>
      </w:r>
    </w:p>
    <w:p>
      <w:pPr>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238" w:lineRule="auto"/>
        <w:rPr>
          <w:sz w:val="20"/>
          <w:szCs w:val="20"/>
          <w:color w:val="auto"/>
        </w:rPr>
      </w:pPr>
      <w:r>
        <w:rPr>
          <w:rFonts w:ascii="Courier New" w:cs="Courier New" w:eastAsia="Courier New" w:hAnsi="Courier New"/>
          <w:sz w:val="15"/>
          <w:szCs w:val="15"/>
          <w:color w:val="auto"/>
        </w:rPr>
        <w:t>exchange for a temporary Registered Security; and provided further that a</w:t>
      </w:r>
    </w:p>
    <w:p>
      <w:pPr>
        <w:ind w:left="4380"/>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74" w:lineRule="exact"/>
        <w:rPr>
          <w:sz w:val="20"/>
          <w:szCs w:val="20"/>
          <w:color w:val="auto"/>
        </w:rPr>
      </w:pPr>
    </w:p>
    <w:p>
      <w:pPr>
        <w:ind w:right="3239" w:firstLine="447"/>
        <w:spacing w:after="0" w:line="236" w:lineRule="auto"/>
        <w:tabs>
          <w:tab w:leader="none" w:pos="78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provided in or pursuant to a Board Resolution, this Section 304(b) shall govern the exchange of temporary Securities issued in global form other than through the facilities of The Depository Trust Company. If any such temporary Security is issued in global form, then such temporary global Security shall, unless otherwise provided therein, be delivered to the London office of a depositary or common depositary (the "Common Depositary"), for the benefit of Euroclear and CEDEL, for credit to the respective accounts of the beneficial owners of such Securities (or to such other accounts as they may direct).</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Depositary to the Trustee, as the Company's agent for such purpose, to be exchanged, in whole or from time to time in part, for definitive Securities without charge, and the Trustee shall authen-</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135" w:name="page136"/>
    <w:bookmarkEnd w:id="135"/>
    <w:p>
      <w:pPr>
        <w:ind w:right="3239"/>
        <w:spacing w:after="0" w:line="254" w:lineRule="auto"/>
        <w:rPr>
          <w:sz w:val="20"/>
          <w:szCs w:val="20"/>
          <w:color w:val="auto"/>
        </w:rPr>
      </w:pPr>
      <w:r>
        <w:rPr>
          <w:rFonts w:ascii="Courier New" w:cs="Courier New" w:eastAsia="Courier New" w:hAnsi="Courier New"/>
          <w:sz w:val="14"/>
          <w:szCs w:val="14"/>
          <w:color w:val="auto"/>
        </w:rPr>
        <w:t>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provided, however, that, unless otherwise</w:t>
      </w:r>
    </w:p>
    <w:p>
      <w:pPr>
        <w:ind w:left="2640"/>
        <w:spacing w:after="0" w:line="235" w:lineRule="auto"/>
        <w:tabs>
          <w:tab w:leader="none" w:pos="34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specified in such temporary global Security, upon such presentation by the Common Depositary, such temporary global Security is accompanied by a certificate dated the Exchange Date or a subsequent date and signed by Euroclear as to the portion of such temporary global Security held for its account then to be exchanged and a certificate dated the Exchange Date or a subsequent date and signed by CEDEL as to the portion of such temporary global Security held for its account then to be exchanged, each in the form set forth in Exhibit A-2 to this Indenture or in such other form as may be established pursuant to Section 301; and provided further that definitive Bearer Securities shall be delivered in</w:t>
      </w:r>
    </w:p>
    <w:p>
      <w:pPr>
        <w:ind w:left="360"/>
        <w:spacing w:after="0" w:line="235"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exchange for a portion of a temporary global Security only in compliance with the requirements of Section 303.</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CEDEL, as the case may be, to request such exchange on his behalf and delivers to Euroclear or CEDEL, as the case may be, a certificate in the form set forth in Exhibit A-1 to this Indenture (or in such other form as may be established pursuant to Section 301), dated no earlier than 15 days prior to the Exchange Date, copies of which certificate shall be available from the offices of Euroclear and CEDEL,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CEDEL. Definitive Securities in bearer form to be delivered in exchange for any portion of a temporary global Security shall be delivered only outside the United States.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3" w:right="1440" w:bottom="1440" w:gutter="0" w:footer="0" w:header="0"/>
        </w:sectPr>
      </w:pPr>
    </w:p>
    <w:bookmarkStart w:id="136" w:name="page137"/>
    <w:bookmarkEnd w:id="136"/>
    <w:p>
      <w:pPr>
        <w:ind w:right="3239"/>
        <w:spacing w:after="0" w:line="254" w:lineRule="auto"/>
        <w:rPr>
          <w:sz w:val="20"/>
          <w:szCs w:val="20"/>
          <w:color w:val="auto"/>
        </w:rPr>
      </w:pPr>
      <w:r>
        <w:rPr>
          <w:rFonts w:ascii="Courier New" w:cs="Courier New" w:eastAsia="Courier New" w:hAnsi="Courier New"/>
          <w:sz w:val="14"/>
          <w:szCs w:val="14"/>
          <w:color w:val="auto"/>
        </w:rPr>
        <w:t>by Section 301, interest payable on a temporary global Security on an Interest Payment Date for Securities of such series occurring prior to the applicable Exchange Date shall be payable to Euroclear and CEDEL on such Interest Payment Date upon delivery by Euroclear and CEDEL to the Trustee of a certificate or certificates in the form set forth in Exhibit A-2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CEDEL, as the case may be, a certificate dated no earlier than 15 days prior to the Interest Payment Date occurring prior to such Exchange Date in the form set forth as Exhibit A-1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CEDEL and not paid as herein provided shall be returned to the Trustee prior to the expiration of two years after such Interest Payment Date in order to be repaid to the Company.</w:t>
      </w:r>
    </w:p>
    <w:p>
      <w:pPr>
        <w:spacing w:after="0" w:line="339" w:lineRule="exact"/>
        <w:rPr>
          <w:sz w:val="20"/>
          <w:szCs w:val="20"/>
          <w:color w:val="auto"/>
        </w:rPr>
      </w:pPr>
    </w:p>
    <w:p>
      <w:pPr>
        <w:ind w:left="700"/>
        <w:spacing w:after="0"/>
        <w:tabs>
          <w:tab w:leader="none" w:pos="1920" w:val="left"/>
        </w:tabs>
        <w:rPr>
          <w:sz w:val="20"/>
          <w:szCs w:val="20"/>
          <w:color w:val="auto"/>
        </w:rPr>
      </w:pPr>
      <w:r>
        <w:rPr>
          <w:rFonts w:ascii="Courier New" w:cs="Courier New" w:eastAsia="Courier New" w:hAnsi="Courier New"/>
          <w:sz w:val="15"/>
          <w:szCs w:val="15"/>
          <w:color w:val="auto"/>
        </w:rPr>
        <w:t>SECTION 305.</w:t>
      </w:r>
      <w:r>
        <w:rPr>
          <w:sz w:val="20"/>
          <w:szCs w:val="20"/>
          <w:color w:val="auto"/>
        </w:rPr>
        <w:tab/>
      </w:r>
      <w:r>
        <w:rPr>
          <w:rFonts w:ascii="Courier New" w:cs="Courier New" w:eastAsia="Courier New" w:hAnsi="Courier New"/>
          <w:sz w:val="14"/>
          <w:szCs w:val="14"/>
          <w:color w:val="auto"/>
        </w:rPr>
        <w:t>Registration, Registration of Transfer and Exchange. The</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appointed "Security Registrar" for the purpose of registering Registered Securities and transfers of Registered Securities on such Security Register as herein provided. In the event that the Trustee shall cease to be Security Registrar, Holders shall have the right to examine the Security Register at all reasonable times.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137" w:name="page138"/>
    <w:bookmarkEnd w:id="137"/>
    <w:p>
      <w:pPr>
        <w:ind w:right="3319" w:firstLine="437"/>
        <w:spacing w:after="0" w:line="255" w:lineRule="auto"/>
        <w:rPr>
          <w:sz w:val="20"/>
          <w:szCs w:val="20"/>
          <w:color w:val="auto"/>
        </w:rPr>
      </w:pPr>
      <w:r>
        <w:rPr>
          <w:rFonts w:ascii="Courier New" w:cs="Courier New" w:eastAsia="Courier New" w:hAnsi="Courier New"/>
          <w:sz w:val="14"/>
          <w:szCs w:val="14"/>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provided,</w:t>
      </w:r>
    </w:p>
    <w:p>
      <w:pPr>
        <w:ind w:left="604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however, that, except as otherwise provided in Section 1002, interest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3" w:right="1440" w:bottom="1440" w:gutter="0" w:footer="0" w:header="0"/>
        </w:sectPr>
      </w:pPr>
    </w:p>
    <w:bookmarkStart w:id="138" w:name="page139"/>
    <w:bookmarkEnd w:id="138"/>
    <w:p>
      <w:pPr>
        <w:ind w:right="3239"/>
        <w:spacing w:after="0" w:line="237" w:lineRule="auto"/>
        <w:rPr>
          <w:sz w:val="20"/>
          <w:szCs w:val="20"/>
          <w:color w:val="auto"/>
        </w:rPr>
      </w:pPr>
      <w:r>
        <w:rPr>
          <w:rFonts w:ascii="Courier New" w:cs="Courier New" w:eastAsia="Courier New" w:hAnsi="Courier New"/>
          <w:sz w:val="15"/>
          <w:szCs w:val="15"/>
          <w:color w:val="auto"/>
        </w:rPr>
        <w:t>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Notwithstanding the foregoing, except otherwise specified as contemplated by Section 301, any permanent global Security shall be exchangeable only as provided in this paragraph. If the depositary for any permanent global Security is The Depository Trust Company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depositary for the applicable global Security or Securities or if at any time DTC ceases to be a clearing agency registered under the Securities Exchange Act of 1934 if so required by applicable law or regulation, the Company shall appoint a successor depositary with respect to such global Security or Securities. If (x) a successor depositary for such global Security or Securities is not appointed by the Company within 90 days after the Company receives such notice or becomes aware of such unwillingness, inability or ineligibility, (y) an Event of Default has occurred and is continuing and the beneficial owners representing a majority in principal amount of the applicable series of Securities represented by such global Security or Securities advise DTC to cease acting as depositary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792" w:right="1440" w:bottom="1440" w:gutter="0" w:footer="0" w:header="0"/>
        </w:sectPr>
      </w:pPr>
    </w:p>
    <w:bookmarkStart w:id="139" w:name="page140"/>
    <w:bookmarkEnd w:id="139"/>
    <w:p>
      <w:pPr>
        <w:ind w:right="3239"/>
        <w:spacing w:after="0" w:line="254" w:lineRule="auto"/>
        <w:rPr>
          <w:sz w:val="20"/>
          <w:szCs w:val="20"/>
          <w:color w:val="auto"/>
        </w:rPr>
      </w:pPr>
      <w:r>
        <w:rPr>
          <w:rFonts w:ascii="Courier New" w:cs="Courier New" w:eastAsia="Courier New" w:hAnsi="Courier New"/>
          <w:sz w:val="14"/>
          <w:szCs w:val="14"/>
          <w:color w:val="auto"/>
        </w:rPr>
        <w:t>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depositary as shall be specified in the Company Order with respect thereto to the Trustee, as the Company's agent for such purposes; provided, however, that no such exchanges may</w:t>
      </w:r>
    </w:p>
    <w:p>
      <w:pPr>
        <w:ind w:left="3080"/>
        <w:spacing w:after="0" w:line="236" w:lineRule="auto"/>
        <w:tabs>
          <w:tab w:leader="none" w:pos="39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occur during a period beginning at the opening of business 15 days before any selection of Securities to be redeemed and ending on the relevent Redemption Date if the Security for which exchange is requested may be among those selected for redemption; and provided further that not Bearer Security delivered in</w:t>
      </w:r>
    </w:p>
    <w:p>
      <w:pPr>
        <w:ind w:left="1760"/>
        <w:spacing w:after="0" w:line="232"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by payable on such Interest Payment Date or proposed date for payment, as the case may be, in respect of such Registered Security, but will not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74"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the transfer or exchange.</w:t>
      </w:r>
    </w:p>
    <w:p>
      <w:pPr>
        <w:spacing w:after="0" w:line="17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Every Registered Security presented or surrendered for registration of transfer or for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75"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No service charge shall be made for any registration of transfer or exchange of Securities, but the Company may require payment of a sum sufficient to cover any tax or other governmental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3" w:right="1440" w:bottom="1440" w:gutter="0" w:footer="0" w:header="0"/>
        </w:sectPr>
      </w:pPr>
    </w:p>
    <w:bookmarkStart w:id="140" w:name="page141"/>
    <w:bookmarkEnd w:id="140"/>
    <w:p>
      <w:pPr>
        <w:ind w:right="3319"/>
        <w:spacing w:after="0" w:line="235" w:lineRule="auto"/>
        <w:rPr>
          <w:sz w:val="20"/>
          <w:szCs w:val="20"/>
          <w:color w:val="auto"/>
        </w:rPr>
      </w:pPr>
      <w:r>
        <w:rPr>
          <w:rFonts w:ascii="Courier New" w:cs="Courier New" w:eastAsia="Courier New" w:hAnsi="Courier New"/>
          <w:sz w:val="15"/>
          <w:szCs w:val="15"/>
          <w:color w:val="auto"/>
        </w:rPr>
        <w:t>charge that may be imposed in connection with any registration of transfer or exchange of Securities, other than exchanges pursuant to Section 304, 906, 1107 or 1305 not involving any transfer.</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provided that such Registered Security shall be simultaneously</w:t>
      </w:r>
    </w:p>
    <w:p>
      <w:pPr>
        <w:ind w:left="10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surrendered for redemption, or (iv) to issue, register the transfer of or exchange any Security which has been surrendered for repayment at the option of the Holder, except the portion, if any, of such Security not to be so repaid.</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306. Mutilated, Destroyed, Lost and Stolen Securities. If any</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mutilated Securities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141" w:name="page142"/>
    <w:bookmarkEnd w:id="141"/>
    <w:p>
      <w:pPr>
        <w:ind w:right="3239"/>
        <w:spacing w:after="0" w:line="235" w:lineRule="auto"/>
        <w:rPr>
          <w:sz w:val="20"/>
          <w:szCs w:val="20"/>
          <w:color w:val="auto"/>
        </w:rPr>
      </w:pPr>
      <w:r>
        <w:rPr>
          <w:rFonts w:ascii="Courier New" w:cs="Courier New" w:eastAsia="Courier New" w:hAnsi="Courier New"/>
          <w:sz w:val="15"/>
          <w:szCs w:val="15"/>
          <w:color w:val="auto"/>
        </w:rPr>
        <w:t>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provided, however, that payment of principal of (and premium, if any),</w:t>
      </w:r>
    </w:p>
    <w:p>
      <w:pPr>
        <w:ind w:left="700"/>
        <w:spacing w:after="0"/>
        <w:tabs>
          <w:tab w:leader="none" w:pos="1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any interest on and any Additional Amounts with respect to,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307. Payment of Interest; Interest Rights Preserved. Except as</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Section 1002;</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4"/>
          <w:szCs w:val="14"/>
          <w:color w:val="auto"/>
        </w:rPr>
        <w:t>provided, however, that each installment of interest on any Registered Security</w:t>
      </w:r>
    </w:p>
    <w:p>
      <w:pPr>
        <w:spacing w:after="0" w:line="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174"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75"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Unless otherwise provided as contemplated by Section 301, every permanent global Security will provide that interest, if any, payable of any Interest Payment Date will be paid to DTC, Euroclear and/or CEDEL, as the case may be, with respect to that portion of such permanent global Security held for its account by Cede &amp; Co. or the Common Depositary, as the case may be, for the purpose of permitting such party to credit the interest received by it in respect of such permanent global Security to the accounts of the beneficial owners thereof.</w:t>
      </w:r>
    </w:p>
    <w:p>
      <w:pPr>
        <w:spacing w:after="0" w:line="177"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6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77" w:lineRule="exact"/>
        <w:rPr>
          <w:sz w:val="20"/>
          <w:szCs w:val="20"/>
          <w:color w:val="auto"/>
        </w:rPr>
      </w:pPr>
    </w:p>
    <w:p>
      <w:pPr>
        <w:ind w:right="3239" w:firstLine="884"/>
        <w:spacing w:after="0" w:line="256" w:lineRule="auto"/>
        <w:tabs>
          <w:tab w:leader="none" w:pos="1312"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3" w:right="1440" w:bottom="1440" w:gutter="0" w:footer="0" w:header="0"/>
        </w:sectPr>
      </w:pPr>
    </w:p>
    <w:bookmarkStart w:id="143" w:name="page144"/>
    <w:bookmarkEnd w:id="143"/>
    <w:p>
      <w:pPr>
        <w:ind w:right="3239"/>
        <w:spacing w:after="0" w:line="254" w:lineRule="auto"/>
        <w:rPr>
          <w:sz w:val="20"/>
          <w:szCs w:val="20"/>
          <w:color w:val="auto"/>
        </w:rPr>
      </w:pPr>
      <w:r>
        <w:rPr>
          <w:rFonts w:ascii="Courier New" w:cs="Courier New" w:eastAsia="Courier New" w:hAnsi="Courier New"/>
          <w:sz w:val="14"/>
          <w:szCs w:val="14"/>
          <w:color w:val="auto"/>
        </w:rPr>
        <w:t>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3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144" w:name="page145"/>
    <w:bookmarkEnd w:id="144"/>
    <w:p>
      <w:pPr>
        <w:ind w:left="440" w:right="3239" w:firstLine="444"/>
        <w:spacing w:after="0" w:line="236" w:lineRule="auto"/>
        <w:tabs>
          <w:tab w:leader="none" w:pos="1402"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67" w:lineRule="exact"/>
        <w:rPr>
          <w:sz w:val="20"/>
          <w:szCs w:val="20"/>
          <w:color w:val="auto"/>
        </w:rPr>
      </w:pPr>
    </w:p>
    <w:p>
      <w:pPr>
        <w:ind w:left="880"/>
        <w:spacing w:after="0"/>
        <w:tabs>
          <w:tab w:leader="none" w:pos="2180" w:val="left"/>
          <w:tab w:leader="none" w:pos="4280" w:val="left"/>
        </w:tabs>
        <w:rPr>
          <w:sz w:val="20"/>
          <w:szCs w:val="20"/>
          <w:color w:val="auto"/>
        </w:rPr>
      </w:pPr>
      <w:r>
        <w:rPr>
          <w:rFonts w:ascii="Courier New" w:cs="Courier New" w:eastAsia="Courier New" w:hAnsi="Courier New"/>
          <w:sz w:val="15"/>
          <w:szCs w:val="15"/>
          <w:color w:val="auto"/>
        </w:rPr>
        <w:t>SECTION 308.</w:t>
        <w:tab/>
        <w:t>Persons Deemed Owners.</w:t>
      </w:r>
      <w:r>
        <w:rPr>
          <w:sz w:val="20"/>
          <w:szCs w:val="20"/>
          <w:color w:val="auto"/>
        </w:rPr>
        <w:tab/>
      </w:r>
      <w:r>
        <w:rPr>
          <w:rFonts w:ascii="Courier New" w:cs="Courier New" w:eastAsia="Courier New" w:hAnsi="Courier New"/>
          <w:sz w:val="14"/>
          <w:szCs w:val="14"/>
          <w:color w:val="auto"/>
        </w:rPr>
        <w:t>Prior to due presentment of a</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w:t>
      </w:r>
    </w:p>
    <w:p>
      <w:pPr>
        <w:spacing w:after="0" w:line="177"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77" w:lineRule="exact"/>
        <w:rPr>
          <w:sz w:val="20"/>
          <w:szCs w:val="20"/>
          <w:color w:val="auto"/>
        </w:rPr>
      </w:pPr>
    </w:p>
    <w:p>
      <w:pPr>
        <w:ind w:right="3579" w:firstLine="875"/>
        <w:spacing w:after="0" w:line="256" w:lineRule="auto"/>
        <w:rPr>
          <w:sz w:val="20"/>
          <w:szCs w:val="20"/>
          <w:color w:val="auto"/>
        </w:rPr>
      </w:pPr>
      <w:r>
        <w:rPr>
          <w:rFonts w:ascii="Courier New" w:cs="Courier New" w:eastAsia="Courier New" w:hAnsi="Courier New"/>
          <w:sz w:val="14"/>
          <w:szCs w:val="14"/>
          <w:color w:val="auto"/>
        </w:rPr>
        <w:t>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6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145" w:name="page146"/>
    <w:bookmarkEnd w:id="145"/>
    <w:p>
      <w:pPr>
        <w:ind w:right="3679"/>
        <w:spacing w:after="0" w:line="234" w:lineRule="auto"/>
        <w:rPr>
          <w:sz w:val="20"/>
          <w:szCs w:val="20"/>
          <w:color w:val="auto"/>
        </w:rPr>
      </w:pPr>
      <w:r>
        <w:rPr>
          <w:rFonts w:ascii="Courier New" w:cs="Courier New" w:eastAsia="Courier New" w:hAnsi="Courier New"/>
          <w:sz w:val="15"/>
          <w:szCs w:val="15"/>
          <w:color w:val="auto"/>
        </w:rPr>
        <w:t>governing the exercise of the rights of such depositary (or its nominee) as Holder of such global Security.</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309.</w:t>
      </w:r>
      <w:r>
        <w:rPr>
          <w:sz w:val="20"/>
          <w:szCs w:val="20"/>
          <w:color w:val="auto"/>
        </w:rPr>
        <w:tab/>
      </w:r>
      <w:r>
        <w:rPr>
          <w:rFonts w:ascii="Courier New" w:cs="Courier New" w:eastAsia="Courier New" w:hAnsi="Courier New"/>
          <w:sz w:val="14"/>
          <w:szCs w:val="14"/>
          <w:color w:val="auto"/>
        </w:rPr>
        <w:t>Cancellation. All Securities and coupons surrendered for</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payment, redemption, repayment at the option of the Holder, registration of transfer or exchange or for credit against any sinking fund payment shall, if surrendered to any Person other than the Trustee, be delivered to the Trustee, and any such Securities and coupons and Securities and coupons surrendered directly to the Trustee for any such purpose shall be promptly cancelled by it; provided, however, where the Place of Payment is located outside of the United</w:t>
      </w:r>
    </w:p>
    <w:p>
      <w:pPr>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States, the Paying Agent at such Place of Payment may cancel the Securities surrendered to it for such purposes prior to delivering the Securities to the Trustee.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destroyed by the Trustee and the Trustee shall deliver a certificate of such destruction to the Company, unless by a Company Order the Company directs their return to it.</w:t>
      </w:r>
    </w:p>
    <w:p>
      <w:pPr>
        <w:spacing w:after="0" w:line="168" w:lineRule="exact"/>
        <w:rPr>
          <w:sz w:val="20"/>
          <w:szCs w:val="20"/>
          <w:color w:val="auto"/>
        </w:rPr>
      </w:pPr>
    </w:p>
    <w:p>
      <w:pPr>
        <w:ind w:left="440"/>
        <w:spacing w:after="0"/>
        <w:tabs>
          <w:tab w:leader="none" w:pos="1660" w:val="left"/>
          <w:tab w:leader="none" w:pos="3920" w:val="left"/>
        </w:tabs>
        <w:rPr>
          <w:sz w:val="20"/>
          <w:szCs w:val="20"/>
          <w:color w:val="auto"/>
        </w:rPr>
      </w:pPr>
      <w:r>
        <w:rPr>
          <w:rFonts w:ascii="Courier New" w:cs="Courier New" w:eastAsia="Courier New" w:hAnsi="Courier New"/>
          <w:sz w:val="15"/>
          <w:szCs w:val="15"/>
          <w:color w:val="auto"/>
        </w:rPr>
        <w:t>SECTION 310.</w:t>
        <w:tab/>
        <w:t>Computation of Interest.</w:t>
      </w:r>
      <w:r>
        <w:rPr>
          <w:sz w:val="20"/>
          <w:szCs w:val="20"/>
          <w:color w:val="auto"/>
        </w:rPr>
        <w:tab/>
      </w:r>
      <w:r>
        <w:rPr>
          <w:rFonts w:ascii="Courier New" w:cs="Courier New" w:eastAsia="Courier New" w:hAnsi="Courier New"/>
          <w:sz w:val="14"/>
          <w:szCs w:val="14"/>
          <w:color w:val="auto"/>
        </w:rPr>
        <w:t>Except as otherwise specified as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contemplated by Section 301 with respect to Securities of any series, interest on the Securities of each series shall be computed on the basis of a 360-day year consisting of twelve 30-day months.</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FOUR</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SATISFACTION AND DISCHARGE</w:t>
      </w:r>
    </w:p>
    <w:p>
      <w:pPr>
        <w:spacing w:after="0" w:line="166" w:lineRule="exact"/>
        <w:rPr>
          <w:sz w:val="20"/>
          <w:szCs w:val="20"/>
          <w:color w:val="auto"/>
        </w:rPr>
      </w:pPr>
    </w:p>
    <w:p>
      <w:pPr>
        <w:ind w:left="440"/>
        <w:spacing w:after="0"/>
        <w:tabs>
          <w:tab w:leader="none" w:pos="1660" w:val="left"/>
          <w:tab w:leader="none" w:pos="5320" w:val="left"/>
        </w:tabs>
        <w:rPr>
          <w:sz w:val="20"/>
          <w:szCs w:val="20"/>
          <w:color w:val="auto"/>
        </w:rPr>
      </w:pPr>
      <w:r>
        <w:rPr>
          <w:rFonts w:ascii="Courier New" w:cs="Courier New" w:eastAsia="Courier New" w:hAnsi="Courier New"/>
          <w:sz w:val="15"/>
          <w:szCs w:val="15"/>
          <w:color w:val="auto"/>
        </w:rPr>
        <w:t>SECTION 401.</w:t>
        <w:tab/>
        <w:t>Satisfaction and Discharge of Indenture.</w:t>
      </w:r>
      <w:r>
        <w:rPr>
          <w:sz w:val="20"/>
          <w:szCs w:val="20"/>
          <w:color w:val="auto"/>
        </w:rPr>
        <w:tab/>
      </w:r>
      <w:r>
        <w:rPr>
          <w:rFonts w:ascii="Courier New" w:cs="Courier New" w:eastAsia="Courier New" w:hAnsi="Courier New"/>
          <w:sz w:val="14"/>
          <w:szCs w:val="14"/>
          <w:color w:val="auto"/>
        </w:rPr>
        <w:t>This Indenture</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shall upon Company Request cease to be of further effect with respect to any series of Securities specified in such Company Request (except as to any surviving rights of registration of transfer or exchange of Securities of such series herein expressly provided for and any right to receive Additional Amounts, as provided in Section 1010), and the Trustee, upon receipt of a Company Order, and at the expense of the Company, shall execute proper</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146" w:name="page147"/>
    <w:bookmarkEnd w:id="146"/>
    <w:p>
      <w:pPr>
        <w:ind w:right="3579"/>
        <w:spacing w:after="0" w:line="234" w:lineRule="auto"/>
        <w:rPr>
          <w:sz w:val="20"/>
          <w:szCs w:val="20"/>
          <w:color w:val="auto"/>
        </w:rPr>
      </w:pPr>
      <w:r>
        <w:rPr>
          <w:rFonts w:ascii="Courier New" w:cs="Courier New" w:eastAsia="Courier New" w:hAnsi="Courier New"/>
          <w:sz w:val="15"/>
          <w:szCs w:val="15"/>
          <w:color w:val="auto"/>
        </w:rPr>
        <w:t>instruments acknowledging satisfaction and discharge of this Indenture as to such series when</w:t>
      </w:r>
    </w:p>
    <w:p>
      <w:pPr>
        <w:spacing w:after="0" w:line="167" w:lineRule="exact"/>
        <w:rPr>
          <w:sz w:val="20"/>
          <w:szCs w:val="20"/>
          <w:color w:val="auto"/>
        </w:rPr>
      </w:pPr>
    </w:p>
    <w:p>
      <w:pPr>
        <w:ind w:left="980" w:hanging="533"/>
        <w:spacing w:after="0"/>
        <w:tabs>
          <w:tab w:leader="none" w:pos="98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2" w:lineRule="exact"/>
        <w:rPr>
          <w:rFonts w:ascii="Courier New" w:cs="Courier New" w:eastAsia="Courier New" w:hAnsi="Courier New"/>
          <w:sz w:val="15"/>
          <w:szCs w:val="15"/>
          <w:color w:val="auto"/>
        </w:rPr>
      </w:pPr>
    </w:p>
    <w:p>
      <w:pPr>
        <w:ind w:left="440" w:right="3239" w:firstLine="532"/>
        <w:spacing w:after="0" w:line="237" w:lineRule="auto"/>
        <w:tabs>
          <w:tab w:leader="none" w:pos="1402"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73" w:lineRule="exact"/>
        <w:rPr>
          <w:rFonts w:ascii="Courier New" w:cs="Courier New" w:eastAsia="Courier New" w:hAnsi="Courier New"/>
          <w:sz w:val="15"/>
          <w:szCs w:val="15"/>
          <w:color w:val="auto"/>
        </w:rPr>
      </w:pPr>
    </w:p>
    <w:p>
      <w:pPr>
        <w:jc w:val="both"/>
        <w:ind w:left="440" w:right="3499" w:firstLine="532"/>
        <w:spacing w:after="0" w:line="235" w:lineRule="auto"/>
        <w:tabs>
          <w:tab w:leader="none" w:pos="1402"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of such series and, in the case of (i) or (ii) below, any coupons appertaining thereto not theretofore delivered to the Trustee for cancellation</w:t>
      </w:r>
    </w:p>
    <w:p>
      <w:pPr>
        <w:spacing w:after="0" w:line="167" w:lineRule="exact"/>
        <w:rPr>
          <w:rFonts w:ascii="Courier New" w:cs="Courier New" w:eastAsia="Courier New" w:hAnsi="Courier New"/>
          <w:sz w:val="15"/>
          <w:szCs w:val="15"/>
          <w:color w:val="auto"/>
        </w:rPr>
      </w:pPr>
    </w:p>
    <w:p>
      <w:pPr>
        <w:ind w:left="1940" w:hanging="531"/>
        <w:spacing w:after="0"/>
        <w:tabs>
          <w:tab w:leader="none" w:pos="1940" w:val="left"/>
        </w:tabs>
        <w:numPr>
          <w:ilvl w:val="2"/>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become due and payable, or</w:t>
      </w:r>
    </w:p>
    <w:p>
      <w:pPr>
        <w:spacing w:after="0" w:line="172" w:lineRule="exact"/>
        <w:rPr>
          <w:rFonts w:ascii="Courier New" w:cs="Courier New" w:eastAsia="Courier New" w:hAnsi="Courier New"/>
          <w:sz w:val="15"/>
          <w:szCs w:val="15"/>
          <w:color w:val="auto"/>
        </w:rPr>
      </w:pPr>
    </w:p>
    <w:p>
      <w:pPr>
        <w:ind w:left="980" w:right="3759" w:firstLine="429"/>
        <w:spacing w:after="0" w:line="234" w:lineRule="auto"/>
        <w:tabs>
          <w:tab w:leader="none" w:pos="1942" w:val="left"/>
        </w:tabs>
        <w:numPr>
          <w:ilvl w:val="2"/>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become due and payable at their Stated Maturity within one year, or</w:t>
      </w:r>
    </w:p>
    <w:p>
      <w:pPr>
        <w:spacing w:after="0" w:line="173" w:lineRule="exact"/>
        <w:rPr>
          <w:rFonts w:ascii="Courier New" w:cs="Courier New" w:eastAsia="Courier New" w:hAnsi="Courier New"/>
          <w:sz w:val="15"/>
          <w:szCs w:val="15"/>
          <w:color w:val="auto"/>
        </w:rPr>
      </w:pPr>
    </w:p>
    <w:p>
      <w:pPr>
        <w:ind w:left="980" w:right="3239" w:firstLine="429"/>
        <w:spacing w:after="0" w:line="235" w:lineRule="auto"/>
        <w:tabs>
          <w:tab w:leader="none" w:pos="1942" w:val="left"/>
        </w:tabs>
        <w:numPr>
          <w:ilvl w:val="2"/>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75" w:lineRule="exact"/>
        <w:rPr>
          <w:sz w:val="20"/>
          <w:szCs w:val="20"/>
          <w:color w:val="auto"/>
        </w:rPr>
      </w:pPr>
    </w:p>
    <w:p>
      <w:pPr>
        <w:ind w:left="440" w:right="3319"/>
        <w:spacing w:after="0" w:line="255" w:lineRule="auto"/>
        <w:rPr>
          <w:sz w:val="20"/>
          <w:szCs w:val="20"/>
          <w:color w:val="auto"/>
        </w:rPr>
      </w:pPr>
      <w:r>
        <w:rPr>
          <w:rFonts w:ascii="Courier New" w:cs="Courier New" w:eastAsia="Courier New" w:hAnsi="Courier New"/>
          <w:sz w:val="14"/>
          <w:szCs w:val="14"/>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if any) and interest, and any Additional Amounts with respect thereto, to the date of such deposit (in the case of Securities which have become due and payable) or to the Stated Maturity or Redemption Date, as the case may be;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3" w:right="1440" w:bottom="1440" w:gutter="0" w:footer="0" w:header="0"/>
        </w:sectPr>
      </w:pPr>
    </w:p>
    <w:bookmarkStart w:id="147" w:name="page148"/>
    <w:bookmarkEnd w:id="147"/>
    <w:p>
      <w:pPr>
        <w:ind w:left="440" w:right="3319" w:firstLine="444"/>
        <w:spacing w:after="0" w:line="234" w:lineRule="auto"/>
        <w:tabs>
          <w:tab w:leader="none" w:pos="1315"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caused to be paid all other sums payable hereunder by the Company; and</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315"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and Officers' Certificate and an Opinion of Counsel, each stated that all conditions precedent herein provided for relating to the satisfaction and discharge of this Indenture as to such series have been complied with.</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402. Application of Trust Funds. Subject to the provisions of</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if any), and any interest and Additional Amounts for whose payment such money has been deposited with or received by the Trustee, but such money need not be segregated from other funds except to the extent required by law.</w:t>
      </w:r>
    </w:p>
    <w:p>
      <w:pPr>
        <w:spacing w:after="0" w:line="15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FIVE</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REMEDIES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501. Events of Defaults. "Event of Default", wherever used</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74" w:lineRule="exact"/>
        <w:rPr>
          <w:sz w:val="20"/>
          <w:szCs w:val="20"/>
          <w:color w:val="auto"/>
        </w:rPr>
      </w:pPr>
    </w:p>
    <w:p>
      <w:pPr>
        <w:ind w:left="440" w:right="3239" w:firstLine="444"/>
        <w:spacing w:after="0" w:line="236" w:lineRule="auto"/>
        <w:tabs>
          <w:tab w:leader="none" w:pos="1315"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or any Additional Amounts payable in respect of any Security of that series or of any coupon appertaining thereto, when such interest, Additional Amounts or coupon becomes due and payable, and continuance of such default for a period of 30 days; or</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315"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Security of that series when it becomes due and payable at its Maturity; or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3" w:right="1440" w:bottom="1440" w:gutter="0" w:footer="0" w:header="0"/>
        </w:sectPr>
      </w:pPr>
    </w:p>
    <w:bookmarkStart w:id="148" w:name="page149"/>
    <w:bookmarkEnd w:id="148"/>
    <w:p>
      <w:pPr>
        <w:ind w:left="-447" w:right="3239" w:firstLine="447"/>
        <w:spacing w:after="0" w:line="234" w:lineRule="auto"/>
        <w:tabs>
          <w:tab w:leader="none" w:pos="428"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deposit of any sinking fund payment, when and as due by the terms of any Security of that series; or</w:t>
      </w:r>
    </w:p>
    <w:p>
      <w:pPr>
        <w:spacing w:after="0" w:line="173" w:lineRule="exact"/>
        <w:rPr>
          <w:rFonts w:ascii="Courier New" w:cs="Courier New" w:eastAsia="Courier New" w:hAnsi="Courier New"/>
          <w:sz w:val="15"/>
          <w:szCs w:val="15"/>
          <w:color w:val="auto"/>
        </w:rPr>
      </w:pPr>
    </w:p>
    <w:p>
      <w:pPr>
        <w:ind w:left="-447" w:right="3239" w:firstLine="447"/>
        <w:spacing w:after="0" w:line="236" w:lineRule="auto"/>
        <w:tabs>
          <w:tab w:leader="none" w:pos="428"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9" w:lineRule="exact"/>
        <w:rPr>
          <w:rFonts w:ascii="Courier New" w:cs="Courier New" w:eastAsia="Courier New" w:hAnsi="Courier New"/>
          <w:sz w:val="15"/>
          <w:szCs w:val="15"/>
          <w:color w:val="auto"/>
        </w:rPr>
      </w:pPr>
    </w:p>
    <w:p>
      <w:pPr>
        <w:ind w:left="-447" w:right="3239" w:firstLine="447"/>
        <w:spacing w:after="0" w:line="255" w:lineRule="auto"/>
        <w:tabs>
          <w:tab w:leader="none" w:pos="42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under any bond, debenture, note or other evidence of indebtedness for money borrowed by the Company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property purchased) in an aggregate principal amount in excess of $5,000,000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or</w:t>
      </w:r>
    </w:p>
    <w:p>
      <w:pPr>
        <w:spacing w:after="0" w:line="163" w:lineRule="exact"/>
        <w:rPr>
          <w:rFonts w:ascii="Courier New" w:cs="Courier New" w:eastAsia="Courier New" w:hAnsi="Courier New"/>
          <w:sz w:val="14"/>
          <w:szCs w:val="14"/>
          <w:color w:val="auto"/>
        </w:rPr>
      </w:pPr>
    </w:p>
    <w:p>
      <w:pPr>
        <w:ind w:left="-447" w:right="3499" w:firstLine="447"/>
        <w:spacing w:after="0" w:line="234" w:lineRule="auto"/>
        <w:tabs>
          <w:tab w:leader="none" w:pos="428"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Significant Subsidiary pursuant to or within the meaning of any Bankruptcy Law:</w:t>
      </w:r>
    </w:p>
    <w:p>
      <w:pPr>
        <w:spacing w:after="0" w:line="166" w:lineRule="exact"/>
        <w:rPr>
          <w:rFonts w:ascii="Courier New" w:cs="Courier New" w:eastAsia="Courier New" w:hAnsi="Courier New"/>
          <w:sz w:val="15"/>
          <w:szCs w:val="15"/>
          <w:color w:val="auto"/>
        </w:rPr>
      </w:pPr>
    </w:p>
    <w:p>
      <w:pPr>
        <w:ind w:left="873" w:hanging="436"/>
        <w:spacing w:after="0"/>
        <w:tabs>
          <w:tab w:leader="none" w:pos="873"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commences a voluntary case,</w:t>
      </w:r>
    </w:p>
    <w:p>
      <w:pPr>
        <w:spacing w:after="0" w:line="172" w:lineRule="exact"/>
        <w:rPr>
          <w:rFonts w:ascii="Courier New" w:cs="Courier New" w:eastAsia="Courier New" w:hAnsi="Courier New"/>
          <w:sz w:val="15"/>
          <w:szCs w:val="15"/>
          <w:color w:val="auto"/>
        </w:rPr>
      </w:pPr>
    </w:p>
    <w:p>
      <w:pPr>
        <w:ind w:left="-7" w:right="3579" w:firstLine="444"/>
        <w:spacing w:after="0" w:line="234" w:lineRule="auto"/>
        <w:tabs>
          <w:tab w:leader="none" w:pos="868"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the entry of an order for relief against it in an involuntary case.</w:t>
      </w:r>
    </w:p>
    <w:p>
      <w:pPr>
        <w:spacing w:after="0" w:line="173" w:lineRule="exact"/>
        <w:rPr>
          <w:rFonts w:ascii="Courier New" w:cs="Courier New" w:eastAsia="Courier New" w:hAnsi="Courier New"/>
          <w:sz w:val="15"/>
          <w:szCs w:val="15"/>
          <w:color w:val="auto"/>
        </w:rPr>
      </w:pPr>
    </w:p>
    <w:p>
      <w:pPr>
        <w:ind w:left="-7" w:right="3499" w:firstLine="444"/>
        <w:spacing w:after="0" w:line="234" w:lineRule="auto"/>
        <w:tabs>
          <w:tab w:leader="none" w:pos="868"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the appointment of a Custodian of it or for all or substantially all of its property, or</w:t>
      </w:r>
    </w:p>
    <w:p>
      <w:pPr>
        <w:spacing w:after="0" w:line="166" w:lineRule="exact"/>
        <w:rPr>
          <w:rFonts w:ascii="Courier New" w:cs="Courier New" w:eastAsia="Courier New" w:hAnsi="Courier New"/>
          <w:sz w:val="15"/>
          <w:szCs w:val="15"/>
          <w:color w:val="auto"/>
        </w:rPr>
      </w:pPr>
    </w:p>
    <w:p>
      <w:pPr>
        <w:ind w:left="873" w:hanging="436"/>
        <w:spacing w:after="0"/>
        <w:tabs>
          <w:tab w:leader="none" w:pos="873"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a general assignment for the benefit of its creditors; or</w:t>
      </w:r>
    </w:p>
    <w:p>
      <w:pPr>
        <w:spacing w:after="0" w:line="172" w:lineRule="exact"/>
        <w:rPr>
          <w:rFonts w:ascii="Courier New" w:cs="Courier New" w:eastAsia="Courier New" w:hAnsi="Courier New"/>
          <w:sz w:val="15"/>
          <w:szCs w:val="15"/>
          <w:color w:val="auto"/>
        </w:rPr>
      </w:pPr>
    </w:p>
    <w:p>
      <w:pPr>
        <w:ind w:left="-447" w:right="3319" w:firstLine="447"/>
        <w:spacing w:after="0" w:line="234" w:lineRule="auto"/>
        <w:tabs>
          <w:tab w:leader="none" w:pos="428"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of competent jurisdiction enters an order or decree under any Bankruptcy Law that:</w:t>
      </w:r>
    </w:p>
    <w:p>
      <w:pPr>
        <w:spacing w:after="0" w:line="167"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792"/>
          </w:cols>
          <w:pgMar w:left="667" w:top="623" w:right="1440" w:bottom="1440" w:gutter="0" w:footer="0" w:header="0"/>
        </w:sectPr>
      </w:pPr>
    </w:p>
    <w:bookmarkStart w:id="149" w:name="page150"/>
    <w:bookmarkEnd w:id="149"/>
    <w:p>
      <w:pPr>
        <w:ind w:left="980" w:right="3679" w:firstLine="517"/>
        <w:spacing w:after="0" w:line="234" w:lineRule="auto"/>
        <w:tabs>
          <w:tab w:leader="none" w:pos="203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for relief against the Company or any Significant Subsidiary in an involuntary case,</w:t>
      </w:r>
    </w:p>
    <w:p>
      <w:pPr>
        <w:spacing w:after="0" w:line="173" w:lineRule="exact"/>
        <w:rPr>
          <w:rFonts w:ascii="Courier New" w:cs="Courier New" w:eastAsia="Courier New" w:hAnsi="Courier New"/>
          <w:sz w:val="15"/>
          <w:szCs w:val="15"/>
          <w:color w:val="auto"/>
        </w:rPr>
      </w:pPr>
    </w:p>
    <w:p>
      <w:pPr>
        <w:ind w:left="980" w:right="3239" w:firstLine="517"/>
        <w:spacing w:after="0" w:line="235" w:lineRule="auto"/>
        <w:tabs>
          <w:tab w:leader="none" w:pos="203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appoints a Custodian of the Company or any Significant Subsidiary or for all or substantially all of either of its property, or</w:t>
      </w:r>
    </w:p>
    <w:p>
      <w:pPr>
        <w:spacing w:after="0" w:line="173" w:lineRule="exact"/>
        <w:rPr>
          <w:rFonts w:ascii="Courier New" w:cs="Courier New" w:eastAsia="Courier New" w:hAnsi="Courier New"/>
          <w:sz w:val="15"/>
          <w:szCs w:val="15"/>
          <w:color w:val="auto"/>
        </w:rPr>
      </w:pPr>
    </w:p>
    <w:p>
      <w:pPr>
        <w:ind w:left="2020" w:hanging="523"/>
        <w:spacing w:after="0"/>
        <w:tabs>
          <w:tab w:leader="none" w:pos="202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orders the liquidation of the Company or any Significant</w:t>
      </w:r>
    </w:p>
    <w:p>
      <w:pPr>
        <w:spacing w:after="0" w:line="4" w:lineRule="exact"/>
        <w:rPr>
          <w:rFonts w:ascii="Courier New" w:cs="Courier New" w:eastAsia="Courier New" w:hAnsi="Courier New"/>
          <w:sz w:val="14"/>
          <w:szCs w:val="14"/>
          <w:color w:val="auto"/>
        </w:rPr>
      </w:pPr>
    </w:p>
    <w:p>
      <w:pPr>
        <w:ind w:left="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Subsidiary,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 the order or decree remains unstayed and in effect for 90 days; or</w:t>
      </w:r>
    </w:p>
    <w:p>
      <w:pPr>
        <w:spacing w:after="0" w:line="173" w:lineRule="exact"/>
        <w:rPr>
          <w:sz w:val="20"/>
          <w:szCs w:val="20"/>
          <w:color w:val="auto"/>
        </w:rPr>
      </w:pPr>
    </w:p>
    <w:p>
      <w:pPr>
        <w:ind w:left="440" w:right="3319" w:firstLine="532"/>
        <w:spacing w:after="0" w:line="234" w:lineRule="auto"/>
        <w:tabs>
          <w:tab w:leader="none" w:pos="149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with respect to Securities of that series.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69" w:lineRule="exact"/>
        <w:rPr>
          <w:sz w:val="20"/>
          <w:szCs w:val="20"/>
          <w:color w:val="auto"/>
        </w:rPr>
      </w:pPr>
    </w:p>
    <w:p>
      <w:pPr>
        <w:ind w:left="980"/>
        <w:spacing w:after="0"/>
        <w:tabs>
          <w:tab w:leader="none" w:pos="218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Acceleration of Maturity; Rescission and Annulment.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If an Event of Default with respect to Securities of any series at the time Outstanding occurs and is continuing, then and in every such case the Trustee or the Holders of not less than 25% in principal amount of the Outstanding Securities of that series may declare the principal (or, if any Securities are Original Issue Discount Securities or Indexed Securities, such portion of the principal as may be specified in the terms thereto)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79" w:lineRule="exact"/>
        <w:rPr>
          <w:sz w:val="20"/>
          <w:szCs w:val="20"/>
          <w:color w:val="auto"/>
        </w:rPr>
      </w:pPr>
    </w:p>
    <w:p>
      <w:pPr>
        <w:ind w:right="3239" w:firstLine="962"/>
        <w:spacing w:after="0" w:line="236" w:lineRule="auto"/>
        <w:rPr>
          <w:sz w:val="20"/>
          <w:szCs w:val="20"/>
          <w:color w:val="auto"/>
        </w:rPr>
      </w:pPr>
      <w:r>
        <w:rPr>
          <w:rFonts w:ascii="Courier New" w:cs="Courier New" w:eastAsia="Courier New" w:hAnsi="Courier New"/>
          <w:sz w:val="15"/>
          <w:szCs w:val="15"/>
          <w:color w:val="auto"/>
        </w:rPr>
        <w:t>At the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75" w:lineRule="exact"/>
        <w:rPr>
          <w:sz w:val="20"/>
          <w:szCs w:val="20"/>
          <w:color w:val="auto"/>
        </w:rPr>
      </w:pPr>
    </w:p>
    <w:p>
      <w:pPr>
        <w:ind w:left="440" w:right="3239" w:firstLine="532"/>
        <w:spacing w:after="0" w:line="235" w:lineRule="auto"/>
        <w:tabs>
          <w:tab w:leader="none" w:pos="149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deposited with the Trustee a sum sufficient to pay in the currency or currency unit or composite currency in which the Securities of such series are payable (except as otherwise specified pursuant to Section 301 for the Securities of such series):</w:t>
      </w:r>
    </w:p>
    <w:p>
      <w:pPr>
        <w:spacing w:after="0" w:line="175" w:lineRule="exact"/>
        <w:rPr>
          <w:rFonts w:ascii="Courier New" w:cs="Courier New" w:eastAsia="Courier New" w:hAnsi="Courier New"/>
          <w:sz w:val="15"/>
          <w:szCs w:val="15"/>
          <w:color w:val="auto"/>
        </w:rPr>
      </w:pPr>
    </w:p>
    <w:p>
      <w:pPr>
        <w:ind w:left="980" w:right="3399" w:firstLine="517"/>
        <w:spacing w:after="0" w:line="235" w:lineRule="auto"/>
        <w:tabs>
          <w:tab w:leader="none" w:pos="203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installments of interest on and any Additional Amounts payable in respect of all Outstanding Securities of that series and any related coupons,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150" w:name="page151"/>
    <w:bookmarkEnd w:id="150"/>
    <w:p>
      <w:pPr>
        <w:ind w:left="880" w:right="3239" w:firstLine="442"/>
        <w:spacing w:after="0" w:line="235" w:lineRule="auto"/>
        <w:tabs>
          <w:tab w:leader="none" w:pos="1755"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premium, if any, on) any Outstanding Securities of that series which have become due otherwise than by such declaration of acceleration and interest thereon at the rate or rates borne by or provided for in such Securities,</w:t>
      </w:r>
    </w:p>
    <w:p>
      <w:pPr>
        <w:spacing w:after="0" w:line="175" w:lineRule="exact"/>
        <w:rPr>
          <w:rFonts w:ascii="Courier New" w:cs="Courier New" w:eastAsia="Courier New" w:hAnsi="Courier New"/>
          <w:sz w:val="15"/>
          <w:szCs w:val="15"/>
          <w:color w:val="auto"/>
        </w:rPr>
      </w:pPr>
    </w:p>
    <w:p>
      <w:pPr>
        <w:ind w:left="880" w:right="3679" w:firstLine="442"/>
        <w:spacing w:after="0" w:line="235" w:lineRule="auto"/>
        <w:tabs>
          <w:tab w:leader="none" w:pos="1755"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 lawful, interest upon overdue installments of interest and any Additional Amounts at the rate or rates borne by or provided for in such Securities, and</w:t>
      </w:r>
    </w:p>
    <w:p>
      <w:pPr>
        <w:spacing w:after="0" w:line="175" w:lineRule="exact"/>
        <w:rPr>
          <w:rFonts w:ascii="Courier New" w:cs="Courier New" w:eastAsia="Courier New" w:hAnsi="Courier New"/>
          <w:sz w:val="15"/>
          <w:szCs w:val="15"/>
          <w:color w:val="auto"/>
        </w:rPr>
      </w:pPr>
    </w:p>
    <w:p>
      <w:pPr>
        <w:jc w:val="both"/>
        <w:ind w:left="880" w:right="3399" w:firstLine="442"/>
        <w:spacing w:after="0" w:line="235" w:lineRule="auto"/>
        <w:tabs>
          <w:tab w:leader="none" w:pos="1755"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hereunder and the reasonable compensation, expenses, disbursements and advances of the Trustee, its agents and counsel; and</w:t>
      </w:r>
    </w:p>
    <w:p>
      <w:pPr>
        <w:spacing w:after="0" w:line="173" w:lineRule="exact"/>
        <w:rPr>
          <w:rFonts w:ascii="Courier New" w:cs="Courier New" w:eastAsia="Courier New" w:hAnsi="Courier New"/>
          <w:sz w:val="15"/>
          <w:szCs w:val="15"/>
          <w:color w:val="auto"/>
        </w:rPr>
      </w:pPr>
    </w:p>
    <w:p>
      <w:pPr>
        <w:ind w:left="440" w:right="3319" w:firstLine="444"/>
        <w:spacing w:after="0" w:line="236" w:lineRule="auto"/>
        <w:tabs>
          <w:tab w:leader="none" w:pos="131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Securities of that series, other than the nonpayment of the principal of (or premium, if any) or interest on Securities of that series which have become due solely by such declaration of acceleration, have been cured or waived as provided in Section 513.</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No such rescission shall affect any subsequent default or impair any right consequent thereon.</w:t>
      </w:r>
    </w:p>
    <w:p>
      <w:pPr>
        <w:spacing w:after="0" w:line="167"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4"/>
          <w:szCs w:val="14"/>
          <w:color w:val="auto"/>
        </w:rPr>
        <w:t>Collection of Indebtedness and Suits for Enforcement by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Trustee.</w:t>
        <w:tab/>
        <w:t>The Company covenants that if:</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3319" w:firstLine="444"/>
        <w:spacing w:after="0" w:line="235" w:lineRule="auto"/>
        <w:tabs>
          <w:tab w:leader="none" w:pos="131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any installment of interest or Additional Amounts, if any, on any Security of any series and any related coupon when such interest or Additional Amount becomes due and payable and such default continues for period of 30 days, or</w:t>
      </w:r>
    </w:p>
    <w:p>
      <w:pPr>
        <w:spacing w:after="0" w:line="175" w:lineRule="exact"/>
        <w:rPr>
          <w:rFonts w:ascii="Courier New" w:cs="Courier New" w:eastAsia="Courier New" w:hAnsi="Courier New"/>
          <w:sz w:val="15"/>
          <w:szCs w:val="15"/>
          <w:color w:val="auto"/>
        </w:rPr>
      </w:pPr>
    </w:p>
    <w:p>
      <w:pPr>
        <w:ind w:left="440" w:right="3399" w:firstLine="444"/>
        <w:spacing w:after="0" w:line="234" w:lineRule="auto"/>
        <w:tabs>
          <w:tab w:leader="none" w:pos="131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the principal of (or premium, if any, on) any Security of any series at its Maturity,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then the Company will, upon demand of the Trustee, pay to the Trustee, for the benefit of the Holders of such Securities of such series and coupons, the whole amount then due and payable on such Securities and coupons for principal (and premium, if any) and interest and Additional Amounts, with interest upon any overdue principal (and premium, if any) and, to the extent that payment of such interest shall legally enforceable, upon any overdue installments of interest or Additional Amounts, if any, at the rate or rates borne by or provided for in such Securities, and, in additional thereto, such further amount as shall be sufficient to cover the costs and expenses of collection, including the reasonable compensation, expenses, disbursements and advances of the Trustee, its agents and counsel.</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151" w:name="page152"/>
    <w:bookmarkEnd w:id="151"/>
    <w:p>
      <w:pPr>
        <w:ind w:right="3239" w:firstLine="962"/>
        <w:spacing w:after="0" w:line="236" w:lineRule="auto"/>
        <w:rPr>
          <w:sz w:val="20"/>
          <w:szCs w:val="20"/>
          <w:color w:val="auto"/>
        </w:rPr>
      </w:pPr>
      <w:r>
        <w:rPr>
          <w:rFonts w:ascii="Courier New" w:cs="Courier New" w:eastAsia="Courier New" w:hAnsi="Courier New"/>
          <w:sz w:val="15"/>
          <w:szCs w:val="15"/>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77" w:lineRule="exact"/>
        <w:rPr>
          <w:sz w:val="20"/>
          <w:szCs w:val="20"/>
          <w:color w:val="auto"/>
        </w:rPr>
      </w:pPr>
    </w:p>
    <w:p>
      <w:pPr>
        <w:ind w:right="3399" w:firstLine="962"/>
        <w:spacing w:after="0" w:line="236" w:lineRule="auto"/>
        <w:rPr>
          <w:sz w:val="20"/>
          <w:szCs w:val="20"/>
          <w:color w:val="auto"/>
        </w:rPr>
      </w:pPr>
      <w:r>
        <w:rPr>
          <w:rFonts w:ascii="Courier New" w:cs="Courier New" w:eastAsia="Courier New" w:hAnsi="Courier New"/>
          <w:sz w:val="15"/>
          <w:szCs w:val="15"/>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71" w:lineRule="exact"/>
        <w:rPr>
          <w:sz w:val="20"/>
          <w:szCs w:val="20"/>
          <w:color w:val="auto"/>
        </w:rPr>
      </w:pPr>
    </w:p>
    <w:p>
      <w:pPr>
        <w:ind w:left="980"/>
        <w:spacing w:after="0"/>
        <w:tabs>
          <w:tab w:leader="none" w:pos="2180" w:val="left"/>
        </w:tabs>
        <w:rPr>
          <w:sz w:val="20"/>
          <w:szCs w:val="20"/>
          <w:color w:val="auto"/>
        </w:rPr>
      </w:pPr>
      <w:r>
        <w:rPr>
          <w:rFonts w:ascii="Courier New" w:cs="Courier New" w:eastAsia="Courier New" w:hAnsi="Courier New"/>
          <w:sz w:val="15"/>
          <w:szCs w:val="15"/>
          <w:color w:val="auto"/>
        </w:rPr>
        <w:t>SECTION 504.</w:t>
      </w:r>
      <w:r>
        <w:rPr>
          <w:sz w:val="20"/>
          <w:szCs w:val="20"/>
          <w:color w:val="auto"/>
        </w:rPr>
        <w:tab/>
      </w:r>
      <w:r>
        <w:rPr>
          <w:rFonts w:ascii="Courier New" w:cs="Courier New" w:eastAsia="Courier New" w:hAnsi="Courier New"/>
          <w:sz w:val="14"/>
          <w:szCs w:val="14"/>
          <w:color w:val="auto"/>
        </w:rPr>
        <w:t>Trustee May File Proofs of Claim. In case of the</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if any, or interest) shall be entitled and empowered, by intervention in such proceeding or otherwise:</w:t>
      </w:r>
    </w:p>
    <w:p>
      <w:pPr>
        <w:spacing w:after="0" w:line="179" w:lineRule="exact"/>
        <w:rPr>
          <w:sz w:val="20"/>
          <w:szCs w:val="20"/>
          <w:color w:val="auto"/>
        </w:rPr>
      </w:pPr>
    </w:p>
    <w:p>
      <w:pPr>
        <w:ind w:left="440" w:right="3239" w:firstLine="532"/>
        <w:spacing w:after="0" w:line="255" w:lineRule="auto"/>
        <w:tabs>
          <w:tab w:leader="none" w:pos="149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for the whole amount, or such lesser amount as may be provided for in the Securities of such series, of principal (and premium, if any) and interest and Additional Amounts, if any,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65" w:lineRule="exact"/>
        <w:rPr>
          <w:rFonts w:ascii="Courier New" w:cs="Courier New" w:eastAsia="Courier New" w:hAnsi="Courier New"/>
          <w:sz w:val="14"/>
          <w:szCs w:val="14"/>
          <w:color w:val="auto"/>
        </w:rPr>
      </w:pPr>
    </w:p>
    <w:p>
      <w:pPr>
        <w:ind w:left="440" w:right="3319" w:firstLine="532"/>
        <w:spacing w:after="0" w:line="234" w:lineRule="auto"/>
        <w:tabs>
          <w:tab w:leader="none" w:pos="149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collect and receive any moneys or other property payable or deliverable on any such claims and to distribute the same;</w:t>
      </w:r>
    </w:p>
    <w:p>
      <w:pPr>
        <w:spacing w:after="0" w:line="173" w:lineRule="exact"/>
        <w:rPr>
          <w:sz w:val="20"/>
          <w:szCs w:val="20"/>
          <w:color w:val="auto"/>
        </w:rPr>
      </w:pPr>
    </w:p>
    <w:p>
      <w:pPr>
        <w:ind w:right="3579"/>
        <w:spacing w:after="0" w:line="254" w:lineRule="auto"/>
        <w:rPr>
          <w:sz w:val="20"/>
          <w:szCs w:val="20"/>
          <w:color w:val="auto"/>
        </w:rPr>
      </w:pPr>
      <w:r>
        <w:rPr>
          <w:rFonts w:ascii="Courier New" w:cs="Courier New" w:eastAsia="Courier New" w:hAnsi="Courier New"/>
          <w:sz w:val="14"/>
          <w:szCs w:val="14"/>
          <w:color w:val="auto"/>
        </w:rPr>
        <w:t>and any custodian, receiver, assignee, trustee, liquidator, sequestrator (or other similar official) in any such judicial proceeding is hereby authorized</w:t>
      </w:r>
    </w:p>
    <w:p>
      <w:pPr>
        <w:spacing w:after="0" w:line="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by each Holder of Securities of such series and coupons to make such payments to the Trustee, and in the event that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152" w:name="page153"/>
    <w:bookmarkEnd w:id="152"/>
    <w:p>
      <w:pPr>
        <w:ind w:right="3579"/>
        <w:spacing w:after="0" w:line="236" w:lineRule="auto"/>
        <w:rPr>
          <w:sz w:val="20"/>
          <w:szCs w:val="20"/>
          <w:color w:val="auto"/>
        </w:rPr>
      </w:pPr>
      <w:r>
        <w:rPr>
          <w:rFonts w:ascii="Courier New" w:cs="Courier New" w:eastAsia="Courier New" w:hAnsi="Courier New"/>
          <w:sz w:val="15"/>
          <w:szCs w:val="15"/>
          <w:color w:val="auto"/>
        </w:rPr>
        <w:t>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68"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SECTION 505.</w:t>
      </w:r>
      <w:r>
        <w:rPr>
          <w:sz w:val="20"/>
          <w:szCs w:val="20"/>
          <w:color w:val="auto"/>
        </w:rPr>
        <w:tab/>
      </w:r>
      <w:r>
        <w:rPr>
          <w:rFonts w:ascii="Courier New" w:cs="Courier New" w:eastAsia="Courier New" w:hAnsi="Courier New"/>
          <w:sz w:val="14"/>
          <w:szCs w:val="14"/>
          <w:color w:val="auto"/>
        </w:rPr>
        <w:t>Trustee May Enforce Claims Without Possession of</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or Coupons. All rights of action and claims under this Indenture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any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59" w:lineRule="exact"/>
        <w:rPr>
          <w:sz w:val="20"/>
          <w:szCs w:val="20"/>
          <w:color w:val="auto"/>
        </w:rPr>
      </w:pPr>
    </w:p>
    <w:p>
      <w:pPr>
        <w:ind w:left="980"/>
        <w:spacing w:after="0"/>
        <w:tabs>
          <w:tab w:leader="none" w:pos="2180" w:val="left"/>
          <w:tab w:leader="none" w:pos="5060" w:val="left"/>
        </w:tabs>
        <w:rPr>
          <w:sz w:val="20"/>
          <w:szCs w:val="20"/>
          <w:color w:val="auto"/>
        </w:rPr>
      </w:pPr>
      <w:r>
        <w:rPr>
          <w:rFonts w:ascii="Courier New" w:cs="Courier New" w:eastAsia="Courier New" w:hAnsi="Courier New"/>
          <w:sz w:val="15"/>
          <w:szCs w:val="15"/>
          <w:color w:val="auto"/>
        </w:rPr>
        <w:t>SECTION 506.</w:t>
        <w:tab/>
        <w:t>Application of Money Collected.</w:t>
      </w:r>
      <w:r>
        <w:rPr>
          <w:sz w:val="20"/>
          <w:szCs w:val="20"/>
          <w:color w:val="auto"/>
        </w:rPr>
        <w:tab/>
      </w:r>
      <w:r>
        <w:rPr>
          <w:rFonts w:ascii="Courier New" w:cs="Courier New" w:eastAsia="Courier New" w:hAnsi="Courier New"/>
          <w:sz w:val="14"/>
          <w:szCs w:val="14"/>
          <w:color w:val="auto"/>
        </w:rPr>
        <w:t>Any money collected</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by the Trustee pursuant to this Article shall be applied in the following order, at the date or dates fixed by the Trustee and, in case of the distribution of such money on account of principal (or premium, if any) or interest and any Additional Amounts, upon presentation of the Securities or coupons, or both, as the case may be, and the notation thereon of the payment if only partially paid and upon surrender thereof if fully paid:</w:t>
      </w:r>
    </w:p>
    <w:p>
      <w:pPr>
        <w:spacing w:after="0" w:line="175" w:lineRule="exact"/>
        <w:rPr>
          <w:sz w:val="20"/>
          <w:szCs w:val="20"/>
          <w:color w:val="auto"/>
        </w:rPr>
      </w:pPr>
    </w:p>
    <w:p>
      <w:pPr>
        <w:ind w:left="440" w:right="3939" w:firstLine="525"/>
        <w:spacing w:after="0" w:line="234" w:lineRule="auto"/>
        <w:rPr>
          <w:sz w:val="20"/>
          <w:szCs w:val="20"/>
          <w:color w:val="auto"/>
        </w:rPr>
      </w:pPr>
      <w:r>
        <w:rPr>
          <w:rFonts w:ascii="Courier New" w:cs="Courier New" w:eastAsia="Courier New" w:hAnsi="Courier New"/>
          <w:sz w:val="15"/>
          <w:szCs w:val="15"/>
          <w:color w:val="auto"/>
        </w:rPr>
        <w:t>FIRST: To the payment of all amounts due the Trustee and any predecessor Trustee under Section 606;</w:t>
      </w:r>
    </w:p>
    <w:p>
      <w:pPr>
        <w:spacing w:after="0" w:line="173" w:lineRule="exact"/>
        <w:rPr>
          <w:sz w:val="20"/>
          <w:szCs w:val="20"/>
          <w:color w:val="auto"/>
        </w:rPr>
      </w:pPr>
    </w:p>
    <w:p>
      <w:pPr>
        <w:ind w:left="440" w:right="3239" w:firstLine="525"/>
        <w:spacing w:after="0" w:line="236" w:lineRule="auto"/>
        <w:rPr>
          <w:sz w:val="20"/>
          <w:szCs w:val="20"/>
          <w:color w:val="auto"/>
        </w:rPr>
      </w:pPr>
      <w:r>
        <w:rPr>
          <w:rFonts w:ascii="Courier New" w:cs="Courier New" w:eastAsia="Courier New" w:hAnsi="Courier New"/>
          <w:sz w:val="15"/>
          <w:szCs w:val="15"/>
          <w:color w:val="auto"/>
        </w:rPr>
        <w:t>SECOND: To the payment of the amounts then due and unpaid upon the Securities and coupons for principal (and premium, if any) and interest and any Additional Amounts payable, in respect of which or for the benefit of which such money has been collected, ratably, without preference or priority of any kind, according to the aggregate amounts due and payable on such Securities and coupons for principal (and premium, if any), interest and Additional Amounts, respectively; and</w:t>
      </w:r>
    </w:p>
    <w:p>
      <w:pPr>
        <w:spacing w:after="0" w:line="169" w:lineRule="exact"/>
        <w:rPr>
          <w:sz w:val="20"/>
          <w:szCs w:val="20"/>
          <w:color w:val="auto"/>
        </w:rPr>
      </w:pPr>
    </w:p>
    <w:p>
      <w:pPr>
        <w:ind w:left="980"/>
        <w:spacing w:after="0"/>
        <w:tabs>
          <w:tab w:leader="none" w:pos="1660" w:val="left"/>
        </w:tabs>
        <w:rPr>
          <w:sz w:val="20"/>
          <w:szCs w:val="20"/>
          <w:color w:val="auto"/>
        </w:rPr>
      </w:pP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4"/>
          <w:szCs w:val="14"/>
          <w:color w:val="auto"/>
        </w:rPr>
        <w:t>To the payment of the remainder, if any, to the Company.</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3" w:right="1440" w:bottom="1440" w:gutter="0" w:footer="0" w:header="0"/>
        </w:sectPr>
      </w:pPr>
    </w:p>
    <w:bookmarkStart w:id="153" w:name="page154"/>
    <w:bookmarkEnd w:id="153"/>
    <w:p>
      <w:pPr>
        <w:ind w:left="980"/>
        <w:spacing w:after="0"/>
        <w:tabs>
          <w:tab w:leader="none" w:pos="2180" w:val="left"/>
        </w:tabs>
        <w:rPr>
          <w:sz w:val="20"/>
          <w:szCs w:val="20"/>
          <w:color w:val="auto"/>
        </w:rPr>
      </w:pPr>
      <w:r>
        <w:rPr>
          <w:rFonts w:ascii="Courier New" w:cs="Courier New" w:eastAsia="Courier New" w:hAnsi="Courier New"/>
          <w:sz w:val="15"/>
          <w:szCs w:val="15"/>
          <w:color w:val="auto"/>
        </w:rPr>
        <w:t>SECTION 507.</w:t>
      </w:r>
      <w:r>
        <w:rPr>
          <w:sz w:val="20"/>
          <w:szCs w:val="20"/>
          <w:color w:val="auto"/>
        </w:rPr>
        <w:tab/>
      </w:r>
      <w:r>
        <w:rPr>
          <w:rFonts w:ascii="Courier New" w:cs="Courier New" w:eastAsia="Courier New" w:hAnsi="Courier New"/>
          <w:sz w:val="14"/>
          <w:szCs w:val="14"/>
          <w:color w:val="auto"/>
        </w:rPr>
        <w:t>Limitation on Suits. No Holder of any Security of any</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series or any related coupon shall have any right to institute any proceeding, judicial or otherwise, with respect to this Indenture, or for the appointment of a receiver or trustee, or for any other remedy hereunder, unless;</w:t>
      </w:r>
    </w:p>
    <w:p>
      <w:pPr>
        <w:spacing w:after="0" w:line="161" w:lineRule="exact"/>
        <w:rPr>
          <w:sz w:val="20"/>
          <w:szCs w:val="20"/>
          <w:color w:val="auto"/>
        </w:rPr>
      </w:pPr>
    </w:p>
    <w:p>
      <w:pPr>
        <w:ind w:left="440" w:right="3399" w:firstLine="532"/>
        <w:spacing w:after="0" w:line="235" w:lineRule="auto"/>
        <w:tabs>
          <w:tab w:leader="none" w:pos="1402"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has previously given written notice to the Trustee of a continuing Event of Default with respect to the Securities of that series;</w:t>
      </w:r>
    </w:p>
    <w:p>
      <w:pPr>
        <w:spacing w:after="0" w:line="173" w:lineRule="exact"/>
        <w:rPr>
          <w:rFonts w:ascii="Courier New" w:cs="Courier New" w:eastAsia="Courier New" w:hAnsi="Courier New"/>
          <w:sz w:val="15"/>
          <w:szCs w:val="15"/>
          <w:color w:val="auto"/>
        </w:rPr>
      </w:pPr>
    </w:p>
    <w:p>
      <w:pPr>
        <w:ind w:left="440" w:right="3239" w:firstLine="532"/>
        <w:spacing w:after="0" w:line="235" w:lineRule="auto"/>
        <w:tabs>
          <w:tab w:leader="none" w:pos="1402"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5" w:lineRule="exact"/>
        <w:rPr>
          <w:rFonts w:ascii="Courier New" w:cs="Courier New" w:eastAsia="Courier New" w:hAnsi="Courier New"/>
          <w:sz w:val="15"/>
          <w:szCs w:val="15"/>
          <w:color w:val="auto"/>
        </w:rPr>
      </w:pPr>
    </w:p>
    <w:p>
      <w:pPr>
        <w:ind w:left="440" w:right="3579" w:firstLine="532"/>
        <w:spacing w:after="0" w:line="258" w:lineRule="auto"/>
        <w:tabs>
          <w:tab w:leader="none" w:pos="1402"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or Holders have offered to the Trustee indemnity reasonably satisfactory to the Trustee against the costs, expenses and liabilities to be incurred in compliance with such request;</w:t>
      </w:r>
    </w:p>
    <w:p>
      <w:pPr>
        <w:spacing w:after="0" w:line="161" w:lineRule="exact"/>
        <w:rPr>
          <w:rFonts w:ascii="Courier New" w:cs="Courier New" w:eastAsia="Courier New" w:hAnsi="Courier New"/>
          <w:sz w:val="14"/>
          <w:szCs w:val="14"/>
          <w:color w:val="auto"/>
        </w:rPr>
      </w:pPr>
    </w:p>
    <w:p>
      <w:pPr>
        <w:ind w:left="440" w:right="3239" w:firstLine="532"/>
        <w:spacing w:after="0" w:line="235" w:lineRule="auto"/>
        <w:tabs>
          <w:tab w:leader="none" w:pos="1402"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60 days after its receipt of such notice, request and offer of indemnity has failed to institute any such proceeding; and</w:t>
      </w:r>
    </w:p>
    <w:p>
      <w:pPr>
        <w:spacing w:after="0" w:line="173" w:lineRule="exact"/>
        <w:rPr>
          <w:rFonts w:ascii="Courier New" w:cs="Courier New" w:eastAsia="Courier New" w:hAnsi="Courier New"/>
          <w:sz w:val="15"/>
          <w:szCs w:val="15"/>
          <w:color w:val="auto"/>
        </w:rPr>
      </w:pPr>
    </w:p>
    <w:p>
      <w:pPr>
        <w:ind w:left="440" w:right="3239" w:firstLine="532"/>
        <w:spacing w:after="0" w:line="258" w:lineRule="auto"/>
        <w:tabs>
          <w:tab w:leader="none" w:pos="1402"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direction inconsistent with such written request has been given to the Trustee during such 60-day period by the Holders of a majority in principal amount of the Outstanding Securities of that series;</w:t>
      </w:r>
    </w:p>
    <w:p>
      <w:pPr>
        <w:spacing w:after="0" w:line="16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69" w:lineRule="exact"/>
        <w:rPr>
          <w:sz w:val="20"/>
          <w:szCs w:val="20"/>
          <w:color w:val="auto"/>
        </w:rPr>
      </w:pPr>
    </w:p>
    <w:p>
      <w:pPr>
        <w:ind w:left="980"/>
        <w:spacing w:after="0"/>
        <w:tabs>
          <w:tab w:leader="none" w:pos="2180" w:val="left"/>
        </w:tabs>
        <w:rPr>
          <w:sz w:val="20"/>
          <w:szCs w:val="20"/>
          <w:color w:val="auto"/>
        </w:rPr>
      </w:pPr>
      <w:r>
        <w:rPr>
          <w:rFonts w:ascii="Courier New" w:cs="Courier New" w:eastAsia="Courier New" w:hAnsi="Courier New"/>
          <w:sz w:val="15"/>
          <w:szCs w:val="15"/>
          <w:color w:val="auto"/>
        </w:rPr>
        <w:t>SECTION 508.</w:t>
      </w:r>
      <w:r>
        <w:rPr>
          <w:sz w:val="20"/>
          <w:szCs w:val="20"/>
          <w:color w:val="auto"/>
        </w:rPr>
        <w:tab/>
      </w:r>
      <w:r>
        <w:rPr>
          <w:rFonts w:ascii="Courier New" w:cs="Courier New" w:eastAsia="Courier New" w:hAnsi="Courier New"/>
          <w:sz w:val="14"/>
          <w:szCs w:val="14"/>
          <w:color w:val="auto"/>
        </w:rPr>
        <w:t>Unconditional Right of Holders to Receive Principal,</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Premium, if any, Interest and Additional Amounts. Notwithstanding any other</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provision in this Indenture, the Holder of any Security or coupon shall have the right which is absolute and unconditional to receive payment of the principal of (and premium, if any) and (subject to Sections 305 and 307) interest on, and any Additional Amounts in respect of,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17" w:right="1440" w:bottom="1440" w:gutter="0" w:footer="0" w:header="0"/>
        </w:sectPr>
      </w:pPr>
    </w:p>
    <w:bookmarkStart w:id="154" w:name="page155"/>
    <w:bookmarkEnd w:id="154"/>
    <w:p>
      <w:pPr>
        <w:ind w:left="880"/>
        <w:spacing w:after="0"/>
        <w:tabs>
          <w:tab w:leader="none" w:pos="2080" w:val="left"/>
          <w:tab w:leader="none" w:pos="5320" w:val="left"/>
        </w:tabs>
        <w:rPr>
          <w:sz w:val="20"/>
          <w:szCs w:val="20"/>
          <w:color w:val="auto"/>
        </w:rPr>
      </w:pPr>
      <w:r>
        <w:rPr>
          <w:rFonts w:ascii="Courier New" w:cs="Courier New" w:eastAsia="Courier New" w:hAnsi="Courier New"/>
          <w:sz w:val="15"/>
          <w:szCs w:val="15"/>
          <w:color w:val="auto"/>
        </w:rPr>
        <w:t>SECTION 509.</w:t>
        <w:tab/>
        <w:t>Restoration of Rights and Remedies.</w:t>
      </w:r>
      <w:r>
        <w:rPr>
          <w:sz w:val="20"/>
          <w:szCs w:val="20"/>
          <w:color w:val="auto"/>
        </w:rPr>
        <w:tab/>
      </w:r>
      <w:r>
        <w:rPr>
          <w:rFonts w:ascii="Courier New" w:cs="Courier New" w:eastAsia="Courier New" w:hAnsi="Courier New"/>
          <w:sz w:val="14"/>
          <w:szCs w:val="14"/>
          <w:color w:val="auto"/>
        </w:rPr>
        <w:t>If the Trustee or</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instituted.</w:t>
      </w:r>
    </w:p>
    <w:p>
      <w:pPr>
        <w:spacing w:after="0" w:line="159" w:lineRule="exact"/>
        <w:rPr>
          <w:sz w:val="20"/>
          <w:szCs w:val="20"/>
          <w:color w:val="auto"/>
        </w:rPr>
      </w:pPr>
    </w:p>
    <w:p>
      <w:pPr>
        <w:ind w:left="880"/>
        <w:spacing w:after="0"/>
        <w:tabs>
          <w:tab w:leader="none" w:pos="2080" w:val="left"/>
          <w:tab w:leader="none" w:pos="4980" w:val="left"/>
        </w:tabs>
        <w:rPr>
          <w:sz w:val="20"/>
          <w:szCs w:val="20"/>
          <w:color w:val="auto"/>
        </w:rPr>
      </w:pPr>
      <w:r>
        <w:rPr>
          <w:rFonts w:ascii="Courier New" w:cs="Courier New" w:eastAsia="Courier New" w:hAnsi="Courier New"/>
          <w:sz w:val="15"/>
          <w:szCs w:val="15"/>
          <w:color w:val="auto"/>
        </w:rPr>
        <w:t>SECTION 510.</w:t>
        <w:tab/>
        <w:t>Rights and Remedies Cumulative.</w:t>
      </w:r>
      <w:r>
        <w:rPr>
          <w:sz w:val="20"/>
          <w:szCs w:val="20"/>
          <w:color w:val="auto"/>
        </w:rPr>
        <w:tab/>
      </w:r>
      <w:r>
        <w:rPr>
          <w:rFonts w:ascii="Courier New" w:cs="Courier New" w:eastAsia="Courier New" w:hAnsi="Courier New"/>
          <w:sz w:val="14"/>
          <w:szCs w:val="14"/>
          <w:color w:val="auto"/>
        </w:rPr>
        <w:t>Except as otherwise</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59" w:lineRule="exact"/>
        <w:rPr>
          <w:sz w:val="20"/>
          <w:szCs w:val="20"/>
          <w:color w:val="auto"/>
        </w:rPr>
      </w:pPr>
    </w:p>
    <w:p>
      <w:pPr>
        <w:ind w:left="880"/>
        <w:spacing w:after="0"/>
        <w:tabs>
          <w:tab w:leader="none" w:pos="2080" w:val="left"/>
          <w:tab w:leader="none" w:pos="4800" w:val="left"/>
        </w:tabs>
        <w:rPr>
          <w:sz w:val="20"/>
          <w:szCs w:val="20"/>
          <w:color w:val="auto"/>
        </w:rPr>
      </w:pPr>
      <w:r>
        <w:rPr>
          <w:rFonts w:ascii="Courier New" w:cs="Courier New" w:eastAsia="Courier New" w:hAnsi="Courier New"/>
          <w:sz w:val="15"/>
          <w:szCs w:val="15"/>
          <w:color w:val="auto"/>
        </w:rPr>
        <w:t>SECTION 511.</w:t>
        <w:tab/>
        <w:t>Delay or Omission Not Waiver.</w:t>
      </w:r>
      <w:r>
        <w:rPr>
          <w:sz w:val="20"/>
          <w:szCs w:val="20"/>
          <w:color w:val="auto"/>
        </w:rPr>
        <w:tab/>
      </w:r>
      <w:r>
        <w:rPr>
          <w:rFonts w:ascii="Courier New" w:cs="Courier New" w:eastAsia="Courier New" w:hAnsi="Courier New"/>
          <w:sz w:val="14"/>
          <w:szCs w:val="14"/>
          <w:color w:val="auto"/>
        </w:rPr>
        <w:t>No delay or omission of</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69" w:lineRule="exact"/>
        <w:rPr>
          <w:sz w:val="20"/>
          <w:szCs w:val="20"/>
          <w:color w:val="auto"/>
        </w:rPr>
      </w:pPr>
    </w:p>
    <w:p>
      <w:pPr>
        <w:ind w:left="880"/>
        <w:spacing w:after="0"/>
        <w:tabs>
          <w:tab w:leader="none" w:pos="2080" w:val="left"/>
          <w:tab w:leader="none" w:pos="5160" w:val="left"/>
        </w:tabs>
        <w:rPr>
          <w:sz w:val="20"/>
          <w:szCs w:val="20"/>
          <w:color w:val="auto"/>
        </w:rPr>
      </w:pPr>
      <w:r>
        <w:rPr>
          <w:rFonts w:ascii="Courier New" w:cs="Courier New" w:eastAsia="Courier New" w:hAnsi="Courier New"/>
          <w:sz w:val="15"/>
          <w:szCs w:val="15"/>
          <w:color w:val="auto"/>
        </w:rPr>
        <w:t>SECTION 512.</w:t>
        <w:tab/>
        <w:t>Control by Holders of Securities.</w:t>
      </w:r>
      <w:r>
        <w:rPr>
          <w:sz w:val="20"/>
          <w:szCs w:val="20"/>
          <w:color w:val="auto"/>
        </w:rPr>
        <w:tab/>
      </w:r>
      <w:r>
        <w:rPr>
          <w:rFonts w:ascii="Courier New" w:cs="Courier New" w:eastAsia="Courier New" w:hAnsi="Courier New"/>
          <w:sz w:val="14"/>
          <w:szCs w:val="14"/>
          <w:color w:val="auto"/>
        </w:rPr>
        <w:t>The Holders of not</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rPr>
          <w:sz w:val="20"/>
          <w:szCs w:val="20"/>
          <w:color w:val="auto"/>
        </w:rPr>
      </w:pPr>
      <w:r>
        <w:rPr>
          <w:rFonts w:ascii="Courier New" w:cs="Courier New" w:eastAsia="Courier New" w:hAnsi="Courier New"/>
          <w:sz w:val="15"/>
          <w:szCs w:val="15"/>
          <w:color w:val="auto"/>
        </w:rPr>
        <w:t>- --------</w:t>
      </w:r>
    </w:p>
    <w:p>
      <w:pPr>
        <w:spacing w:after="0" w:line="172" w:lineRule="exact"/>
        <w:rPr>
          <w:sz w:val="20"/>
          <w:szCs w:val="20"/>
          <w:color w:val="auto"/>
        </w:rPr>
      </w:pPr>
    </w:p>
    <w:p>
      <w:pPr>
        <w:ind w:left="440" w:right="3399" w:firstLine="444"/>
        <w:spacing w:after="0" w:line="234" w:lineRule="auto"/>
        <w:tabs>
          <w:tab w:leader="none" w:pos="1315"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direction shall not be in conflict with any rule of law or with this Indenture,</w:t>
      </w:r>
    </w:p>
    <w:p>
      <w:pPr>
        <w:spacing w:after="0" w:line="173" w:lineRule="exact"/>
        <w:rPr>
          <w:rFonts w:ascii="Courier New" w:cs="Courier New" w:eastAsia="Courier New" w:hAnsi="Courier New"/>
          <w:sz w:val="15"/>
          <w:szCs w:val="15"/>
          <w:color w:val="auto"/>
        </w:rPr>
      </w:pPr>
    </w:p>
    <w:p>
      <w:pPr>
        <w:ind w:left="440" w:right="3839" w:firstLine="444"/>
        <w:spacing w:after="0" w:line="234" w:lineRule="auto"/>
        <w:tabs>
          <w:tab w:leader="none" w:pos="1315"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take any other action deemed proper by the Trustee which is not inconsistent with such direction, and</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315"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need not take any action which might involve it in personal liability or be unduly prejudicial to the Holders of Securities of such series not joining therein.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17" w:right="1440" w:bottom="1440" w:gutter="0" w:footer="0" w:header="0"/>
        </w:sectPr>
      </w:pPr>
    </w:p>
    <w:bookmarkStart w:id="155" w:name="page156"/>
    <w:bookmarkEnd w:id="155"/>
    <w:p>
      <w:pPr>
        <w:ind w:left="880"/>
        <w:spacing w:after="0"/>
        <w:tabs>
          <w:tab w:leader="none" w:pos="2080" w:val="left"/>
        </w:tabs>
        <w:rPr>
          <w:sz w:val="20"/>
          <w:szCs w:val="20"/>
          <w:color w:val="auto"/>
        </w:rPr>
      </w:pPr>
      <w:r>
        <w:rPr>
          <w:rFonts w:ascii="Courier New" w:cs="Courier New" w:eastAsia="Courier New" w:hAnsi="Courier New"/>
          <w:sz w:val="15"/>
          <w:szCs w:val="15"/>
          <w:color w:val="auto"/>
        </w:rPr>
        <w:t>SECTION 513.</w:t>
      </w:r>
      <w:r>
        <w:rPr>
          <w:sz w:val="20"/>
          <w:szCs w:val="20"/>
          <w:color w:val="auto"/>
        </w:rPr>
        <w:tab/>
      </w:r>
      <w:r>
        <w:rPr>
          <w:rFonts w:ascii="Courier New" w:cs="Courier New" w:eastAsia="Courier New" w:hAnsi="Courier New"/>
          <w:sz w:val="14"/>
          <w:szCs w:val="14"/>
          <w:color w:val="auto"/>
        </w:rPr>
        <w:t>Waiver of Past Defaults. The Holders of not less than a</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75" w:lineRule="exact"/>
        <w:rPr>
          <w:sz w:val="20"/>
          <w:szCs w:val="20"/>
          <w:color w:val="auto"/>
        </w:rPr>
      </w:pPr>
    </w:p>
    <w:p>
      <w:pPr>
        <w:ind w:left="440" w:right="3579" w:firstLine="444"/>
        <w:spacing w:after="0" w:line="235" w:lineRule="auto"/>
        <w:tabs>
          <w:tab w:leader="none" w:pos="131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payment of the principal of (or premium, if any) or interest on or Additional Amounts payable in respect of any Security of such series or any related coupons, or</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31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 covenant or provision hereof which under Article Nine cannot be modified or amended without the consent of the Holder of each Outstanding Security of such series affected.</w:t>
      </w:r>
    </w:p>
    <w:p>
      <w:pPr>
        <w:spacing w:after="0" w:line="174" w:lineRule="exact"/>
        <w:rPr>
          <w:sz w:val="20"/>
          <w:szCs w:val="20"/>
          <w:color w:val="auto"/>
        </w:rPr>
      </w:pPr>
    </w:p>
    <w:p>
      <w:pPr>
        <w:ind w:right="3239" w:firstLine="875"/>
        <w:spacing w:after="0" w:line="256" w:lineRule="auto"/>
        <w:rPr>
          <w:sz w:val="20"/>
          <w:szCs w:val="20"/>
          <w:color w:val="auto"/>
        </w:rPr>
      </w:pPr>
      <w:r>
        <w:rPr>
          <w:rFonts w:ascii="Courier New" w:cs="Courier New" w:eastAsia="Courier New" w:hAnsi="Courier New"/>
          <w:sz w:val="14"/>
          <w:szCs w:val="14"/>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58" w:lineRule="exact"/>
        <w:rPr>
          <w:sz w:val="20"/>
          <w:szCs w:val="20"/>
          <w:color w:val="auto"/>
        </w:rPr>
      </w:pPr>
    </w:p>
    <w:p>
      <w:pPr>
        <w:jc w:val="center"/>
        <w:ind w:right="2619"/>
        <w:spacing w:after="0"/>
        <w:tabs>
          <w:tab w:leader="none" w:pos="140" w:val="left"/>
          <w:tab w:leader="none" w:pos="160" w:val="left"/>
        </w:tabs>
        <w:rPr>
          <w:sz w:val="20"/>
          <w:szCs w:val="20"/>
          <w:color w:val="auto"/>
        </w:rPr>
      </w:pPr>
      <w:r>
        <w:rPr>
          <w:rFonts w:ascii="Courier New" w:cs="Courier New" w:eastAsia="Courier New" w:hAnsi="Courier New"/>
          <w:sz w:val="15"/>
          <w:szCs w:val="15"/>
          <w:color w:val="auto"/>
        </w:rPr>
        <w:t>SECTION 514.</w:t>
        <w:tab/>
        <w:t>Waiver of Usury, Stay or Extension Laws.</w:t>
      </w:r>
      <w:r>
        <w:rPr>
          <w:sz w:val="20"/>
          <w:szCs w:val="20"/>
          <w:color w:val="auto"/>
        </w:rPr>
        <w:tab/>
      </w:r>
      <w:r>
        <w:rPr>
          <w:rFonts w:ascii="Courier New" w:cs="Courier New" w:eastAsia="Courier New" w:hAnsi="Courier New"/>
          <w:sz w:val="14"/>
          <w:szCs w:val="14"/>
          <w:color w:val="auto"/>
        </w:rPr>
        <w:t>The Company</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2" w:lineRule="exact"/>
        <w:rPr>
          <w:sz w:val="20"/>
          <w:szCs w:val="20"/>
          <w:color w:val="auto"/>
        </w:rPr>
      </w:pPr>
    </w:p>
    <w:p>
      <w:pPr>
        <w:ind w:left="880"/>
        <w:spacing w:after="0"/>
        <w:tabs>
          <w:tab w:leader="none" w:pos="2080" w:val="left"/>
          <w:tab w:leader="none" w:pos="4180" w:val="left"/>
        </w:tabs>
        <w:rPr>
          <w:sz w:val="20"/>
          <w:szCs w:val="20"/>
          <w:color w:val="auto"/>
        </w:rPr>
      </w:pPr>
      <w:r>
        <w:rPr>
          <w:rFonts w:ascii="Courier New" w:cs="Courier New" w:eastAsia="Courier New" w:hAnsi="Courier New"/>
          <w:sz w:val="15"/>
          <w:szCs w:val="15"/>
          <w:color w:val="auto"/>
        </w:rPr>
        <w:t>SECTION 515.</w:t>
        <w:tab/>
        <w:t>Undertaking for Costs.</w:t>
      </w:r>
      <w:r>
        <w:rPr>
          <w:sz w:val="20"/>
          <w:szCs w:val="20"/>
          <w:color w:val="auto"/>
        </w:rPr>
        <w:tab/>
      </w:r>
      <w:r>
        <w:rPr>
          <w:rFonts w:ascii="Courier New" w:cs="Courier New" w:eastAsia="Courier New" w:hAnsi="Courier New"/>
          <w:sz w:val="14"/>
          <w:szCs w:val="14"/>
          <w:color w:val="auto"/>
        </w:rPr>
        <w:t>All parties to this Indenture</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any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or to any suit instituted by any Holder for the enforcement of the payment of the principal of (or premium, if any) or interest on any Security on or after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17" w:right="1440" w:bottom="1440" w:gutter="0" w:footer="0" w:header="0"/>
        </w:sectPr>
      </w:pPr>
    </w:p>
    <w:bookmarkStart w:id="156" w:name="page157"/>
    <w:bookmarkEnd w:id="156"/>
    <w:p>
      <w:pPr>
        <w:ind w:right="3679"/>
        <w:spacing w:after="0" w:line="234" w:lineRule="auto"/>
        <w:rPr>
          <w:sz w:val="20"/>
          <w:szCs w:val="20"/>
          <w:color w:val="auto"/>
        </w:rPr>
      </w:pPr>
      <w:r>
        <w:rPr>
          <w:rFonts w:ascii="Courier New" w:cs="Courier New" w:eastAsia="Courier New" w:hAnsi="Courier New"/>
          <w:sz w:val="15"/>
          <w:szCs w:val="15"/>
          <w:color w:val="auto"/>
        </w:rPr>
        <w:t>respective Stated Maturities expressed in such Security (or, in the case of redemption, on or after the Redemption Date).</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SIX</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TRUSTEE</w:t>
      </w:r>
    </w:p>
    <w:p>
      <w:pPr>
        <w:spacing w:after="0" w:line="166" w:lineRule="exact"/>
        <w:rPr>
          <w:sz w:val="20"/>
          <w:szCs w:val="20"/>
          <w:color w:val="auto"/>
        </w:rPr>
      </w:pPr>
    </w:p>
    <w:p>
      <w:pPr>
        <w:jc w:val="right"/>
        <w:ind w:right="3239"/>
        <w:spacing w:after="0"/>
        <w:tabs>
          <w:tab w:leader="none" w:pos="4880" w:val="left"/>
          <w:tab w:leader="none" w:pos="3040" w:val="left"/>
        </w:tabs>
        <w:rPr>
          <w:sz w:val="20"/>
          <w:szCs w:val="20"/>
          <w:color w:val="auto"/>
        </w:rPr>
      </w:pPr>
      <w:r>
        <w:rPr>
          <w:rFonts w:ascii="Courier New" w:cs="Courier New" w:eastAsia="Courier New" w:hAnsi="Courier New"/>
          <w:sz w:val="15"/>
          <w:szCs w:val="15"/>
          <w:color w:val="auto"/>
        </w:rPr>
        <w:t>SECTION 601.</w:t>
        <w:tab/>
        <w:t>Notice of Defaults.</w:t>
      </w:r>
      <w:r>
        <w:rPr>
          <w:sz w:val="20"/>
          <w:szCs w:val="20"/>
          <w:color w:val="auto"/>
        </w:rPr>
        <w:tab/>
      </w:r>
      <w:r>
        <w:rPr>
          <w:rFonts w:ascii="Courier New" w:cs="Courier New" w:eastAsia="Courier New" w:hAnsi="Courier New"/>
          <w:sz w:val="14"/>
          <w:szCs w:val="14"/>
          <w:color w:val="auto"/>
        </w:rPr>
        <w:t>Within 90 days after the occurrence</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of any default hereunder with respect to the Securities of any series, the Trustee shall transmit in the manner and to the extent provided in TIA Section 313(c), notice of such default hereunder known to the Trustee, unless such default shall have been cured or waived; provided, however, that, except in the</w:t>
      </w:r>
    </w:p>
    <w:p>
      <w:pPr>
        <w:ind w:left="3600"/>
        <w:spacing w:after="0"/>
        <w:tabs>
          <w:tab w:leader="none" w:pos="4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case of a default in the payment of the principal of (or premium, if any) or interest on or any Additional Amounts with respect to any Security of such series, or in the payment of any sinking fund installment with respect to the Securities of such series, the Trustee shall be protected in withholding such notice if and so long as Responsible Officers of the Trustee in good faith determine that the withholding of such notice is in the interests of the Holders of the Securities and coupons of such series; and provided further that in the</w:t>
      </w:r>
    </w:p>
    <w:p>
      <w:pPr>
        <w:ind w:left="4380"/>
        <w:spacing w:after="0" w:line="234"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168" w:lineRule="exact"/>
        <w:rPr>
          <w:sz w:val="20"/>
          <w:szCs w:val="20"/>
          <w:color w:val="auto"/>
        </w:rPr>
      </w:pPr>
    </w:p>
    <w:p>
      <w:pPr>
        <w:jc w:val="right"/>
        <w:ind w:right="3239"/>
        <w:spacing w:after="0"/>
        <w:tabs>
          <w:tab w:leader="none" w:pos="4880" w:val="left"/>
          <w:tab w:leader="none" w:pos="2420" w:val="left"/>
        </w:tabs>
        <w:rPr>
          <w:sz w:val="20"/>
          <w:szCs w:val="20"/>
          <w:color w:val="auto"/>
        </w:rPr>
      </w:pPr>
      <w:r>
        <w:rPr>
          <w:rFonts w:ascii="Courier New" w:cs="Courier New" w:eastAsia="Courier New" w:hAnsi="Courier New"/>
          <w:sz w:val="15"/>
          <w:szCs w:val="15"/>
          <w:color w:val="auto"/>
        </w:rPr>
        <w:t>SECTION 602.</w:t>
        <w:tab/>
        <w:t>Certain Rights of Trustee.</w:t>
      </w:r>
      <w:r>
        <w:rPr>
          <w:sz w:val="20"/>
          <w:szCs w:val="20"/>
          <w:color w:val="auto"/>
        </w:rPr>
        <w:tab/>
      </w:r>
      <w:r>
        <w:rPr>
          <w:rFonts w:ascii="Courier New" w:cs="Courier New" w:eastAsia="Courier New" w:hAnsi="Courier New"/>
          <w:sz w:val="14"/>
          <w:szCs w:val="14"/>
          <w:color w:val="auto"/>
        </w:rPr>
        <w:t>Subject to the provisions of</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TIA Section 315(a) through 315(d):</w:t>
      </w:r>
    </w:p>
    <w:p>
      <w:pPr>
        <w:spacing w:after="0" w:line="173" w:lineRule="exact"/>
        <w:rPr>
          <w:sz w:val="20"/>
          <w:szCs w:val="20"/>
          <w:color w:val="auto"/>
        </w:rPr>
      </w:pPr>
    </w:p>
    <w:p>
      <w:pPr>
        <w:ind w:left="440" w:right="3319" w:firstLine="444"/>
        <w:spacing w:after="0" w:line="236" w:lineRule="auto"/>
        <w:tabs>
          <w:tab w:leader="none" w:pos="1315"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and shall be protected in acting or refraining from acting upon any resolution, certificate, statement, instrument, opinion, report, notice, request, direction, consent, order, bond, debenture, note, coupon or other paper or document believed by it to be genuine and to have been signed or presented by the proper party or parties;</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Trustees may be sufficiently evidenced by a Board Resolution;</w:t>
      </w:r>
    </w:p>
    <w:p>
      <w:pPr>
        <w:spacing w:after="0" w:line="175" w:lineRule="exact"/>
        <w:rPr>
          <w:rFonts w:ascii="Courier New" w:cs="Courier New" w:eastAsia="Courier New" w:hAnsi="Courier New"/>
          <w:sz w:val="15"/>
          <w:szCs w:val="15"/>
          <w:color w:val="auto"/>
        </w:rPr>
      </w:pPr>
    </w:p>
    <w:p>
      <w:pPr>
        <w:ind w:left="440" w:right="3579" w:firstLine="444"/>
        <w:spacing w:after="0" w:line="235" w:lineRule="auto"/>
        <w:tabs>
          <w:tab w:leader="none" w:pos="1315"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administration of this Indenture the Trustee shall deem it desirable that a matter be proved or established prior to taking, suffering or omitting any action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157" w:name="page158"/>
    <w:bookmarkEnd w:id="157"/>
    <w:p>
      <w:pPr>
        <w:ind w:left="440" w:right="3679"/>
        <w:spacing w:after="0" w:line="235" w:lineRule="auto"/>
        <w:rPr>
          <w:sz w:val="20"/>
          <w:szCs w:val="20"/>
          <w:color w:val="auto"/>
        </w:rPr>
      </w:pPr>
      <w:r>
        <w:rPr>
          <w:rFonts w:ascii="Courier New" w:cs="Courier New" w:eastAsia="Courier New" w:hAnsi="Courier New"/>
          <w:sz w:val="15"/>
          <w:szCs w:val="15"/>
          <w:color w:val="auto"/>
        </w:rPr>
        <w:t>hereunder, the Trustee (unless other evidence be herein specifically prescribed) may, in the absence of bad faith on its part, rely upon an Officers' Certificate;</w:t>
      </w:r>
    </w:p>
    <w:p>
      <w:pPr>
        <w:spacing w:after="0" w:line="174" w:lineRule="exact"/>
        <w:rPr>
          <w:sz w:val="20"/>
          <w:szCs w:val="20"/>
          <w:color w:val="auto"/>
        </w:rPr>
      </w:pPr>
    </w:p>
    <w:p>
      <w:pPr>
        <w:ind w:left="440" w:right="3319" w:firstLine="444"/>
        <w:spacing w:after="0" w:line="235" w:lineRule="auto"/>
        <w:tabs>
          <w:tab w:leader="none" w:pos="131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31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66" w:lineRule="exact"/>
        <w:rPr>
          <w:rFonts w:ascii="Courier New" w:cs="Courier New" w:eastAsia="Courier New" w:hAnsi="Courier New"/>
          <w:sz w:val="14"/>
          <w:szCs w:val="14"/>
          <w:color w:val="auto"/>
        </w:rPr>
      </w:pPr>
    </w:p>
    <w:p>
      <w:pPr>
        <w:ind w:left="440" w:right="3239" w:firstLine="444"/>
        <w:spacing w:after="0" w:line="236" w:lineRule="auto"/>
        <w:tabs>
          <w:tab w:leader="none" w:pos="131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bound to make any investigation into the facts or matters stated in any resolution, certificate, statement, instrument, opinion, report, notice, request, direction, consent, order, bond, debenture, note, coupon or other paper or document, but the Trustee, in its discretion, may make such further inquiry or investigation into such facts or matters as it may see fit, and, if the Trustee shall determine to make such further inquiry or investigation, it shall be entitled to make reasonable examination of the books, records and premises of the Company, personally or by agent or attorney following reasonable notice to the Company;</w:t>
      </w:r>
    </w:p>
    <w:p>
      <w:pPr>
        <w:spacing w:after="0" w:line="179" w:lineRule="exact"/>
        <w:rPr>
          <w:rFonts w:ascii="Courier New" w:cs="Courier New" w:eastAsia="Courier New" w:hAnsi="Courier New"/>
          <w:sz w:val="15"/>
          <w:szCs w:val="15"/>
          <w:color w:val="auto"/>
        </w:rPr>
      </w:pPr>
    </w:p>
    <w:p>
      <w:pPr>
        <w:ind w:left="440" w:right="3319" w:firstLine="444"/>
        <w:spacing w:after="0" w:line="236" w:lineRule="auto"/>
        <w:tabs>
          <w:tab w:leader="none" w:pos="131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31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175" w:lineRule="exact"/>
        <w:rPr>
          <w:sz w:val="20"/>
          <w:szCs w:val="20"/>
          <w:color w:val="auto"/>
        </w:rPr>
      </w:pPr>
    </w:p>
    <w:p>
      <w:pPr>
        <w:ind w:right="3319" w:firstLine="875"/>
        <w:spacing w:after="0" w:line="256" w:lineRule="auto"/>
        <w:rPr>
          <w:sz w:val="20"/>
          <w:szCs w:val="20"/>
          <w:color w:val="auto"/>
        </w:rPr>
      </w:pPr>
      <w:r>
        <w:rPr>
          <w:rFonts w:ascii="Courier New" w:cs="Courier New" w:eastAsia="Courier New" w:hAnsi="Courier New"/>
          <w:sz w:val="14"/>
          <w:szCs w:val="14"/>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63" w:lineRule="exact"/>
        <w:rPr>
          <w:sz w:val="20"/>
          <w:szCs w:val="20"/>
          <w:color w:val="auto"/>
        </w:rPr>
      </w:pPr>
    </w:p>
    <w:p>
      <w:pPr>
        <w:ind w:right="3679" w:firstLine="875"/>
        <w:spacing w:after="0" w:line="234" w:lineRule="auto"/>
        <w:rPr>
          <w:sz w:val="20"/>
          <w:szCs w:val="20"/>
          <w:color w:val="auto"/>
        </w:rPr>
      </w:pPr>
      <w:r>
        <w:rPr>
          <w:rFonts w:ascii="Courier New" w:cs="Courier New" w:eastAsia="Courier New" w:hAnsi="Courier New"/>
          <w:sz w:val="15"/>
          <w:szCs w:val="15"/>
          <w:color w:val="auto"/>
        </w:rPr>
        <w:t>Except during the continuance of an Event of Default, the Trustee undertakes to perform only such duties as are specifically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158" w:name="page159"/>
    <w:bookmarkEnd w:id="158"/>
    <w:p>
      <w:pPr>
        <w:ind w:right="3499"/>
        <w:spacing w:after="0" w:line="234" w:lineRule="auto"/>
        <w:rPr>
          <w:sz w:val="20"/>
          <w:szCs w:val="20"/>
          <w:color w:val="auto"/>
        </w:rPr>
      </w:pPr>
      <w:r>
        <w:rPr>
          <w:rFonts w:ascii="Courier New" w:cs="Courier New" w:eastAsia="Courier New" w:hAnsi="Courier New"/>
          <w:sz w:val="15"/>
          <w:szCs w:val="15"/>
          <w:color w:val="auto"/>
        </w:rPr>
        <w:t>set forth in this Indenture, and no implied covenants or obligations shall be read into this Indenture against the Trustee.</w:t>
      </w:r>
    </w:p>
    <w:p>
      <w:pPr>
        <w:spacing w:after="0" w:line="167" w:lineRule="exact"/>
        <w:rPr>
          <w:sz w:val="20"/>
          <w:szCs w:val="20"/>
          <w:color w:val="auto"/>
        </w:rPr>
      </w:pPr>
    </w:p>
    <w:p>
      <w:pPr>
        <w:jc w:val="right"/>
        <w:ind w:right="3239"/>
        <w:spacing w:after="0"/>
        <w:tabs>
          <w:tab w:leader="none" w:pos="4780" w:val="left"/>
        </w:tabs>
        <w:rPr>
          <w:sz w:val="20"/>
          <w:szCs w:val="20"/>
          <w:color w:val="auto"/>
        </w:rPr>
      </w:pPr>
      <w:r>
        <w:rPr>
          <w:rFonts w:ascii="Courier New" w:cs="Courier New" w:eastAsia="Courier New" w:hAnsi="Courier New"/>
          <w:sz w:val="15"/>
          <w:szCs w:val="15"/>
          <w:color w:val="auto"/>
        </w:rPr>
        <w:t>SECTION 603.</w:t>
      </w:r>
      <w:r>
        <w:rPr>
          <w:sz w:val="20"/>
          <w:szCs w:val="20"/>
          <w:color w:val="auto"/>
        </w:rPr>
        <w:tab/>
      </w:r>
      <w:r>
        <w:rPr>
          <w:rFonts w:ascii="Courier New" w:cs="Courier New" w:eastAsia="Courier New" w:hAnsi="Courier New"/>
          <w:sz w:val="14"/>
          <w:szCs w:val="14"/>
          <w:color w:val="auto"/>
        </w:rPr>
        <w:t>Not Responsible for Recitals or Issuance of Securities.</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w:t>
      </w:r>
    </w:p>
    <w:p>
      <w:pPr>
        <w:spacing w:after="0" w:line="173" w:lineRule="exact"/>
        <w:rPr>
          <w:sz w:val="20"/>
          <w:szCs w:val="20"/>
          <w:color w:val="auto"/>
        </w:rPr>
      </w:pPr>
    </w:p>
    <w:p>
      <w:pPr>
        <w:ind w:left="880"/>
        <w:spacing w:after="0"/>
        <w:tabs>
          <w:tab w:leader="none" w:pos="2180" w:val="left"/>
          <w:tab w:leader="none" w:pos="4100" w:val="left"/>
        </w:tabs>
        <w:rPr>
          <w:sz w:val="20"/>
          <w:szCs w:val="20"/>
          <w:color w:val="auto"/>
        </w:rPr>
      </w:pPr>
      <w:r>
        <w:rPr>
          <w:rFonts w:ascii="Courier New" w:cs="Courier New" w:eastAsia="Courier New" w:hAnsi="Courier New"/>
          <w:sz w:val="15"/>
          <w:szCs w:val="15"/>
          <w:color w:val="auto"/>
        </w:rPr>
        <w:t>SECTION 604.</w:t>
        <w:tab/>
        <w:t>May Hold Securities.</w:t>
      </w:r>
      <w:r>
        <w:rPr>
          <w:sz w:val="20"/>
          <w:szCs w:val="20"/>
          <w:color w:val="auto"/>
        </w:rPr>
        <w:tab/>
      </w:r>
      <w:r>
        <w:rPr>
          <w:rFonts w:ascii="Courier New" w:cs="Courier New" w:eastAsia="Courier New" w:hAnsi="Courier New"/>
          <w:sz w:val="14"/>
          <w:szCs w:val="14"/>
          <w:color w:val="auto"/>
        </w:rPr>
        <w:t>The Trustee, any Paying Agent,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68" w:lineRule="exact"/>
        <w:rPr>
          <w:sz w:val="20"/>
          <w:szCs w:val="20"/>
          <w:color w:val="auto"/>
        </w:rPr>
      </w:pPr>
    </w:p>
    <w:p>
      <w:pPr>
        <w:ind w:left="880"/>
        <w:spacing w:after="0"/>
        <w:tabs>
          <w:tab w:leader="none" w:pos="2180" w:val="left"/>
          <w:tab w:leader="none" w:pos="4100" w:val="left"/>
        </w:tabs>
        <w:rPr>
          <w:sz w:val="20"/>
          <w:szCs w:val="20"/>
          <w:color w:val="auto"/>
        </w:rPr>
      </w:pPr>
      <w:r>
        <w:rPr>
          <w:rFonts w:ascii="Courier New" w:cs="Courier New" w:eastAsia="Courier New" w:hAnsi="Courier New"/>
          <w:sz w:val="15"/>
          <w:szCs w:val="15"/>
          <w:color w:val="auto"/>
        </w:rPr>
        <w:t>SECTION 605.</w:t>
        <w:tab/>
        <w:t>Money Held in Trust.</w:t>
      </w:r>
      <w:r>
        <w:rPr>
          <w:sz w:val="20"/>
          <w:szCs w:val="20"/>
          <w:color w:val="auto"/>
        </w:rPr>
        <w:tab/>
      </w:r>
      <w:r>
        <w:rPr>
          <w:rFonts w:ascii="Courier New" w:cs="Courier New" w:eastAsia="Courier New" w:hAnsi="Courier New"/>
          <w:sz w:val="14"/>
          <w:szCs w:val="14"/>
          <w:color w:val="auto"/>
        </w:rPr>
        <w:t>Money held by the Trustee in</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579"/>
        <w:spacing w:after="0" w:line="258" w:lineRule="auto"/>
        <w:rPr>
          <w:sz w:val="20"/>
          <w:szCs w:val="20"/>
          <w:color w:val="auto"/>
        </w:rPr>
      </w:pPr>
      <w:r>
        <w:rPr>
          <w:rFonts w:ascii="Courier New" w:cs="Courier New" w:eastAsia="Courier New" w:hAnsi="Courier New"/>
          <w:sz w:val="14"/>
          <w:szCs w:val="14"/>
          <w:color w:val="auto"/>
        </w:rPr>
        <w:t>trust hereunder need not be segregated from other funds except to the extent required by law. The Trustee shall be under no liability for interest on any money received by it hereunder except as otherwise agreed with the Company.</w:t>
      </w:r>
    </w:p>
    <w:p>
      <w:pPr>
        <w:spacing w:after="0" w:line="155" w:lineRule="exact"/>
        <w:rPr>
          <w:sz w:val="20"/>
          <w:szCs w:val="20"/>
          <w:color w:val="auto"/>
        </w:rPr>
      </w:pPr>
    </w:p>
    <w:p>
      <w:pPr>
        <w:ind w:left="880"/>
        <w:spacing w:after="0"/>
        <w:tabs>
          <w:tab w:leader="none" w:pos="2080" w:val="left"/>
          <w:tab w:leader="none" w:pos="4980" w:val="left"/>
        </w:tabs>
        <w:rPr>
          <w:sz w:val="20"/>
          <w:szCs w:val="20"/>
          <w:color w:val="auto"/>
        </w:rPr>
      </w:pPr>
      <w:r>
        <w:rPr>
          <w:rFonts w:ascii="Courier New" w:cs="Courier New" w:eastAsia="Courier New" w:hAnsi="Courier New"/>
          <w:sz w:val="15"/>
          <w:szCs w:val="15"/>
          <w:color w:val="auto"/>
        </w:rPr>
        <w:t>SECTION 606.</w:t>
        <w:tab/>
        <w:t>Compensation and Reimbursement.</w:t>
      </w:r>
      <w:r>
        <w:rPr>
          <w:sz w:val="20"/>
          <w:szCs w:val="20"/>
          <w:color w:val="auto"/>
        </w:rPr>
        <w:tab/>
      </w:r>
      <w:r>
        <w:rPr>
          <w:rFonts w:ascii="Courier New" w:cs="Courier New" w:eastAsia="Courier New" w:hAnsi="Courier New"/>
          <w:sz w:val="14"/>
          <w:szCs w:val="14"/>
          <w:color w:val="auto"/>
        </w:rPr>
        <w:t>The Company agrees:</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right="3319" w:firstLine="444"/>
        <w:spacing w:after="0" w:line="235" w:lineRule="auto"/>
        <w:tabs>
          <w:tab w:leader="none" w:pos="131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5" w:lineRule="exact"/>
        <w:rPr>
          <w:rFonts w:ascii="Courier New" w:cs="Courier New" w:eastAsia="Courier New" w:hAnsi="Courier New"/>
          <w:sz w:val="15"/>
          <w:szCs w:val="15"/>
          <w:color w:val="auto"/>
        </w:rPr>
      </w:pPr>
    </w:p>
    <w:p>
      <w:pPr>
        <w:ind w:left="440" w:right="3319" w:firstLine="444"/>
        <w:spacing w:after="0" w:line="255" w:lineRule="auto"/>
        <w:tabs>
          <w:tab w:leader="none" w:pos="131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to reimburse each of the Trustee and any predecessor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66" w:lineRule="exact"/>
        <w:rPr>
          <w:rFonts w:ascii="Courier New" w:cs="Courier New" w:eastAsia="Courier New" w:hAnsi="Courier New"/>
          <w:sz w:val="14"/>
          <w:szCs w:val="14"/>
          <w:color w:val="auto"/>
        </w:rPr>
      </w:pPr>
    </w:p>
    <w:p>
      <w:pPr>
        <w:ind w:left="440" w:right="3239" w:firstLine="444"/>
        <w:spacing w:after="0" w:line="235" w:lineRule="auto"/>
        <w:tabs>
          <w:tab w:leader="none" w:pos="131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each of the Trustee and any predecessor Trustee for, and to hold it harmless against, any loss, liability or expense incurred without negligence or bad faith on its own part, arising out of or in connection with the acceptance or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159" w:name="page160"/>
    <w:bookmarkEnd w:id="159"/>
    <w:p>
      <w:pPr>
        <w:ind w:left="440" w:right="3319"/>
        <w:spacing w:after="0" w:line="258" w:lineRule="auto"/>
        <w:rPr>
          <w:sz w:val="20"/>
          <w:szCs w:val="20"/>
          <w:color w:val="auto"/>
        </w:rPr>
      </w:pPr>
      <w:r>
        <w:rPr>
          <w:rFonts w:ascii="Courier New" w:cs="Courier New" w:eastAsia="Courier New" w:hAnsi="Courier New"/>
          <w:sz w:val="14"/>
          <w:szCs w:val="14"/>
          <w:color w:val="auto"/>
        </w:rPr>
        <w:t>administration of the trust or trusts hereunder, including the costs and expenses of defending itself against any claim or liability in connection with the exercise or performance of any of its powers or duties hereunder.</w:t>
      </w:r>
    </w:p>
    <w:p>
      <w:pPr>
        <w:spacing w:after="0" w:line="161"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When the Trustee incurs expenses or renders services in connection with an Event of Default specified in Section 501(6) or Section 501(7),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75"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As security for the performance of the obligations of the Company under this Section, the Trustee shall have a lien prior to the Securities upon all property and funds held or collected by the Trustee as such, except funds held in trust for the payment of principal of (or premium, if any) or interest on particular Securities or any coupons.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The provisions of this Section shall survive the termination of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Indenture.</w:t>
      </w:r>
    </w:p>
    <w:p>
      <w:pPr>
        <w:spacing w:after="0" w:line="166"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4"/>
          <w:szCs w:val="14"/>
          <w:color w:val="auto"/>
        </w:rPr>
        <w:t>Corporate Trustee Required; Eligibility; Conflicting</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1040" w:val="left"/>
        </w:tabs>
        <w:rPr>
          <w:sz w:val="20"/>
          <w:szCs w:val="20"/>
          <w:color w:val="auto"/>
        </w:rPr>
      </w:pPr>
      <w:r>
        <w:rPr>
          <w:rFonts w:ascii="Courier New" w:cs="Courier New" w:eastAsia="Courier New" w:hAnsi="Courier New"/>
          <w:sz w:val="15"/>
          <w:szCs w:val="15"/>
          <w:color w:val="auto"/>
        </w:rPr>
        <w:t>Interests.</w:t>
      </w:r>
      <w:r>
        <w:rPr>
          <w:sz w:val="20"/>
          <w:szCs w:val="20"/>
          <w:color w:val="auto"/>
        </w:rPr>
        <w:tab/>
      </w:r>
      <w:r>
        <w:rPr>
          <w:rFonts w:ascii="Courier New" w:cs="Courier New" w:eastAsia="Courier New" w:hAnsi="Courier New"/>
          <w:sz w:val="14"/>
          <w:szCs w:val="14"/>
          <w:color w:val="auto"/>
        </w:rPr>
        <w:t>There shall at all times be a Trustee hereunder which shall be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eligible to act as Trustee under TIA Section 310(a)(1) and shall have a combined capital and surplus of at least $50,000,000. If such corporation publishes reports of condition at least annually, pursuant to law or the requirements of Federal, State, Territorial or District of Columbia supervising of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59"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608.</w:t>
      </w:r>
      <w:r>
        <w:rPr>
          <w:sz w:val="20"/>
          <w:szCs w:val="20"/>
          <w:color w:val="auto"/>
        </w:rPr>
        <w:tab/>
      </w:r>
      <w:r>
        <w:rPr>
          <w:rFonts w:ascii="Courier New" w:cs="Courier New" w:eastAsia="Courier New" w:hAnsi="Courier New"/>
          <w:sz w:val="14"/>
          <w:szCs w:val="14"/>
          <w:color w:val="auto"/>
        </w:rPr>
        <w:t>Resignation and Removal; Appointment of Successor. (a)</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75" w:lineRule="exact"/>
        <w:rPr>
          <w:sz w:val="20"/>
          <w:szCs w:val="20"/>
          <w:color w:val="auto"/>
        </w:rPr>
      </w:pPr>
    </w:p>
    <w:p>
      <w:pPr>
        <w:ind w:right="3239" w:firstLine="884"/>
        <w:spacing w:after="0" w:line="236" w:lineRule="auto"/>
        <w:tabs>
          <w:tab w:leader="none" w:pos="131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resign at any time with respect to the Securities of one or more series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successor Trustee.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3" w:right="1440" w:bottom="1440" w:gutter="0" w:footer="0" w:header="0"/>
        </w:sectPr>
      </w:pPr>
    </w:p>
    <w:bookmarkStart w:id="160" w:name="page161"/>
    <w:bookmarkEnd w:id="160"/>
    <w:p>
      <w:pPr>
        <w:ind w:right="3239" w:firstLine="884"/>
        <w:spacing w:after="0" w:line="235" w:lineRule="auto"/>
        <w:tabs>
          <w:tab w:leader="none" w:pos="1312"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68"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w:t>
      </w:r>
    </w:p>
    <w:p>
      <w:pPr>
        <w:spacing w:after="0" w:line="173" w:lineRule="exact"/>
        <w:rPr>
          <w:sz w:val="20"/>
          <w:szCs w:val="20"/>
          <w:color w:val="auto"/>
        </w:rPr>
      </w:pPr>
    </w:p>
    <w:p>
      <w:pPr>
        <w:ind w:left="440" w:right="3399" w:firstLine="444"/>
        <w:spacing w:after="0" w:line="235" w:lineRule="auto"/>
        <w:tabs>
          <w:tab w:leader="none" w:pos="1315"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75" w:lineRule="exact"/>
        <w:rPr>
          <w:rFonts w:ascii="Courier New" w:cs="Courier New" w:eastAsia="Courier New" w:hAnsi="Courier New"/>
          <w:sz w:val="15"/>
          <w:szCs w:val="15"/>
          <w:color w:val="auto"/>
        </w:rPr>
      </w:pPr>
    </w:p>
    <w:p>
      <w:pPr>
        <w:ind w:left="440" w:right="3319" w:firstLine="444"/>
        <w:spacing w:after="0" w:line="235" w:lineRule="auto"/>
        <w:tabs>
          <w:tab w:leader="none" w:pos="1315"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75"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76" w:lineRule="exact"/>
        <w:rPr>
          <w:sz w:val="20"/>
          <w:szCs w:val="20"/>
          <w:color w:val="auto"/>
        </w:rPr>
      </w:pPr>
    </w:p>
    <w:p>
      <w:pPr>
        <w:ind w:right="3239" w:firstLine="884"/>
        <w:spacing w:after="0" w:line="255" w:lineRule="auto"/>
        <w:tabs>
          <w:tab w:leader="none" w:pos="1312"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of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24" w:right="1440" w:bottom="1440" w:gutter="0" w:footer="0" w:header="0"/>
        </w:sectPr>
      </w:pPr>
    </w:p>
    <w:bookmarkStart w:id="161" w:name="page162"/>
    <w:bookmarkEnd w:id="161"/>
    <w:p>
      <w:pPr>
        <w:ind w:right="3499"/>
        <w:spacing w:after="0" w:line="255" w:lineRule="auto"/>
        <w:rPr>
          <w:sz w:val="20"/>
          <w:szCs w:val="20"/>
          <w:color w:val="auto"/>
        </w:rPr>
      </w:pPr>
      <w:r>
        <w:rPr>
          <w:rFonts w:ascii="Courier New" w:cs="Courier New" w:eastAsia="Courier New" w:hAnsi="Courier New"/>
          <w:sz w:val="14"/>
          <w:szCs w:val="14"/>
          <w:color w:val="auto"/>
        </w:rPr>
        <w:t>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66" w:lineRule="exact"/>
        <w:rPr>
          <w:sz w:val="20"/>
          <w:szCs w:val="20"/>
          <w:color w:val="auto"/>
        </w:rPr>
      </w:pPr>
    </w:p>
    <w:p>
      <w:pPr>
        <w:ind w:right="3239" w:firstLine="797"/>
        <w:spacing w:after="0" w:line="255" w:lineRule="auto"/>
        <w:tabs>
          <w:tab w:leader="none" w:pos="122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60"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609.</w:t>
      </w:r>
      <w:r>
        <w:rPr>
          <w:sz w:val="20"/>
          <w:szCs w:val="20"/>
          <w:color w:val="auto"/>
        </w:rPr>
        <w:tab/>
      </w:r>
      <w:r>
        <w:rPr>
          <w:rFonts w:ascii="Courier New" w:cs="Courier New" w:eastAsia="Courier New" w:hAnsi="Courier New"/>
          <w:sz w:val="14"/>
          <w:szCs w:val="14"/>
          <w:color w:val="auto"/>
        </w:rPr>
        <w:t>Acceptance of Appointment by Successor. (a) In case of</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of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provided for in Section 606.</w:t>
      </w:r>
    </w:p>
    <w:p>
      <w:pPr>
        <w:spacing w:after="0" w:line="173" w:lineRule="exact"/>
        <w:rPr>
          <w:sz w:val="20"/>
          <w:szCs w:val="20"/>
          <w:color w:val="auto"/>
        </w:rPr>
      </w:pPr>
    </w:p>
    <w:p>
      <w:pPr>
        <w:ind w:right="3239" w:firstLine="797"/>
        <w:spacing w:after="0" w:line="237" w:lineRule="auto"/>
        <w:tabs>
          <w:tab w:leader="none" w:pos="1224"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162" w:name="page163"/>
    <w:bookmarkEnd w:id="162"/>
    <w:p>
      <w:pPr>
        <w:ind w:right="3239"/>
        <w:spacing w:after="0" w:line="255" w:lineRule="auto"/>
        <w:rPr>
          <w:sz w:val="20"/>
          <w:szCs w:val="20"/>
          <w:color w:val="auto"/>
        </w:rPr>
      </w:pPr>
      <w:r>
        <w:rPr>
          <w:rFonts w:ascii="Courier New" w:cs="Courier New" w:eastAsia="Courier New" w:hAnsi="Courier New"/>
          <w:sz w:val="14"/>
          <w:szCs w:val="14"/>
          <w:color w:val="auto"/>
        </w:rPr>
        <w:t>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332" w:lineRule="exact"/>
        <w:rPr>
          <w:sz w:val="20"/>
          <w:szCs w:val="20"/>
          <w:color w:val="auto"/>
        </w:rPr>
      </w:pPr>
    </w:p>
    <w:p>
      <w:pPr>
        <w:jc w:val="both"/>
        <w:ind w:right="3239" w:firstLine="884"/>
        <w:spacing w:after="0" w:line="235" w:lineRule="auto"/>
        <w:tabs>
          <w:tab w:leader="none" w:pos="122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75" w:lineRule="exact"/>
        <w:rPr>
          <w:rFonts w:ascii="Courier New" w:cs="Courier New" w:eastAsia="Courier New" w:hAnsi="Courier New"/>
          <w:sz w:val="15"/>
          <w:szCs w:val="15"/>
          <w:color w:val="auto"/>
        </w:rPr>
      </w:pPr>
    </w:p>
    <w:p>
      <w:pPr>
        <w:ind w:right="3399" w:firstLine="884"/>
        <w:spacing w:after="0" w:line="235" w:lineRule="auto"/>
        <w:tabs>
          <w:tab w:leader="none" w:pos="122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successor Trustee shall accept its appointment unless at the time of such acceptance such successor Trustee shall be qualified and eligible under this Article.</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610. Merger, Conversion, Consolidation or Succession to</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Any corporation into which the Trustee may be merged or converted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w:t>
      </w:r>
    </w:p>
    <w:p>
      <w:pPr>
        <w:spacing w:after="0" w:line="233"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4" w:right="1440" w:bottom="1440" w:gutter="0" w:footer="0" w:header="0"/>
        </w:sectPr>
      </w:pPr>
    </w:p>
    <w:bookmarkStart w:id="163" w:name="page164"/>
    <w:bookmarkEnd w:id="163"/>
    <w:p>
      <w:pPr>
        <w:ind w:left="880"/>
        <w:spacing w:after="0"/>
        <w:tabs>
          <w:tab w:leader="none" w:pos="2180" w:val="left"/>
          <w:tab w:leader="none" w:pos="5680" w:val="left"/>
        </w:tabs>
        <w:rPr>
          <w:sz w:val="20"/>
          <w:szCs w:val="20"/>
          <w:color w:val="auto"/>
        </w:rPr>
      </w:pPr>
      <w:r>
        <w:rPr>
          <w:rFonts w:ascii="Courier New" w:cs="Courier New" w:eastAsia="Courier New" w:hAnsi="Courier New"/>
          <w:sz w:val="15"/>
          <w:szCs w:val="15"/>
          <w:color w:val="auto"/>
        </w:rPr>
        <w:t>SECTION 611.</w:t>
        <w:tab/>
        <w:t>Appointment of Authenticating Agent.</w:t>
      </w:r>
      <w:r>
        <w:rPr>
          <w:sz w:val="20"/>
          <w:szCs w:val="20"/>
          <w:color w:val="auto"/>
        </w:rPr>
        <w:tab/>
      </w:r>
      <w:r>
        <w:rPr>
          <w:rFonts w:ascii="Courier New" w:cs="Courier New" w:eastAsia="Courier New" w:hAnsi="Courier New"/>
          <w:sz w:val="14"/>
          <w:szCs w:val="14"/>
          <w:color w:val="auto"/>
        </w:rPr>
        <w:t>At any time</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when any of the Securities remain Outstanding, the Trustee may appoint an Authenticating Agent or Agents with respect to one or more series of Securities which shall be authorized to act on behalf of the Trustee to authenticate Securities of such series issued upon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200" w:lineRule="exact"/>
        <w:rPr>
          <w:sz w:val="20"/>
          <w:szCs w:val="20"/>
          <w:color w:val="auto"/>
        </w:rPr>
      </w:pPr>
    </w:p>
    <w:p>
      <w:pPr>
        <w:spacing w:after="0" w:line="314"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66"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17" w:right="1440" w:bottom="1440" w:gutter="0" w:footer="0" w:header="0"/>
        </w:sectPr>
      </w:pPr>
    </w:p>
    <w:bookmarkStart w:id="164" w:name="page165"/>
    <w:bookmarkEnd w:id="164"/>
    <w:p>
      <w:pPr>
        <w:ind w:right="3239"/>
        <w:spacing w:after="0" w:line="255" w:lineRule="auto"/>
        <w:rPr>
          <w:sz w:val="20"/>
          <w:szCs w:val="20"/>
          <w:color w:val="auto"/>
        </w:rPr>
      </w:pPr>
      <w:r>
        <w:rPr>
          <w:rFonts w:ascii="Courier New" w:cs="Courier New" w:eastAsia="Courier New" w:hAnsi="Courier New"/>
          <w:sz w:val="14"/>
          <w:szCs w:val="14"/>
          <w:color w:val="auto"/>
        </w:rPr>
        <w:t>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effects as if originally named as an Authenticating Agent herein. No successor Authenticating Agent shall be appointed unless eligible under the provisions of this Section.</w:t>
      </w:r>
    </w:p>
    <w:p>
      <w:pPr>
        <w:spacing w:after="0" w:line="165"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The Company agrees to pay to each Authenticating Agent from time to time reasonable compensation including reimbursement of its reasonable expenses for its services under this Section.</w:t>
      </w:r>
    </w:p>
    <w:p>
      <w:pPr>
        <w:spacing w:after="0" w:line="174" w:lineRule="exact"/>
        <w:rPr>
          <w:sz w:val="20"/>
          <w:szCs w:val="20"/>
          <w:color w:val="auto"/>
        </w:rPr>
      </w:pPr>
    </w:p>
    <w:p>
      <w:pPr>
        <w:ind w:right="3319" w:firstLine="875"/>
        <w:spacing w:after="0" w:line="256" w:lineRule="auto"/>
        <w:rPr>
          <w:sz w:val="20"/>
          <w:szCs w:val="20"/>
          <w:color w:val="auto"/>
        </w:rPr>
      </w:pPr>
      <w:r>
        <w:rPr>
          <w:rFonts w:ascii="Courier New" w:cs="Courier New" w:eastAsia="Courier New" w:hAnsi="Courier New"/>
          <w:sz w:val="14"/>
          <w:szCs w:val="14"/>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64" w:lineRule="exact"/>
        <w:rPr>
          <w:sz w:val="20"/>
          <w:szCs w:val="20"/>
          <w:color w:val="auto"/>
        </w:rPr>
      </w:pPr>
    </w:p>
    <w:p>
      <w:pPr>
        <w:ind w:right="3939" w:firstLine="875"/>
        <w:spacing w:after="0" w:line="234" w:lineRule="auto"/>
        <w:rPr>
          <w:sz w:val="20"/>
          <w:szCs w:val="20"/>
          <w:color w:val="auto"/>
        </w:rPr>
      </w:pPr>
      <w:r>
        <w:rPr>
          <w:rFonts w:ascii="Courier New" w:cs="Courier New" w:eastAsia="Courier New" w:hAnsi="Courier New"/>
          <w:sz w:val="15"/>
          <w:szCs w:val="15"/>
          <w:color w:val="auto"/>
        </w:rPr>
        <w:t>This is one of the Securities of the series designated therein referred to in the within-mentioned Indenture.</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First Union National Bank</w:t>
      </w:r>
    </w:p>
    <w:p>
      <w:pPr>
        <w:ind w:left="3500"/>
        <w:spacing w:after="0" w:line="237" w:lineRule="auto"/>
        <w:rPr>
          <w:sz w:val="20"/>
          <w:szCs w:val="20"/>
          <w:color w:val="auto"/>
        </w:rPr>
      </w:pPr>
      <w:r>
        <w:rPr>
          <w:rFonts w:ascii="Courier New" w:cs="Courier New" w:eastAsia="Courier New" w:hAnsi="Courier New"/>
          <w:sz w:val="15"/>
          <w:szCs w:val="15"/>
          <w:color w:val="auto"/>
        </w:rPr>
        <w:t>as Trustee</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__________________________________,</w:t>
      </w:r>
    </w:p>
    <w:p>
      <w:pPr>
        <w:ind w:left="3420"/>
        <w:spacing w:after="0" w:line="237" w:lineRule="auto"/>
        <w:rPr>
          <w:sz w:val="20"/>
          <w:szCs w:val="20"/>
          <w:color w:val="auto"/>
        </w:rPr>
      </w:pPr>
      <w:r>
        <w:rPr>
          <w:rFonts w:ascii="Courier New" w:cs="Courier New" w:eastAsia="Courier New" w:hAnsi="Courier New"/>
          <w:sz w:val="15"/>
          <w:szCs w:val="15"/>
          <w:color w:val="auto"/>
        </w:rPr>
        <w:t>as Authenticating Agent</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__________________________________</w:t>
      </w:r>
    </w:p>
    <w:p>
      <w:pPr>
        <w:ind w:left="3420"/>
        <w:spacing w:after="0" w:line="237" w:lineRule="auto"/>
        <w:rPr>
          <w:sz w:val="20"/>
          <w:szCs w:val="20"/>
          <w:color w:val="auto"/>
        </w:rPr>
      </w:pPr>
      <w:r>
        <w:rPr>
          <w:rFonts w:ascii="Courier New" w:cs="Courier New" w:eastAsia="Courier New" w:hAnsi="Courier New"/>
          <w:sz w:val="15"/>
          <w:szCs w:val="15"/>
          <w:color w:val="auto"/>
        </w:rPr>
        <w:t>Authorized Signatory</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SEVEN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HOLDERS' LIST AND REPORTS BY TRUSTEE AND COMPANY</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701. Disclosure of Names and Addresses of Holders. Every</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 derived, and that the Trustee shall not be held accountable by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4" w:right="1440" w:bottom="1440" w:gutter="0" w:footer="0" w:header="0"/>
        </w:sectPr>
      </w:pPr>
    </w:p>
    <w:bookmarkStart w:id="165" w:name="page166"/>
    <w:bookmarkEnd w:id="165"/>
    <w:p>
      <w:pPr>
        <w:ind w:right="3679"/>
        <w:spacing w:after="0" w:line="234" w:lineRule="auto"/>
        <w:rPr>
          <w:sz w:val="20"/>
          <w:szCs w:val="20"/>
          <w:color w:val="auto"/>
        </w:rPr>
      </w:pPr>
      <w:r>
        <w:rPr>
          <w:rFonts w:ascii="Courier New" w:cs="Courier New" w:eastAsia="Courier New" w:hAnsi="Courier New"/>
          <w:sz w:val="15"/>
          <w:szCs w:val="15"/>
          <w:color w:val="auto"/>
        </w:rPr>
        <w:t>reason of mailing any material pursuant to a request made under TIA Section 312(b).</w:t>
      </w:r>
    </w:p>
    <w:p>
      <w:pPr>
        <w:spacing w:after="0" w:line="167" w:lineRule="exact"/>
        <w:rPr>
          <w:sz w:val="20"/>
          <w:szCs w:val="20"/>
          <w:color w:val="auto"/>
        </w:rPr>
      </w:pPr>
    </w:p>
    <w:p>
      <w:pPr>
        <w:jc w:val="right"/>
        <w:ind w:right="3239"/>
        <w:spacing w:after="0"/>
        <w:tabs>
          <w:tab w:leader="none" w:pos="4780" w:val="left"/>
        </w:tabs>
        <w:rPr>
          <w:sz w:val="20"/>
          <w:szCs w:val="20"/>
          <w:color w:val="auto"/>
        </w:rPr>
      </w:pPr>
      <w:r>
        <w:rPr>
          <w:rFonts w:ascii="Courier New" w:cs="Courier New" w:eastAsia="Courier New" w:hAnsi="Courier New"/>
          <w:sz w:val="15"/>
          <w:szCs w:val="15"/>
          <w:color w:val="auto"/>
        </w:rPr>
        <w:t>SECTION 702.</w:t>
      </w:r>
      <w:r>
        <w:rPr>
          <w:sz w:val="20"/>
          <w:szCs w:val="20"/>
          <w:color w:val="auto"/>
        </w:rPr>
        <w:tab/>
      </w:r>
      <w:r>
        <w:rPr>
          <w:rFonts w:ascii="Courier New" w:cs="Courier New" w:eastAsia="Courier New" w:hAnsi="Courier New"/>
          <w:sz w:val="14"/>
          <w:szCs w:val="14"/>
          <w:color w:val="auto"/>
        </w:rPr>
        <w:t>Reports by Trustee. Within 60 days after May 15 of each</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year commencing with the first May 15 after the first issuance of Securities pursuant to this Indenture, the Trustee shall transmit by mail to all Holders of Securities as provided in TIA Section 313(c) a brief report dated as of such May 15 if required by TIA Section 313(a).</w:t>
      </w:r>
    </w:p>
    <w:p>
      <w:pPr>
        <w:spacing w:after="0" w:line="169"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703.</w:t>
      </w:r>
      <w:r>
        <w:rPr>
          <w:sz w:val="20"/>
          <w:szCs w:val="20"/>
          <w:color w:val="auto"/>
        </w:rPr>
        <w:tab/>
      </w:r>
      <w:r>
        <w:rPr>
          <w:rFonts w:ascii="Courier New" w:cs="Courier New" w:eastAsia="Courier New" w:hAnsi="Courier New"/>
          <w:sz w:val="14"/>
          <w:szCs w:val="14"/>
          <w:color w:val="auto"/>
        </w:rPr>
        <w:t>Reports by Company. The Company will:</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right="3239" w:firstLine="444"/>
        <w:spacing w:after="0" w:line="255" w:lineRule="auto"/>
        <w:tabs>
          <w:tab w:leader="none" w:pos="131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or, if the Company is not required to file information, documents or reports pursuant to either of such Sections, then it will file with the Trustee, in accordance with rules and regulations prescribed from time to time by the Commission, such of the supplementary and periodic information, documents and reports which may be required pursuant to Section 13 of the Securities Exchange Act of 1934 in respect of a security listed and registered on a national securities exchange as may be prescribed from time to time in such rules and regulations;</w:t>
      </w:r>
    </w:p>
    <w:p>
      <w:pPr>
        <w:spacing w:after="0" w:line="163" w:lineRule="exact"/>
        <w:rPr>
          <w:rFonts w:ascii="Courier New" w:cs="Courier New" w:eastAsia="Courier New" w:hAnsi="Courier New"/>
          <w:sz w:val="14"/>
          <w:szCs w:val="14"/>
          <w:color w:val="auto"/>
        </w:rPr>
      </w:pPr>
    </w:p>
    <w:p>
      <w:pPr>
        <w:ind w:left="440" w:right="3239" w:firstLine="444"/>
        <w:spacing w:after="0" w:line="256" w:lineRule="auto"/>
        <w:tabs>
          <w:tab w:leader="none" w:pos="131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163" w:lineRule="exact"/>
        <w:rPr>
          <w:rFonts w:ascii="Courier New" w:cs="Courier New" w:eastAsia="Courier New" w:hAnsi="Courier New"/>
          <w:sz w:val="14"/>
          <w:szCs w:val="14"/>
          <w:color w:val="auto"/>
        </w:rPr>
      </w:pPr>
    </w:p>
    <w:p>
      <w:pPr>
        <w:ind w:left="440" w:right="3319" w:firstLine="444"/>
        <w:spacing w:after="0" w:line="255" w:lineRule="auto"/>
        <w:tabs>
          <w:tab w:leader="none" w:pos="131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w:t>
      </w:r>
    </w:p>
    <w:p>
      <w:pPr>
        <w:spacing w:after="0" w:line="160"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704.</w:t>
      </w:r>
      <w:r>
        <w:rPr>
          <w:sz w:val="20"/>
          <w:szCs w:val="20"/>
          <w:color w:val="auto"/>
        </w:rPr>
        <w:tab/>
      </w:r>
      <w:r>
        <w:rPr>
          <w:rFonts w:ascii="Courier New" w:cs="Courier New" w:eastAsia="Courier New" w:hAnsi="Courier New"/>
          <w:sz w:val="14"/>
          <w:szCs w:val="14"/>
          <w:color w:val="auto"/>
        </w:rPr>
        <w:t>Company to Furnish Trustee Name and Addresses of</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Holders. The Company will furnish or cause to be furnished to the Trustee: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499" w:firstLine="884"/>
        <w:spacing w:after="0" w:line="235" w:lineRule="auto"/>
        <w:tabs>
          <w:tab w:leader="none" w:pos="1312"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semi-annually, not later than 15 days after the regular Record Date for interest for each series of Securities, a Trust, in such form as the Trustee may reasonably require, of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4" w:right="1440" w:bottom="1440" w:gutter="0" w:footer="0" w:header="0"/>
        </w:sectPr>
      </w:pPr>
    </w:p>
    <w:bookmarkStart w:id="166" w:name="page167"/>
    <w:bookmarkEnd w:id="166"/>
    <w:p>
      <w:pPr>
        <w:ind w:right="3239"/>
        <w:spacing w:after="0" w:line="236" w:lineRule="auto"/>
        <w:rPr>
          <w:sz w:val="20"/>
          <w:szCs w:val="20"/>
          <w:color w:val="auto"/>
        </w:rPr>
      </w:pPr>
      <w:r>
        <w:rPr>
          <w:rFonts w:ascii="Courier New" w:cs="Courier New" w:eastAsia="Courier New" w:hAnsi="Courier New"/>
          <w:sz w:val="15"/>
          <w:szCs w:val="15"/>
          <w:color w:val="auto"/>
        </w:rPr>
        <w:t>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74" w:lineRule="exact"/>
        <w:rPr>
          <w:sz w:val="20"/>
          <w:szCs w:val="20"/>
          <w:color w:val="auto"/>
        </w:rPr>
      </w:pPr>
    </w:p>
    <w:p>
      <w:pPr>
        <w:ind w:right="3239" w:firstLine="884"/>
        <w:spacing w:after="0" w:line="235" w:lineRule="auto"/>
        <w:tabs>
          <w:tab w:leader="none" w:pos="131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however, that, so long as the Trustee is the Security Registrar, no</w:t>
      </w:r>
    </w:p>
    <w:p>
      <w:pPr>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238" w:lineRule="auto"/>
        <w:rPr>
          <w:sz w:val="20"/>
          <w:szCs w:val="20"/>
          <w:color w:val="auto"/>
        </w:rPr>
      </w:pPr>
      <w:r>
        <w:rPr>
          <w:rFonts w:ascii="Courier New" w:cs="Courier New" w:eastAsia="Courier New" w:hAnsi="Courier New"/>
          <w:sz w:val="15"/>
          <w:szCs w:val="15"/>
          <w:color w:val="auto"/>
        </w:rPr>
        <w:t>such list shall be required to be furnished.</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EIGHT</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CONSOLIDATION, MERGER, SALE, LEASE OR CONVEYANCE</w:t>
      </w:r>
    </w:p>
    <w:p>
      <w:pPr>
        <w:spacing w:after="0" w:line="166"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4"/>
          <w:szCs w:val="14"/>
          <w:color w:val="auto"/>
        </w:rPr>
        <w:t>Consolidations and Mergers of Company and Sales, Leases</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5"/>
          <w:szCs w:val="15"/>
          <w:color w:val="auto"/>
        </w:rPr>
        <w:t>and Conveyances Permitted Subject to Certain Conditions.</w:t>
      </w:r>
      <w:r>
        <w:rPr>
          <w:sz w:val="20"/>
          <w:szCs w:val="20"/>
          <w:color w:val="auto"/>
        </w:rPr>
        <w:tab/>
      </w:r>
      <w:r>
        <w:rPr>
          <w:rFonts w:ascii="Courier New" w:cs="Courier New" w:eastAsia="Courier New" w:hAnsi="Courier New"/>
          <w:sz w:val="14"/>
          <w:szCs w:val="14"/>
          <w:color w:val="auto"/>
        </w:rPr>
        <w:t>The Company may</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consolidate with, or sell, lease or convey all or substantially all of its assets to, or merge with or into any other corporation, provided that in any such case, (1) 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if any) and any interest (including all Additional Amounts, if any, payable pursuant to Section 1010)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and (2) immediately after giving effect to such transaction and treating any indebtedness which becomes an obligation of the Company or any Subsidiary as a result thereof as having been incurred by the Company or any Subsidiary at the time of such transaction, no Event of Default, and no event which, after notice or the lapse of time, or both, would become an Event of Default, shall have occurred and be continuing.</w:t>
      </w:r>
    </w:p>
    <w:p>
      <w:pPr>
        <w:spacing w:after="0" w:line="169"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4"/>
          <w:szCs w:val="14"/>
          <w:color w:val="auto"/>
        </w:rPr>
        <w:t>Rights and Duties of Successor Corporation. In case of</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any such consolidation, merger, sale, lease or conveyance and upon any such assumption by the successor corporation, such successor corporation shall succeed to and be substituted for the Company, with the same effect as if it had been named herein as the party of the fist part, and the predecessor corporation, except in the event of a lease, shall be relieved of any further obligation under this Indenture and the Securities. Such successor corporation hereupon may cause to be signed, and may issue either in its own name or in the name of the Company, any or all of the Securities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4" w:right="1440" w:bottom="1440" w:gutter="0" w:footer="0" w:header="0"/>
        </w:sectPr>
      </w:pPr>
    </w:p>
    <w:bookmarkStart w:id="167" w:name="page168"/>
    <w:bookmarkEnd w:id="167"/>
    <w:p>
      <w:pPr>
        <w:ind w:right="3239"/>
        <w:spacing w:after="0" w:line="237" w:lineRule="auto"/>
        <w:rPr>
          <w:sz w:val="20"/>
          <w:szCs w:val="20"/>
          <w:color w:val="auto"/>
        </w:rPr>
      </w:pPr>
      <w:r>
        <w:rPr>
          <w:rFonts w:ascii="Courier New" w:cs="Courier New" w:eastAsia="Courier New" w:hAnsi="Courier New"/>
          <w:sz w:val="15"/>
          <w:szCs w:val="15"/>
          <w:color w:val="auto"/>
        </w:rPr>
        <w:t>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73" w:lineRule="exact"/>
        <w:rPr>
          <w:sz w:val="20"/>
          <w:szCs w:val="20"/>
          <w:color w:val="auto"/>
        </w:rPr>
      </w:pPr>
    </w:p>
    <w:p>
      <w:pPr>
        <w:jc w:val="both"/>
        <w:ind w:right="3319" w:firstLine="875"/>
        <w:spacing w:after="0" w:line="235" w:lineRule="auto"/>
        <w:rPr>
          <w:sz w:val="20"/>
          <w:szCs w:val="20"/>
          <w:color w:val="auto"/>
        </w:rPr>
      </w:pPr>
      <w:r>
        <w:rPr>
          <w:rFonts w:ascii="Courier New" w:cs="Courier New" w:eastAsia="Courier New" w:hAnsi="Courier New"/>
          <w:sz w:val="15"/>
          <w:szCs w:val="15"/>
          <w:color w:val="auto"/>
        </w:rPr>
        <w:t>In case of any such consolidation, merger, sale, lease or conveyance, such changes in phraseology and form (but not in substance) may be made in the Securities thereafter to be issued as may be appropriate.</w:t>
      </w:r>
    </w:p>
    <w:p>
      <w:pPr>
        <w:spacing w:after="0" w:line="167" w:lineRule="exact"/>
        <w:rPr>
          <w:sz w:val="20"/>
          <w:szCs w:val="20"/>
          <w:color w:val="auto"/>
        </w:rPr>
      </w:pPr>
    </w:p>
    <w:p>
      <w:pPr>
        <w:ind w:left="880"/>
        <w:spacing w:after="0"/>
        <w:tabs>
          <w:tab w:leader="none" w:pos="2180" w:val="left"/>
          <w:tab w:leader="none" w:pos="6280" w:val="left"/>
        </w:tabs>
        <w:rPr>
          <w:sz w:val="20"/>
          <w:szCs w:val="20"/>
          <w:color w:val="auto"/>
        </w:rPr>
      </w:pPr>
      <w:r>
        <w:rPr>
          <w:rFonts w:ascii="Courier New" w:cs="Courier New" w:eastAsia="Courier New" w:hAnsi="Courier New"/>
          <w:sz w:val="15"/>
          <w:szCs w:val="15"/>
          <w:color w:val="auto"/>
        </w:rPr>
        <w:t>SECTION 803.</w:t>
        <w:tab/>
        <w:t>Officers' Certificate and Opinion of Counsel.</w:t>
      </w:r>
      <w:r>
        <w:rPr>
          <w:sz w:val="20"/>
          <w:szCs w:val="20"/>
          <w:color w:val="auto"/>
        </w:rPr>
        <w:tab/>
      </w:r>
      <w:r>
        <w:rPr>
          <w:rFonts w:ascii="Courier New" w:cs="Courier New" w:eastAsia="Courier New" w:hAnsi="Courier New"/>
          <w:sz w:val="14"/>
          <w:szCs w:val="14"/>
          <w:color w:val="auto"/>
        </w:rPr>
        <w:t>Any</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consolidation, merger, sale, lease or conveyance permitted under Section 801 is also subject to the condition that the Trustee receive an Officers' Certificate</w:t>
      </w:r>
    </w:p>
    <w:tbl>
      <w:tblPr>
        <w:tblLayout w:type="fixed"/>
        <w:tblInd w:w="0" w:type="dxa"/>
        <w:tblCellMar>
          <w:top w:w="0" w:type="dxa"/>
          <w:left w:w="0" w:type="dxa"/>
          <w:bottom w:w="0" w:type="dxa"/>
          <w:right w:w="0" w:type="dxa"/>
        </w:tblCellMar>
      </w:tblPr>
      <w:tr>
        <w:trPr>
          <w:trHeight w:val="164"/>
        </w:trPr>
        <w:tc>
          <w:tcPr>
            <w:tcW w:w="2460" w:type="dxa"/>
            <w:vAlign w:val="bottom"/>
          </w:tcPr>
          <w:p>
            <w:pPr>
              <w:spacing w:after="0" w:line="164" w:lineRule="exact"/>
              <w:rPr>
                <w:sz w:val="20"/>
                <w:szCs w:val="20"/>
                <w:color w:val="auto"/>
              </w:rPr>
            </w:pPr>
            <w:r>
              <w:rPr>
                <w:rFonts w:ascii="Courier New" w:cs="Courier New" w:eastAsia="Courier New" w:hAnsi="Courier New"/>
                <w:sz w:val="15"/>
                <w:szCs w:val="15"/>
                <w:color w:val="auto"/>
                <w:w w:val="96"/>
              </w:rPr>
              <w:t>and an Opinion of Counsel to</w:t>
            </w:r>
          </w:p>
        </w:tc>
        <w:tc>
          <w:tcPr>
            <w:tcW w:w="1800" w:type="dxa"/>
            <w:vAlign w:val="bottom"/>
          </w:tcPr>
          <w:p>
            <w:pPr>
              <w:jc w:val="right"/>
              <w:spacing w:after="0" w:line="164" w:lineRule="exact"/>
              <w:rPr>
                <w:sz w:val="20"/>
                <w:szCs w:val="20"/>
                <w:color w:val="auto"/>
              </w:rPr>
            </w:pPr>
            <w:r>
              <w:rPr>
                <w:rFonts w:ascii="Courier New" w:cs="Courier New" w:eastAsia="Courier New" w:hAnsi="Courier New"/>
                <w:sz w:val="15"/>
                <w:szCs w:val="15"/>
                <w:color w:val="auto"/>
              </w:rPr>
              <w:t>the effect that any</w:t>
            </w:r>
          </w:p>
        </w:tc>
        <w:tc>
          <w:tcPr>
            <w:tcW w:w="2660" w:type="dxa"/>
            <w:vAlign w:val="bottom"/>
          </w:tcPr>
          <w:p>
            <w:pPr>
              <w:ind w:left="40"/>
              <w:spacing w:after="0" w:line="164" w:lineRule="exact"/>
              <w:rPr>
                <w:sz w:val="20"/>
                <w:szCs w:val="20"/>
                <w:color w:val="auto"/>
              </w:rPr>
            </w:pPr>
            <w:r>
              <w:rPr>
                <w:rFonts w:ascii="Courier New" w:cs="Courier New" w:eastAsia="Courier New" w:hAnsi="Courier New"/>
                <w:sz w:val="15"/>
                <w:szCs w:val="15"/>
                <w:color w:val="auto"/>
              </w:rPr>
              <w:t>such consolidation, merger,</w:t>
            </w: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sale, lease or conveyance, and the assumption by</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any successor corporation,</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complies with the provisions</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this Article and</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that all conditions precedent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herein provided for relating</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 such transaction</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have been complied with.</w:t>
            </w:r>
          </w:p>
        </w:tc>
      </w:tr>
      <w:tr>
        <w:trPr>
          <w:trHeight w:val="505"/>
        </w:trPr>
        <w:tc>
          <w:tcPr>
            <w:tcW w:w="2460" w:type="dxa"/>
            <w:vAlign w:val="bottom"/>
          </w:tcPr>
          <w:p>
            <w:pPr>
              <w:spacing w:after="0"/>
              <w:rPr>
                <w:sz w:val="24"/>
                <w:szCs w:val="24"/>
                <w:color w:val="auto"/>
              </w:rPr>
            </w:pPr>
          </w:p>
        </w:tc>
        <w:tc>
          <w:tcPr>
            <w:tcW w:w="1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ARTICLE NINE</w:t>
            </w:r>
          </w:p>
        </w:tc>
        <w:tc>
          <w:tcPr>
            <w:tcW w:w="2660" w:type="dxa"/>
            <w:vAlign w:val="bottom"/>
          </w:tcPr>
          <w:p>
            <w:pPr>
              <w:spacing w:after="0"/>
              <w:rPr>
                <w:sz w:val="24"/>
                <w:szCs w:val="24"/>
                <w:color w:val="auto"/>
              </w:rPr>
            </w:pPr>
          </w:p>
        </w:tc>
      </w:tr>
      <w:tr>
        <w:trPr>
          <w:trHeight w:val="336"/>
        </w:trPr>
        <w:tc>
          <w:tcPr>
            <w:tcW w:w="246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INDENTURES</w:t>
            </w:r>
          </w:p>
        </w:tc>
      </w:tr>
      <w:tr>
        <w:trPr>
          <w:trHeight w:val="336"/>
        </w:trPr>
        <w:tc>
          <w:tcPr>
            <w:tcW w:w="4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901.   Supplemental Indentures</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without Consent of Holders.</w:t>
            </w:r>
          </w:p>
        </w:tc>
      </w:tr>
      <w:tr>
        <w:trPr>
          <w:trHeight w:val="168"/>
        </w:trPr>
        <w:tc>
          <w:tcPr>
            <w:tcW w:w="6920" w:type="dxa"/>
            <w:vAlign w:val="bottom"/>
            <w:gridSpan w:val="3"/>
          </w:tcPr>
          <w:p>
            <w:pPr>
              <w:ind w:left="22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Without the consent of any Holders of Securities</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or coupons, the Company, when</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authorized by or pursuant to</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 Board Resolution,</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the Trustee, at any time</w:t>
            </w:r>
          </w:p>
        </w:tc>
      </w:tr>
      <w:tr>
        <w:trPr>
          <w:trHeight w:val="168"/>
        </w:trPr>
        <w:tc>
          <w:tcPr>
            <w:tcW w:w="6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and from time to time, may enter into one or more indentures supplemental</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hereto, in form satisfactory</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 the Trustee, for</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any of the following purposes:</w:t>
            </w:r>
          </w:p>
        </w:tc>
      </w:tr>
    </w:tbl>
    <w:p>
      <w:pPr>
        <w:spacing w:after="0" w:line="173" w:lineRule="exact"/>
        <w:rPr>
          <w:sz w:val="20"/>
          <w:szCs w:val="20"/>
          <w:color w:val="auto"/>
        </w:rPr>
      </w:pPr>
    </w:p>
    <w:p>
      <w:pPr>
        <w:ind w:left="440" w:right="3239" w:firstLine="444"/>
        <w:spacing w:after="0" w:line="235" w:lineRule="auto"/>
        <w:tabs>
          <w:tab w:leader="none" w:pos="1315"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Person to the Company and the assumption by any such successor of the covenants of the Company herein and in the Securities contained; or</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4"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5"/>
          <w:szCs w:val="15"/>
          <w:color w:val="auto"/>
        </w:rPr>
        <w:t>surrender any right or power herein conferred upon the Company; or</w:t>
      </w:r>
    </w:p>
    <w:p>
      <w:pPr>
        <w:spacing w:after="0" w:line="173" w:lineRule="exact"/>
        <w:rPr>
          <w:sz w:val="20"/>
          <w:szCs w:val="20"/>
          <w:color w:val="auto"/>
        </w:rPr>
      </w:pPr>
    </w:p>
    <w:p>
      <w:pPr>
        <w:ind w:right="3239" w:firstLine="447"/>
        <w:spacing w:after="0" w:line="254" w:lineRule="auto"/>
        <w:tabs>
          <w:tab w:leader="none" w:pos="875"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provided, however, that in respect of any such additional Events of Default such</w:t>
      </w:r>
    </w:p>
    <w:p>
      <w:pPr>
        <w:ind w:left="180" w:hanging="170"/>
        <w:spacing w:after="0" w:line="237" w:lineRule="auto"/>
        <w:tabs>
          <w:tab w:leader="none" w:pos="18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76" w:lineRule="exact"/>
        <w:rPr>
          <w:sz w:val="20"/>
          <w:szCs w:val="20"/>
          <w:color w:val="auto"/>
        </w:rPr>
      </w:pPr>
    </w:p>
    <w:p>
      <w:pPr>
        <w:ind w:right="3239" w:firstLine="447"/>
        <w:spacing w:after="0" w:line="254" w:lineRule="auto"/>
        <w:tabs>
          <w:tab w:leader="none" w:pos="87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provided that any</w:t>
      </w:r>
    </w:p>
    <w:p>
      <w:pPr>
        <w:ind w:left="5440"/>
        <w:spacing w:after="0" w:line="234"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such action shall not adversely affect the interests of the Holders of Securities of any series or any related coupons in any material respect; or</w:t>
      </w:r>
    </w:p>
    <w:p>
      <w:pPr>
        <w:spacing w:after="0" w:line="160" w:lineRule="exact"/>
        <w:rPr>
          <w:sz w:val="20"/>
          <w:szCs w:val="20"/>
          <w:color w:val="auto"/>
        </w:rPr>
      </w:pPr>
    </w:p>
    <w:p>
      <w:pPr>
        <w:ind w:right="3499" w:firstLine="447"/>
        <w:spacing w:after="0" w:line="254" w:lineRule="auto"/>
        <w:tabs>
          <w:tab w:leader="none" w:pos="875"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change or eliminate any of the provisions of this Indenture, provided that any such change or elimination shall become effective only when</w:t>
      </w:r>
    </w:p>
    <w:p>
      <w:pPr>
        <w:ind w:left="180" w:hanging="170"/>
        <w:spacing w:after="0" w:line="237" w:lineRule="auto"/>
        <w:tabs>
          <w:tab w:leader="none" w:pos="18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there is no Security Outstanding of any series created prior to the execution of such supplemental indenture which is entitled to the benefit of such provision; or</w:t>
      </w:r>
    </w:p>
    <w:p>
      <w:pPr>
        <w:spacing w:after="0" w:line="167" w:lineRule="exact"/>
        <w:rPr>
          <w:sz w:val="20"/>
          <w:szCs w:val="20"/>
          <w:color w:val="auto"/>
        </w:rPr>
      </w:pPr>
    </w:p>
    <w:p>
      <w:pPr>
        <w:ind w:left="880" w:hanging="433"/>
        <w:spacing w:after="0"/>
        <w:tabs>
          <w:tab w:leader="none" w:pos="8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secure the Securities; or</w:t>
      </w:r>
    </w:p>
    <w:p>
      <w:pPr>
        <w:spacing w:after="0" w:line="172" w:lineRule="exact"/>
        <w:rPr>
          <w:rFonts w:ascii="Courier New" w:cs="Courier New" w:eastAsia="Courier New" w:hAnsi="Courier New"/>
          <w:sz w:val="15"/>
          <w:szCs w:val="15"/>
          <w:color w:val="auto"/>
        </w:rPr>
      </w:pPr>
    </w:p>
    <w:p>
      <w:pPr>
        <w:ind w:right="3399" w:firstLine="447"/>
        <w:spacing w:after="0" w:line="235" w:lineRule="auto"/>
        <w:tabs>
          <w:tab w:leader="none" w:pos="875"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the form or terms of Securities of any series and any related coupons as permitted by Sections 201 and 301, including the provisions and procedures relating to Securities convertible into Common Shares or Preferred Shares, as the case may be; or</w:t>
      </w:r>
    </w:p>
    <w:p>
      <w:pPr>
        <w:spacing w:after="0" w:line="175" w:lineRule="exact"/>
        <w:rPr>
          <w:rFonts w:ascii="Courier New" w:cs="Courier New" w:eastAsia="Courier New" w:hAnsi="Courier New"/>
          <w:sz w:val="15"/>
          <w:szCs w:val="15"/>
          <w:color w:val="auto"/>
        </w:rPr>
      </w:pPr>
    </w:p>
    <w:p>
      <w:pPr>
        <w:ind w:right="3239" w:firstLine="447"/>
        <w:spacing w:after="0" w:line="258" w:lineRule="auto"/>
        <w:tabs>
          <w:tab w:leader="none" w:pos="8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the Securities of one or more series and to add to or change any of the provisions of this Indenture as shall be necessary</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17" w:right="1440" w:bottom="1440" w:gutter="0" w:footer="0" w:header="0"/>
        </w:sectPr>
      </w:pPr>
    </w:p>
    <w:bookmarkStart w:id="169" w:name="page170"/>
    <w:bookmarkEnd w:id="169"/>
    <w:p>
      <w:pPr>
        <w:ind w:left="440" w:right="3319"/>
        <w:spacing w:after="0" w:line="234" w:lineRule="auto"/>
        <w:rPr>
          <w:sz w:val="20"/>
          <w:szCs w:val="20"/>
          <w:color w:val="auto"/>
        </w:rPr>
      </w:pPr>
      <w:r>
        <w:rPr>
          <w:rFonts w:ascii="Courier New" w:cs="Courier New" w:eastAsia="Courier New" w:hAnsi="Courier New"/>
          <w:sz w:val="15"/>
          <w:szCs w:val="15"/>
          <w:color w:val="auto"/>
        </w:rPr>
        <w:t>to provide for or facilitate the administration of the trusts hereunder by more than one Trustee; or</w:t>
      </w:r>
    </w:p>
    <w:p>
      <w:pPr>
        <w:spacing w:after="0" w:line="173" w:lineRule="exact"/>
        <w:rPr>
          <w:sz w:val="20"/>
          <w:szCs w:val="20"/>
          <w:color w:val="auto"/>
        </w:rPr>
      </w:pPr>
    </w:p>
    <w:p>
      <w:pPr>
        <w:ind w:left="440" w:right="3239" w:firstLine="444"/>
        <w:spacing w:after="0" w:line="254" w:lineRule="auto"/>
        <w:tabs>
          <w:tab w:leader="none" w:pos="131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to correct or supplement any provision herein which may be defective or inconsistent with any other provisions herein, or to make any other provisions with respect to matters or questions arising under this Indenture which shall not be inconsistent with the provisions of this Indenture, provided such provisions shall not</w:t>
      </w:r>
    </w:p>
    <w:p>
      <w:pPr>
        <w:ind w:left="342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adversely affect the interests of the Holders of Securities of any series or any related coupons in any material respect; or</w:t>
      </w:r>
    </w:p>
    <w:p>
      <w:pPr>
        <w:spacing w:after="0" w:line="173" w:lineRule="exact"/>
        <w:rPr>
          <w:sz w:val="20"/>
          <w:szCs w:val="20"/>
          <w:color w:val="auto"/>
        </w:rPr>
      </w:pPr>
    </w:p>
    <w:p>
      <w:pPr>
        <w:jc w:val="both"/>
        <w:ind w:left="440" w:right="3579" w:firstLine="444"/>
        <w:spacing w:after="0" w:line="254" w:lineRule="auto"/>
        <w:tabs>
          <w:tab w:leader="none" w:pos="131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supplement any of the provisions of this Indenture to such extent as shall be necessary to permit or facilitate the defeasance and discharge of any series of Securities pursuant to Section 401, 1402 and 1403; provided that any such action shall not adversely affect the</w:t>
      </w:r>
    </w:p>
    <w:p>
      <w:pPr>
        <w:ind w:left="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440" w:right="375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interests of the Holders of Securities of such series and any related coupons or any other series of Securities in any material respect.</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902. Supplemental Indentures with Consent of Holders. With the</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provided, however, that</w:t>
      </w:r>
    </w:p>
    <w:p>
      <w:pPr>
        <w:ind w:left="5000"/>
        <w:spacing w:after="0"/>
        <w:tabs>
          <w:tab w:leader="none" w:pos="58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such supplemental indenture shall, without the consent of the Holder of 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Security affected thereby:</w:t>
      </w:r>
    </w:p>
    <w:p>
      <w:pPr>
        <w:spacing w:after="0" w:line="173" w:lineRule="exact"/>
        <w:rPr>
          <w:sz w:val="20"/>
          <w:szCs w:val="20"/>
          <w:color w:val="auto"/>
        </w:rPr>
      </w:pPr>
    </w:p>
    <w:p>
      <w:pPr>
        <w:ind w:left="440" w:right="3239" w:firstLine="444"/>
        <w:spacing w:after="0" w:line="255" w:lineRule="auto"/>
        <w:tabs>
          <w:tab w:leader="none" w:pos="131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premium, if any, on) or any installment of principal of or interest on, any Security; or reduce the principal amount thereof or the rate of amount of interest thereon or any Additional Amounts payable in respect thereof, or any premium payable upon the redemption thereof, or change any obligation of the Company to pay Additional Amounts pursuant to Section 1010 (except as contemplated by Section 801(1) and permitted by Section 901(1)),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the interest thereon is payable, or impair the right to institute suit for</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24" w:right="1440" w:bottom="1440" w:gutter="0" w:footer="0" w:header="0"/>
        </w:sectPr>
      </w:pPr>
    </w:p>
    <w:bookmarkStart w:id="170" w:name="page171"/>
    <w:bookmarkEnd w:id="170"/>
    <w:p>
      <w:pPr>
        <w:jc w:val="both"/>
        <w:ind w:left="440" w:right="3239"/>
        <w:spacing w:after="0" w:line="258" w:lineRule="auto"/>
        <w:rPr>
          <w:sz w:val="20"/>
          <w:szCs w:val="20"/>
          <w:color w:val="auto"/>
        </w:rPr>
      </w:pPr>
      <w:r>
        <w:rPr>
          <w:rFonts w:ascii="Courier New" w:cs="Courier New" w:eastAsia="Courier New" w:hAnsi="Courier New"/>
          <w:sz w:val="14"/>
          <w:szCs w:val="14"/>
          <w:color w:val="auto"/>
        </w:rPr>
        <w:t>the enforcement of any such payment on or after the Stated Maturity thereof (or, in the case of redemption or repayment at the option of the Holder, on or after the Redemption Date or the Repayment Date, as the case may be), or</w:t>
      </w:r>
    </w:p>
    <w:p>
      <w:pPr>
        <w:spacing w:after="0" w:line="161" w:lineRule="exact"/>
        <w:rPr>
          <w:sz w:val="20"/>
          <w:szCs w:val="20"/>
          <w:color w:val="auto"/>
        </w:rPr>
      </w:pPr>
    </w:p>
    <w:p>
      <w:pPr>
        <w:ind w:left="440" w:right="3239" w:firstLine="444"/>
        <w:spacing w:after="0" w:line="236" w:lineRule="auto"/>
        <w:tabs>
          <w:tab w:leader="none" w:pos="1315"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175"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provisions of this Section, Section 513 or Section 1011, except to increase the required percentage to effect such action or to provide that certain other provisions of this Indenture cannot be modified or waived without the consent of the Holder of each Outstanding Security affected thereby.</w:t>
      </w:r>
    </w:p>
    <w:p>
      <w:pPr>
        <w:spacing w:after="0" w:line="174"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It shall not be necessary for any Act of Holders under this Section to approve the particular form of any proposed supplemental indenture, but it shall be sufficient if such Act shall approve the substance thereof.</w:t>
      </w:r>
    </w:p>
    <w:p>
      <w:pPr>
        <w:spacing w:after="0" w:line="174"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8" w:lineRule="exact"/>
        <w:rPr>
          <w:sz w:val="20"/>
          <w:szCs w:val="20"/>
          <w:color w:val="auto"/>
        </w:rPr>
      </w:pPr>
    </w:p>
    <w:p>
      <w:pPr>
        <w:jc w:val="right"/>
        <w:ind w:right="3239"/>
        <w:spacing w:after="0"/>
        <w:tabs>
          <w:tab w:leader="none" w:pos="4780" w:val="left"/>
          <w:tab w:leader="none" w:pos="1380" w:val="left"/>
        </w:tabs>
        <w:rPr>
          <w:sz w:val="20"/>
          <w:szCs w:val="20"/>
          <w:color w:val="auto"/>
        </w:rPr>
      </w:pPr>
      <w:r>
        <w:rPr>
          <w:rFonts w:ascii="Courier New" w:cs="Courier New" w:eastAsia="Courier New" w:hAnsi="Courier New"/>
          <w:sz w:val="15"/>
          <w:szCs w:val="15"/>
          <w:color w:val="auto"/>
        </w:rPr>
        <w:t>SECTION 903.</w:t>
        <w:tab/>
        <w:t>Execution of Supplemental Indentures.</w:t>
      </w:r>
      <w:r>
        <w:rPr>
          <w:sz w:val="20"/>
          <w:szCs w:val="20"/>
          <w:color w:val="auto"/>
        </w:rPr>
        <w:tab/>
      </w:r>
      <w:r>
        <w:rPr>
          <w:rFonts w:ascii="Courier New" w:cs="Courier New" w:eastAsia="Courier New" w:hAnsi="Courier New"/>
          <w:sz w:val="14"/>
          <w:szCs w:val="14"/>
          <w:color w:val="auto"/>
        </w:rPr>
        <w:t>In executing, or</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accepting the additional trusts created by, any supplemental indenture permitted by this Article or the modification thereby of the trusts created by this Indenture, the Trustee shall be entitled to receive, and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71" w:lineRule="exact"/>
        <w:rPr>
          <w:sz w:val="20"/>
          <w:szCs w:val="20"/>
          <w:color w:val="auto"/>
        </w:rPr>
      </w:pPr>
    </w:p>
    <w:p>
      <w:pPr>
        <w:ind w:left="880"/>
        <w:spacing w:after="0"/>
        <w:tabs>
          <w:tab w:leader="none" w:pos="2180" w:val="left"/>
          <w:tab w:leader="none" w:pos="5320" w:val="left"/>
        </w:tabs>
        <w:rPr>
          <w:sz w:val="20"/>
          <w:szCs w:val="20"/>
          <w:color w:val="auto"/>
        </w:rPr>
      </w:pPr>
      <w:r>
        <w:rPr>
          <w:rFonts w:ascii="Courier New" w:cs="Courier New" w:eastAsia="Courier New" w:hAnsi="Courier New"/>
          <w:sz w:val="15"/>
          <w:szCs w:val="15"/>
          <w:color w:val="auto"/>
        </w:rPr>
        <w:t>SECTION 904.</w:t>
        <w:tab/>
        <w:t>Effect of Supplemental Indentures.</w:t>
      </w:r>
      <w:r>
        <w:rPr>
          <w:sz w:val="20"/>
          <w:szCs w:val="20"/>
          <w:color w:val="auto"/>
        </w:rPr>
        <w:tab/>
      </w:r>
      <w:r>
        <w:rPr>
          <w:rFonts w:ascii="Courier New" w:cs="Courier New" w:eastAsia="Courier New" w:hAnsi="Courier New"/>
          <w:sz w:val="14"/>
          <w:szCs w:val="14"/>
          <w:color w:val="auto"/>
        </w:rPr>
        <w:t>Upon the execution</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appended charter hereto shall be bound thereby.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24" w:right="1440" w:bottom="1440" w:gutter="0" w:footer="0" w:header="0"/>
        </w:sectPr>
      </w:pPr>
    </w:p>
    <w:bookmarkStart w:id="171" w:name="page172"/>
    <w:bookmarkEnd w:id="171"/>
    <w:p>
      <w:pPr>
        <w:jc w:val="right"/>
        <w:ind w:right="3239"/>
        <w:spacing w:after="0"/>
        <w:tabs>
          <w:tab w:leader="none" w:pos="4780" w:val="left"/>
        </w:tabs>
        <w:rPr>
          <w:sz w:val="20"/>
          <w:szCs w:val="20"/>
          <w:color w:val="auto"/>
        </w:rPr>
      </w:pPr>
      <w:r>
        <w:rPr>
          <w:rFonts w:ascii="Courier New" w:cs="Courier New" w:eastAsia="Courier New" w:hAnsi="Courier New"/>
          <w:sz w:val="15"/>
          <w:szCs w:val="15"/>
          <w:color w:val="auto"/>
        </w:rPr>
        <w:t>SECTION 905.</w:t>
      </w:r>
      <w:r>
        <w:rPr>
          <w:sz w:val="20"/>
          <w:szCs w:val="20"/>
          <w:color w:val="auto"/>
        </w:rPr>
        <w:tab/>
      </w:r>
      <w:r>
        <w:rPr>
          <w:rFonts w:ascii="Courier New" w:cs="Courier New" w:eastAsia="Courier New" w:hAnsi="Courier New"/>
          <w:sz w:val="14"/>
          <w:szCs w:val="14"/>
          <w:color w:val="auto"/>
        </w:rPr>
        <w:t>Conformity with Trust Indenture Act. Every supplemental</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indenture executed pursuant to this Article shall conform to the requirements of the Trust Indenture Act as then in effect.</w:t>
      </w:r>
    </w:p>
    <w:p>
      <w:pPr>
        <w:spacing w:after="0" w:line="167"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906.</w:t>
      </w:r>
      <w:r>
        <w:rPr>
          <w:sz w:val="20"/>
          <w:szCs w:val="20"/>
          <w:color w:val="auto"/>
        </w:rPr>
        <w:tab/>
      </w:r>
      <w:r>
        <w:rPr>
          <w:rFonts w:ascii="Courier New" w:cs="Courier New" w:eastAsia="Courier New" w:hAnsi="Courier New"/>
          <w:sz w:val="14"/>
          <w:szCs w:val="14"/>
          <w:color w:val="auto"/>
        </w:rPr>
        <w:t>Reference in Securities to Supplemental Indentures.</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32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TEN</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COVENANTS</w:t>
      </w:r>
    </w:p>
    <w:p>
      <w:pPr>
        <w:spacing w:after="0" w:line="166"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1001.</w:t>
      </w:r>
      <w:r>
        <w:rPr>
          <w:sz w:val="20"/>
          <w:szCs w:val="20"/>
          <w:color w:val="auto"/>
        </w:rPr>
        <w:tab/>
      </w:r>
      <w:r>
        <w:rPr>
          <w:rFonts w:ascii="Courier New" w:cs="Courier New" w:eastAsia="Courier New" w:hAnsi="Courier New"/>
          <w:sz w:val="14"/>
          <w:szCs w:val="14"/>
          <w:color w:val="auto"/>
        </w:rPr>
        <w:t>Payment of Principal, Premium, if any, Interest and</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1820" w:val="left"/>
        </w:tabs>
        <w:rPr>
          <w:sz w:val="20"/>
          <w:szCs w:val="20"/>
          <w:color w:val="auto"/>
        </w:rPr>
      </w:pPr>
      <w:r>
        <w:rPr>
          <w:rFonts w:ascii="Courier New" w:cs="Courier New" w:eastAsia="Courier New" w:hAnsi="Courier New"/>
          <w:sz w:val="15"/>
          <w:szCs w:val="15"/>
          <w:color w:val="auto"/>
        </w:rPr>
        <w:t>Additional Amounts.</w:t>
      </w:r>
      <w:r>
        <w:rPr>
          <w:sz w:val="20"/>
          <w:szCs w:val="20"/>
          <w:color w:val="auto"/>
        </w:rPr>
        <w:tab/>
      </w:r>
      <w:r>
        <w:rPr>
          <w:rFonts w:ascii="Courier New" w:cs="Courier New" w:eastAsia="Courier New" w:hAnsi="Courier New"/>
          <w:sz w:val="14"/>
          <w:szCs w:val="14"/>
          <w:color w:val="auto"/>
        </w:rPr>
        <w:t>The Company covenants and agrees for the benefit of the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Holders of each series of Securities that it will duly and punctually pay the principal of (and premium, if any) and interest on and any Additional Amounts payable in respect of the Securities of that series in accordance with the terms of such series of Securities, any coupons appertaining thereto and this Indenture. Unless otherwise specified as contemplated by Section 301 with respect to any series of Securities, any interest due on and any Additional Amounts payable in respect of Bearer Securities on or before Maturity, other than Additional Amounts, if any, payable as provided in Section 1010 in respect of principal of (or premium, if any, on) such a Security, shall be payable only upon presentation and surrender of the several coupons for such interest installments as are evidenced thereby as they severally mature. Unless otherwise specified with respect to Securities of any series pursuant to Section 301, at the option to the Company, all payments of principal may be paid by check to the registered Holder of the Registered Security or other person entitled thereto against surrender of such Security.</w:t>
      </w:r>
    </w:p>
    <w:p>
      <w:pPr>
        <w:spacing w:after="0" w:line="168"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1002.</w:t>
      </w:r>
      <w:r>
        <w:rPr>
          <w:sz w:val="20"/>
          <w:szCs w:val="20"/>
          <w:color w:val="auto"/>
        </w:rPr>
        <w:tab/>
      </w:r>
      <w:r>
        <w:rPr>
          <w:rFonts w:ascii="Courier New" w:cs="Courier New" w:eastAsia="Courier New" w:hAnsi="Courier New"/>
          <w:sz w:val="14"/>
          <w:szCs w:val="14"/>
          <w:color w:val="auto"/>
        </w:rPr>
        <w:t>Maintenance of Office or Agency. If Securities of a</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exchange and where notices and demands to or upon the Company in respect of the Securities of that series and this Indenture may be served. If Securities of a series are issuable as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17" w:right="1440" w:bottom="1440" w:gutter="0" w:footer="0" w:header="0"/>
        </w:sectPr>
      </w:pPr>
    </w:p>
    <w:bookmarkStart w:id="172" w:name="page173"/>
    <w:bookmarkEnd w:id="172"/>
    <w:p>
      <w:pPr>
        <w:ind w:right="3239"/>
        <w:spacing w:after="0" w:line="254" w:lineRule="auto"/>
        <w:rPr>
          <w:sz w:val="20"/>
          <w:szCs w:val="20"/>
          <w:color w:val="auto"/>
        </w:rPr>
      </w:pPr>
      <w:r>
        <w:rPr>
          <w:rFonts w:ascii="Courier New" w:cs="Courier New" w:eastAsia="Courier New" w:hAnsi="Courier New"/>
          <w:sz w:val="14"/>
          <w:szCs w:val="14"/>
          <w:color w:val="auto"/>
        </w:rPr>
        <w:t>Bearer Securities, the Company will maintain: (A) in the Borough of Manhattan, New York City, an office or agency where any Registered Securities of that series may be presented or surrendered for payment or conversion, where any Registered Securities of that series may be surrendered for registration of transfer, where Securities of that series may be surrendered for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(including payment of any Additional Amounts payable on Securities of that series pursuant to Section 1010) or conversion; provided, however, that if the Securities of that series are listed</w:t>
      </w:r>
    </w:p>
    <w:p>
      <w:pPr>
        <w:ind w:left="1060"/>
        <w:spacing w:after="0"/>
        <w:tabs>
          <w:tab w:leader="none" w:pos="1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the Luxembourg Stock Exchange or any other stock exchange located outside the United States and such stock exchange shall so require, the Company will maintain a Paying Agent for the Securities of that series in Luxembourg or any other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(including payment of any Additional Amounts payable on Bearer Securities of that series pursuant to Section 1010) or conversion at the offices specified in the Security, in London, England and the Company hereby appoints the same at its agent to receive such respective presentations, surrenders, notices and demands, and the Company hereby appoints the Trustee its agent to receive all such presentations, surrenders, notices and demands.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Unless otherwise specified with respect to any Securities pursuant to Section 301, no payment of principal, premium or interest on or Additional Amounts in respect of Bearer Securities shall made at any office or agency of the Company in the United States or by check be mailed to any address in the United States or by transfer to an account maintained with a bank located in the United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24"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5"/>
          <w:szCs w:val="15"/>
          <w:color w:val="auto"/>
        </w:rPr>
        <w:t>States; provided, however, that, if the Securities of a series are payable in</w:t>
      </w:r>
    </w:p>
    <w:p>
      <w:pPr>
        <w:ind w:left="700"/>
        <w:spacing w:after="0"/>
        <w:tabs>
          <w:tab w:leader="none" w:pos="1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Dollars, payment of principal of and any premium and interest on any Bearer Security (including any Additional Amounts payable on Securities of such series pursuant to Section 1010) shall be made at the office of the designated agent of the Company's paying Agent in the Borough of Manhattan, New York City, if (but only if) payment in Dollars of the full amount of such principal, premium, interest or Additional Amounts, as the case may be, at all offices or agencies outside the United States maintained for the purpose by the Company in accordance with this indenture, is illegal or effectively precluded by exchange controls or other similar restrictions.</w:t>
      </w:r>
    </w:p>
    <w:p>
      <w:pPr>
        <w:spacing w:after="0" w:line="178"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The Company may from time to time designate one or more other offices or agencies where the Securities of one or more series may be presented or surrendered for any or all of such purposes, and may from time to time rescind such designations; provided, however, that no such designation or rescission</w:t>
      </w:r>
    </w:p>
    <w:p>
      <w:pPr>
        <w:ind w:left="1680"/>
        <w:spacing w:after="0" w:line="232" w:lineRule="auto"/>
        <w:tabs>
          <w:tab w:leader="none" w:pos="25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shall in any manner relieve the Company of its obligation to maintain an office or agency in accordance with the requirements set forth above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the office or agency of the Company in the Borough of Manhattan, New York City, and initially appoints the Trustee at its Corporate Trust Office as Paying Agent and as its agent to receive all such presentations, surrenders, notices and demands.</w:t>
      </w:r>
    </w:p>
    <w:p>
      <w:pPr>
        <w:spacing w:after="0" w:line="180"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Unless otherwise specified with respect to any Securities pursuant to Section 301, if and so long as the Securities of any series (i) are denominated in Foreign Currency or (ii) may be payable in a Foreign Currency, or so long as it is required under any other provision of the Indenture, then the Company will maintain with respect to each such series of Securities, or as so required, at least one exchange rate agent.</w:t>
      </w:r>
    </w:p>
    <w:p>
      <w:pPr>
        <w:spacing w:after="0" w:line="16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1003. Money for Securities Payments to be held in Trust. If</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shall at any time act as its own Paying Agent with respect to any series of any Securities and any related coupons, it will, on or before each due date of the principal of (and premium, if any,) or interest on or Additional Amounts in respect of,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if any) or interest or Additional Amounts so becoming due until such sums shall be paid to such Persons or otherwise disposed</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617" w:right="1440" w:bottom="1440" w:gutter="0" w:footer="0" w:header="0"/>
        </w:sectPr>
      </w:pPr>
    </w:p>
    <w:bookmarkStart w:id="174" w:name="page175"/>
    <w:bookmarkEnd w:id="174"/>
    <w:p>
      <w:pPr>
        <w:ind w:right="3579"/>
        <w:spacing w:after="0" w:line="234" w:lineRule="auto"/>
        <w:rPr>
          <w:sz w:val="20"/>
          <w:szCs w:val="20"/>
          <w:color w:val="auto"/>
        </w:rPr>
      </w:pPr>
      <w:r>
        <w:rPr>
          <w:rFonts w:ascii="Courier New" w:cs="Courier New" w:eastAsia="Courier New" w:hAnsi="Courier New"/>
          <w:sz w:val="15"/>
          <w:szCs w:val="15"/>
          <w:color w:val="auto"/>
        </w:rPr>
        <w:t>of as herein provided, and will promptly notify the Trustee of its action or failure so to act.</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Whenever the Company shall have one or more Paying Agents for any series of Securities and any related coupons, it will, before each due date of the principal of (and premium, if any), or interest on or Additional Amounts in respect of, any Securities of that series, deposit with a Paying Agent a sum (in the currency or currencies, currency unit or units or composite currency or currencies described in the preceding paragraph) sufficient to pay the principal (and premium, if any) or interest or Additional Amounts, so becoming due, such sum to be held in trust for the benefit of the Persons entitled to such principal, premium or interest or Additional Amounts and (unless such Paying Agent is the Trustee) the Company will promptly notify the Trustee of its action or failure so to act.</w:t>
      </w:r>
    </w:p>
    <w:p>
      <w:pPr>
        <w:spacing w:after="0" w:line="180"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The Company will cause each Paying Agent other than the Trustee to execute and deliver to the Trustee an instrument in which such Paying Agent shall agree with the Trustee, subject to the provisions of this Section, that such Paying Agent will</w:t>
      </w:r>
    </w:p>
    <w:p>
      <w:pPr>
        <w:spacing w:after="0" w:line="175" w:lineRule="exact"/>
        <w:rPr>
          <w:sz w:val="20"/>
          <w:szCs w:val="20"/>
          <w:color w:val="auto"/>
        </w:rPr>
      </w:pPr>
    </w:p>
    <w:p>
      <w:pPr>
        <w:ind w:left="440" w:right="3399" w:firstLine="444"/>
        <w:spacing w:after="0" w:line="256" w:lineRule="auto"/>
        <w:tabs>
          <w:tab w:leader="none" w:pos="1315"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all sums held by it for the payment of principal of (and premium, if any) or interest on Securities or Additional Amounts in trust for the benefit of the Persons entitled thereto until such sums shall be paid to such Persons or otherwise disposed of as herein provided;</w:t>
      </w:r>
    </w:p>
    <w:p>
      <w:pPr>
        <w:spacing w:after="0" w:line="164" w:lineRule="exact"/>
        <w:rPr>
          <w:rFonts w:ascii="Courier New" w:cs="Courier New" w:eastAsia="Courier New" w:hAnsi="Courier New"/>
          <w:sz w:val="14"/>
          <w:szCs w:val="14"/>
          <w:color w:val="auto"/>
        </w:rPr>
      </w:pPr>
    </w:p>
    <w:p>
      <w:pPr>
        <w:jc w:val="both"/>
        <w:ind w:left="440" w:right="3579" w:firstLine="444"/>
        <w:spacing w:after="0" w:line="258" w:lineRule="auto"/>
        <w:tabs>
          <w:tab w:leader="none" w:pos="1315"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Trustee notice of any default by the Company (or any other obligor upon the Securities) in the making of any such payment of principal (and premium, if any) or interest or Additional Amounts; and</w:t>
      </w:r>
    </w:p>
    <w:p>
      <w:pPr>
        <w:spacing w:after="0" w:line="161" w:lineRule="exact"/>
        <w:rPr>
          <w:rFonts w:ascii="Courier New" w:cs="Courier New" w:eastAsia="Courier New" w:hAnsi="Courier New"/>
          <w:sz w:val="14"/>
          <w:szCs w:val="14"/>
          <w:color w:val="auto"/>
        </w:rPr>
      </w:pPr>
    </w:p>
    <w:p>
      <w:pPr>
        <w:ind w:left="440" w:right="3399" w:firstLine="444"/>
        <w:spacing w:after="0" w:line="235" w:lineRule="auto"/>
        <w:tabs>
          <w:tab w:leader="none" w:pos="1315"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the continuance of any such default upon the written request of the Trustee, forthwith pay to the Trustee all sums so held in trust by such Paying Agent.</w:t>
      </w:r>
    </w:p>
    <w:p>
      <w:pPr>
        <w:spacing w:after="0" w:line="174"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The Company may at any time, for the purpose of obtaining the satisfaction and discharge of this Indenture or for any other purpose, pay, or by Company Order direct and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77"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Except as otherwise provided in the Securities of any series, any money deposited with the Trustee or any Paying Agent, or then held by the Company, in trust for the payment of the principal ???? (and premium, if any) or interest on, or any Additional Amounts in respect of, any Security of any series and remaining unclaimed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624" w:right="1440" w:bottom="1440" w:gutter="0" w:footer="0" w:header="0"/>
        </w:sectPr>
      </w:pPr>
    </w:p>
    <w:bookmarkStart w:id="175" w:name="page176"/>
    <w:bookmarkEnd w:id="175"/>
    <w:p>
      <w:pPr>
        <w:ind w:right="3239"/>
        <w:spacing w:after="0" w:line="254" w:lineRule="auto"/>
        <w:rPr>
          <w:sz w:val="20"/>
          <w:szCs w:val="20"/>
          <w:color w:val="auto"/>
        </w:rPr>
      </w:pPr>
      <w:r>
        <w:rPr>
          <w:rFonts w:ascii="Courier New" w:cs="Courier New" w:eastAsia="Courier New" w:hAnsi="Courier New"/>
          <w:sz w:val="14"/>
          <w:szCs w:val="14"/>
          <w:color w:val="auto"/>
        </w:rPr>
        <w:t>for two years after such principal (and premium, if any), interest or Additional Amounts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if any) or interest on, or any Additional Amounts in respect of, any Security, without interest thereon, and all liability of the Trustee or such Paying Agent with respect to such trust money, and all liability of the Company as trustee thereof, shall thereupon cease; provided, however, that the Trustee</w:t>
      </w:r>
    </w:p>
    <w:p>
      <w:pPr>
        <w:ind w:left="3780"/>
        <w:spacing w:after="0" w:line="235" w:lineRule="auto"/>
        <w:tabs>
          <w:tab w:leader="none" w:pos="46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68" w:lineRule="exact"/>
        <w:rPr>
          <w:sz w:val="20"/>
          <w:szCs w:val="20"/>
          <w:color w:val="auto"/>
        </w:rPr>
      </w:pPr>
    </w:p>
    <w:p>
      <w:pPr>
        <w:ind w:left="880"/>
        <w:spacing w:after="0"/>
        <w:tabs>
          <w:tab w:leader="none" w:pos="2180" w:val="left"/>
          <w:tab w:leader="none" w:pos="3220" w:val="left"/>
        </w:tabs>
        <w:rPr>
          <w:sz w:val="20"/>
          <w:szCs w:val="20"/>
          <w:color w:val="auto"/>
        </w:rPr>
      </w:pPr>
      <w:r>
        <w:rPr>
          <w:rFonts w:ascii="Courier New" w:cs="Courier New" w:eastAsia="Courier New" w:hAnsi="Courier New"/>
          <w:sz w:val="15"/>
          <w:szCs w:val="15"/>
          <w:color w:val="auto"/>
        </w:rPr>
        <w:t>SECTION 1004.</w:t>
        <w:tab/>
        <w:t>Existence.</w:t>
      </w:r>
      <w:r>
        <w:rPr>
          <w:sz w:val="20"/>
          <w:szCs w:val="20"/>
          <w:color w:val="auto"/>
        </w:rPr>
        <w:tab/>
      </w:r>
      <w:r>
        <w:rPr>
          <w:rFonts w:ascii="Courier New" w:cs="Courier New" w:eastAsia="Courier New" w:hAnsi="Courier New"/>
          <w:sz w:val="14"/>
          <w:szCs w:val="14"/>
          <w:color w:val="auto"/>
        </w:rPr>
        <w:t>Subject to Article Eight, the Company will</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do or cause to be done all things necessary to preserve and keep in full force and effect its corporate existence, rights (charter and statutory) and franchises; provided, however, that the Company shall not be required to</w:t>
      </w:r>
    </w:p>
    <w:p>
      <w:pPr>
        <w:ind w:left="1140"/>
        <w:spacing w:after="0" w:line="232" w:lineRule="auto"/>
        <w:tabs>
          <w:tab w:leader="none" w:pos="200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preserve any right or franchise if the Board of Directors shall determine that the preservation thereof is no longer desirable in the conduct of the business of the Company.</w:t>
      </w:r>
    </w:p>
    <w:p>
      <w:pPr>
        <w:spacing w:after="0" w:line="167" w:lineRule="exact"/>
        <w:rPr>
          <w:sz w:val="20"/>
          <w:szCs w:val="20"/>
          <w:color w:val="auto"/>
        </w:rPr>
      </w:pPr>
    </w:p>
    <w:p>
      <w:pPr>
        <w:ind w:left="880"/>
        <w:spacing w:after="0"/>
        <w:tabs>
          <w:tab w:leader="none" w:pos="2180" w:val="left"/>
          <w:tab w:leader="none" w:pos="4620" w:val="left"/>
        </w:tabs>
        <w:rPr>
          <w:sz w:val="20"/>
          <w:szCs w:val="20"/>
          <w:color w:val="auto"/>
        </w:rPr>
      </w:pPr>
      <w:r>
        <w:rPr>
          <w:rFonts w:ascii="Courier New" w:cs="Courier New" w:eastAsia="Courier New" w:hAnsi="Courier New"/>
          <w:sz w:val="15"/>
          <w:szCs w:val="15"/>
          <w:color w:val="auto"/>
        </w:rPr>
        <w:t>SECTION 1005.</w:t>
        <w:tab/>
        <w:t>Maintenance of Properties.</w:t>
      </w:r>
      <w:r>
        <w:rPr>
          <w:sz w:val="20"/>
          <w:szCs w:val="20"/>
          <w:color w:val="auto"/>
        </w:rPr>
        <w:tab/>
      </w:r>
      <w:r>
        <w:rPr>
          <w:rFonts w:ascii="Courier New" w:cs="Courier New" w:eastAsia="Courier New" w:hAnsi="Courier New"/>
          <w:sz w:val="14"/>
          <w:szCs w:val="14"/>
          <w:color w:val="auto"/>
        </w:rPr>
        <w:t>The Company will cause all</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w:t>
      </w:r>
    </w:p>
    <w:p>
      <w:pPr>
        <w:spacing w:after="0" w:line="169" w:lineRule="exact"/>
        <w:rPr>
          <w:sz w:val="20"/>
          <w:szCs w:val="20"/>
          <w:color w:val="auto"/>
        </w:rPr>
      </w:pPr>
    </w:p>
    <w:p>
      <w:pPr>
        <w:ind w:left="880"/>
        <w:spacing w:after="0"/>
        <w:tabs>
          <w:tab w:leader="none" w:pos="2180" w:val="left"/>
          <w:tab w:leader="none" w:pos="3220" w:val="left"/>
        </w:tabs>
        <w:rPr>
          <w:sz w:val="20"/>
          <w:szCs w:val="20"/>
          <w:color w:val="auto"/>
        </w:rPr>
      </w:pPr>
      <w:r>
        <w:rPr>
          <w:rFonts w:ascii="Courier New" w:cs="Courier New" w:eastAsia="Courier New" w:hAnsi="Courier New"/>
          <w:sz w:val="15"/>
          <w:szCs w:val="15"/>
          <w:color w:val="auto"/>
        </w:rPr>
        <w:t>SECTION 1006.</w:t>
        <w:tab/>
        <w:t>Insurance.</w:t>
      </w:r>
      <w:r>
        <w:rPr>
          <w:sz w:val="20"/>
          <w:szCs w:val="20"/>
          <w:color w:val="auto"/>
        </w:rPr>
        <w:tab/>
      </w:r>
      <w:r>
        <w:rPr>
          <w:rFonts w:ascii="Courier New" w:cs="Courier New" w:eastAsia="Courier New" w:hAnsi="Courier New"/>
          <w:sz w:val="14"/>
          <w:szCs w:val="14"/>
          <w:color w:val="auto"/>
        </w:rPr>
        <w:t>The Company will, and will cause each of</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its Subsidiaries to, keep all of its insurable properties insured against loss or damage at least equal to their then full insurable value with insurers of recognized responsibility and having a rating of at least A-:XII in Best's Key Rating Guide.</w:t>
      </w:r>
    </w:p>
    <w:p>
      <w:pPr>
        <w:spacing w:after="0" w:line="169" w:lineRule="exact"/>
        <w:rPr>
          <w:sz w:val="20"/>
          <w:szCs w:val="20"/>
          <w:color w:val="auto"/>
        </w:rPr>
      </w:pPr>
    </w:p>
    <w:p>
      <w:pPr>
        <w:jc w:val="right"/>
        <w:ind w:right="3239"/>
        <w:spacing w:after="0"/>
        <w:tabs>
          <w:tab w:leader="none" w:pos="4780" w:val="left"/>
        </w:tabs>
        <w:rPr>
          <w:sz w:val="20"/>
          <w:szCs w:val="20"/>
          <w:color w:val="auto"/>
        </w:rPr>
      </w:pPr>
      <w:r>
        <w:rPr>
          <w:rFonts w:ascii="Courier New" w:cs="Courier New" w:eastAsia="Courier New" w:hAnsi="Courier New"/>
          <w:sz w:val="15"/>
          <w:szCs w:val="15"/>
          <w:color w:val="auto"/>
        </w:rPr>
        <w:t>SECTION 1007.</w:t>
      </w:r>
      <w:r>
        <w:rPr>
          <w:sz w:val="20"/>
          <w:szCs w:val="20"/>
          <w:color w:val="auto"/>
        </w:rPr>
        <w:tab/>
      </w:r>
      <w:r>
        <w:rPr>
          <w:rFonts w:ascii="Courier New" w:cs="Courier New" w:eastAsia="Courier New" w:hAnsi="Courier New"/>
          <w:sz w:val="14"/>
          <w:szCs w:val="14"/>
          <w:color w:val="auto"/>
        </w:rPr>
        <w:t>Payment of Taxes and Other Claims. The Company will pay</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or discharge or cause to be paid or discharged, before the same shall become delinquent, (1) all taxes, assessments and governmental charges levied or imposed upon it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w:t>
      </w:r>
    </w:p>
    <w:p>
      <w:pPr>
        <w:ind w:left="2380"/>
        <w:spacing w:after="0" w:line="233" w:lineRule="auto"/>
        <w:tabs>
          <w:tab w:leader="none" w:pos="3220" w:val="left"/>
        </w:tabs>
        <w:rPr>
          <w:sz w:val="20"/>
          <w:szCs w:val="20"/>
          <w:color w:val="auto"/>
        </w:rPr>
      </w:pPr>
      <w:r>
        <w:rPr>
          <w:rFonts w:ascii="Courier New" w:cs="Courier New" w:eastAsia="Courier New" w:hAnsi="Courier New"/>
          <w:sz w:val="15"/>
          <w:szCs w:val="15"/>
          <w:color w:val="auto"/>
        </w:rPr>
        <w:t>--------</w:t>
        <w:tab/>
        <w:t>-------</w:t>
      </w:r>
    </w:p>
    <w:p>
      <w:pPr>
        <w:spacing w:after="0" w:line="238" w:lineRule="auto"/>
        <w:rPr>
          <w:sz w:val="20"/>
          <w:szCs w:val="20"/>
          <w:color w:val="auto"/>
        </w:rPr>
      </w:pPr>
      <w:r>
        <w:rPr>
          <w:rFonts w:ascii="Courier New" w:cs="Courier New" w:eastAsia="Courier New" w:hAnsi="Courier New"/>
          <w:sz w:val="15"/>
          <w:szCs w:val="15"/>
          <w:color w:val="auto"/>
        </w:rPr>
        <w:t>required to pay or discharge or cause to be paid or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24" w:right="1440" w:bottom="1440" w:gutter="0" w:footer="0" w:header="0"/>
        </w:sectPr>
      </w:pPr>
    </w:p>
    <w:bookmarkStart w:id="176" w:name="page177"/>
    <w:bookmarkEnd w:id="176"/>
    <w:p>
      <w:pPr>
        <w:ind w:right="3239"/>
        <w:spacing w:after="0" w:line="234" w:lineRule="auto"/>
        <w:rPr>
          <w:sz w:val="20"/>
          <w:szCs w:val="20"/>
          <w:color w:val="auto"/>
        </w:rPr>
      </w:pPr>
      <w:r>
        <w:rPr>
          <w:rFonts w:ascii="Courier New" w:cs="Courier New" w:eastAsia="Courier New" w:hAnsi="Courier New"/>
          <w:sz w:val="15"/>
          <w:szCs w:val="15"/>
          <w:color w:val="auto"/>
        </w:rPr>
        <w:t>discharged any such tax, assessment, charge or claim whose amount, applicability or validity is being contested in good faith.</w:t>
      </w:r>
    </w:p>
    <w:p>
      <w:pPr>
        <w:spacing w:after="0" w:line="167" w:lineRule="exact"/>
        <w:rPr>
          <w:sz w:val="20"/>
          <w:szCs w:val="20"/>
          <w:color w:val="auto"/>
        </w:rPr>
      </w:pPr>
    </w:p>
    <w:p>
      <w:pPr>
        <w:ind w:left="700"/>
        <w:spacing w:after="0"/>
        <w:tabs>
          <w:tab w:leader="none" w:pos="2000" w:val="left"/>
          <w:tab w:leader="none" w:pos="5240" w:val="left"/>
        </w:tabs>
        <w:rPr>
          <w:sz w:val="20"/>
          <w:szCs w:val="20"/>
          <w:color w:val="auto"/>
        </w:rPr>
      </w:pPr>
      <w:r>
        <w:rPr>
          <w:rFonts w:ascii="Courier New" w:cs="Courier New" w:eastAsia="Courier New" w:hAnsi="Courier New"/>
          <w:sz w:val="15"/>
          <w:szCs w:val="15"/>
          <w:color w:val="auto"/>
        </w:rPr>
        <w:t>SECTION 1008.</w:t>
        <w:tab/>
        <w:t>Provision of Financial Information.</w:t>
      </w:r>
      <w:r>
        <w:rPr>
          <w:sz w:val="20"/>
          <w:szCs w:val="20"/>
          <w:color w:val="auto"/>
        </w:rPr>
        <w:tab/>
      </w:r>
      <w:r>
        <w:rPr>
          <w:rFonts w:ascii="Courier New" w:cs="Courier New" w:eastAsia="Courier New" w:hAnsi="Courier New"/>
          <w:sz w:val="14"/>
          <w:szCs w:val="14"/>
          <w:color w:val="auto"/>
        </w:rPr>
        <w:t>Whether or not the</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Company is subject to Section 13 or 15(d) of the Securities Exchange Act of 1934, the Company will prepare the annual reports, quarterly reports and other documents within 15 days of each of the respective dates by which the Company would have been required to file with the Commission pursuant to such Section 13 of 15(d) and will (i) transmit by mail to all Holders, as their names and addresses appear in the Security Register, without cost to such Holders copies of the annual reports, quarterly reports and other documents which the Company would have been required to file with the Commission pursuant to Section 13 or 15(d) of the Securities Exchange Act of 1934 if the Company were subject to such Sections, (ii) file with the Trustee copies of the annual reports, quarterly reports and other documents which the Company would have been required to file with the Commission pursuant to Section 13 or 15(d) of the Securities Exchange Act of 1934 if the Company were subject to such Sections and (iii) promptly upon written request and payment of the reasonable cost of duplication and delivery, supply copies of such documents to any prospective Holder.</w:t>
      </w:r>
    </w:p>
    <w:p>
      <w:pPr>
        <w:spacing w:after="0" w:line="157" w:lineRule="exact"/>
        <w:rPr>
          <w:sz w:val="20"/>
          <w:szCs w:val="20"/>
          <w:color w:val="auto"/>
        </w:rPr>
      </w:pPr>
    </w:p>
    <w:p>
      <w:pPr>
        <w:ind w:left="700"/>
        <w:spacing w:after="0"/>
        <w:tabs>
          <w:tab w:leader="none" w:pos="2000" w:val="left"/>
          <w:tab w:leader="none" w:pos="4540" w:val="left"/>
        </w:tabs>
        <w:rPr>
          <w:sz w:val="20"/>
          <w:szCs w:val="20"/>
          <w:color w:val="auto"/>
        </w:rPr>
      </w:pPr>
      <w:r>
        <w:rPr>
          <w:rFonts w:ascii="Courier New" w:cs="Courier New" w:eastAsia="Courier New" w:hAnsi="Courier New"/>
          <w:sz w:val="15"/>
          <w:szCs w:val="15"/>
          <w:color w:val="auto"/>
        </w:rPr>
        <w:t>SECTION 1009.</w:t>
        <w:tab/>
        <w:t>Statement as to Compliance.</w:t>
      </w:r>
      <w:r>
        <w:rPr>
          <w:sz w:val="20"/>
          <w:szCs w:val="20"/>
          <w:color w:val="auto"/>
        </w:rPr>
        <w:tab/>
      </w:r>
      <w:r>
        <w:rPr>
          <w:rFonts w:ascii="Courier New" w:cs="Courier New" w:eastAsia="Courier New" w:hAnsi="Courier New"/>
          <w:sz w:val="14"/>
          <w:szCs w:val="14"/>
          <w:color w:val="auto"/>
        </w:rPr>
        <w:t>The Company will deliver to</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1009, such compliance shall be determined without regard to any period of grace or requirement of notice under this Indenture.</w:t>
      </w:r>
    </w:p>
    <w:p>
      <w:pPr>
        <w:spacing w:after="0" w:line="171" w:lineRule="exact"/>
        <w:rPr>
          <w:sz w:val="20"/>
          <w:szCs w:val="20"/>
          <w:color w:val="auto"/>
        </w:rPr>
      </w:pPr>
    </w:p>
    <w:p>
      <w:pPr>
        <w:ind w:left="700"/>
        <w:spacing w:after="0"/>
        <w:tabs>
          <w:tab w:leader="none" w:pos="2000" w:val="left"/>
          <w:tab w:leader="none" w:pos="3840" w:val="left"/>
        </w:tabs>
        <w:rPr>
          <w:sz w:val="20"/>
          <w:szCs w:val="20"/>
          <w:color w:val="auto"/>
        </w:rPr>
      </w:pPr>
      <w:r>
        <w:rPr>
          <w:rFonts w:ascii="Courier New" w:cs="Courier New" w:eastAsia="Courier New" w:hAnsi="Courier New"/>
          <w:sz w:val="15"/>
          <w:szCs w:val="15"/>
          <w:color w:val="auto"/>
        </w:rPr>
        <w:t>Section 1010.</w:t>
        <w:tab/>
        <w:t>Additional Amounts.</w:t>
      </w:r>
      <w:r>
        <w:rPr>
          <w:sz w:val="20"/>
          <w:szCs w:val="20"/>
          <w:color w:val="auto"/>
        </w:rPr>
        <w:tab/>
      </w:r>
      <w:r>
        <w:rPr>
          <w:rFonts w:ascii="Courier New" w:cs="Courier New" w:eastAsia="Courier New" w:hAnsi="Courier New"/>
          <w:sz w:val="14"/>
          <w:szCs w:val="14"/>
          <w:color w:val="auto"/>
        </w:rPr>
        <w:t>If any Securities of a series</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provide for the payment of Additional Amounts, the Company will pay to the Holder of any Security of such series or any coupon appertaining thereto Additional Amounts as may be specified as contemplated by Section 301. Whenever in this Indenture there is mentioned, in any context except in the case of Section 502(1), the payment of the principal of or any premium or interest on, or in respect of, any Security of any series or payment of any related coupon or the net proceeds received on the sale or exchange of any security of any series, such mention shall be deemed to include mention of the payment of Additional Amounts provided by the terms of such series established pursuant to Section 301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624" w:right="1440" w:bottom="1440" w:gutter="0" w:footer="0" w:header="0"/>
        </w:sectPr>
      </w:pPr>
    </w:p>
    <w:bookmarkStart w:id="177" w:name="page178"/>
    <w:bookmarkEnd w:id="177"/>
    <w:p>
      <w:pPr>
        <w:ind w:right="3239" w:firstLine="875"/>
        <w:spacing w:after="0" w:line="254" w:lineRule="auto"/>
        <w:rPr>
          <w:sz w:val="20"/>
          <w:szCs w:val="20"/>
          <w:color w:val="auto"/>
        </w:rPr>
      </w:pPr>
      <w:r>
        <w:rPr>
          <w:rFonts w:ascii="Courier New" w:cs="Courier New" w:eastAsia="Courier New" w:hAnsi="Courier New"/>
          <w:sz w:val="14"/>
          <w:szCs w:val="14"/>
          <w:color w:val="auto"/>
        </w:rPr>
        <w:t>Except as otherwise specified as contemplated by Section 301, 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of and any premium or interest on the Securities of that series shall be made to Holders of Securities of that series or any related coupons who are not United States persons without withholding for or on account of any tax, assessment or other governmental charge described in the Securities of the series. If any such withholding shall be required, then such Officers' Certificate shall specify by country the amount, if any, required to be withheld on such payments to such Holders of Securities of that series or related coupons and the Company will pay to the Trustee or such Paying Agent the Additional Amounts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or related coupons until it shall have received a certificate advising otherwise and (ii) to make all payments of principal and interest with respect to the Securities of a series or related coupons without withholding or deductions until otherwise advised.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or in reliance on any Officers' Certificate furnished pursuant to this Section or in reliance on the Company's not furnishing such an Officers' Certificate.</w:t>
      </w:r>
    </w:p>
    <w:p>
      <w:pPr>
        <w:spacing w:after="0" w:line="34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SECTION 1011. Waiver of Certain Covenants. The Company may omit in any</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623" w:right="1440" w:bottom="1440" w:gutter="0" w:footer="0" w:header="0"/>
        </w:sectPr>
      </w:pPr>
    </w:p>
    <w:bookmarkStart w:id="178" w:name="page179"/>
    <w:bookmarkEnd w:id="178"/>
    <w:p>
      <w:pPr>
        <w:jc w:val="center"/>
        <w:ind w:right="3399"/>
        <w:spacing w:after="0"/>
        <w:rPr>
          <w:sz w:val="20"/>
          <w:szCs w:val="20"/>
          <w:color w:val="auto"/>
        </w:rPr>
      </w:pPr>
      <w:r>
        <w:rPr>
          <w:rFonts w:ascii="Courier New" w:cs="Courier New" w:eastAsia="Courier New" w:hAnsi="Courier New"/>
          <w:sz w:val="15"/>
          <w:szCs w:val="15"/>
          <w:color w:val="auto"/>
        </w:rPr>
        <w:t>ARTICLE ELEVEN</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REDEMPTION OF SECURITIES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SECTION 1101. Applicability of Article. Securities of any series which</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are redeemable before their Stated Maturity shall be redeemable in accordance with their terms and (except as otherwise specified as contemplated by Section 301 for Securities of any series) in accordance with this Article.</w:t>
      </w:r>
    </w:p>
    <w:p>
      <w:pPr>
        <w:spacing w:after="0" w:line="16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1102. Election to Redeem; Notice to Trustee. The election of</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5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1103. Selection by Trustee of Securities to be Redeemed. If</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79"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75"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617" w:right="1440" w:bottom="1440" w:gutter="0" w:footer="0" w:header="0"/>
        </w:sectPr>
      </w:pPr>
    </w:p>
    <w:bookmarkStart w:id="179" w:name="page180"/>
    <w:bookmarkEnd w:id="179"/>
    <w:p>
      <w:pPr>
        <w:ind w:left="880"/>
        <w:spacing w:after="0"/>
        <w:rPr>
          <w:sz w:val="20"/>
          <w:szCs w:val="20"/>
          <w:color w:val="auto"/>
        </w:rPr>
      </w:pPr>
      <w:r>
        <w:rPr>
          <w:rFonts w:ascii="Courier New" w:cs="Courier New" w:eastAsia="Courier New" w:hAnsi="Courier New"/>
          <w:sz w:val="15"/>
          <w:szCs w:val="15"/>
          <w:color w:val="auto"/>
        </w:rPr>
        <w:t>SECTION 1104. Notice of Redemption. Notice of redemption shall be</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77"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Any notice that is mailed to the Holders of Registered Securities in the manner herein provided shall be conclusively presumed to have been duly given, whether or not the Holder receives the notice.</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All notices of redemption shall state:</w:t>
      </w:r>
    </w:p>
    <w:p>
      <w:pPr>
        <w:spacing w:after="0" w:line="166" w:lineRule="exact"/>
        <w:rPr>
          <w:sz w:val="20"/>
          <w:szCs w:val="20"/>
          <w:color w:val="auto"/>
        </w:rPr>
      </w:pPr>
    </w:p>
    <w:p>
      <w:pPr>
        <w:ind w:left="1320" w:hanging="436"/>
        <w:spacing w:after="0"/>
        <w:tabs>
          <w:tab w:leader="none" w:pos="13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72" w:lineRule="exact"/>
        <w:rPr>
          <w:rFonts w:ascii="Courier New" w:cs="Courier New" w:eastAsia="Courier New" w:hAnsi="Courier New"/>
          <w:sz w:val="15"/>
          <w:szCs w:val="15"/>
          <w:color w:val="auto"/>
        </w:rPr>
      </w:pPr>
    </w:p>
    <w:p>
      <w:pPr>
        <w:jc w:val="both"/>
        <w:ind w:right="3579" w:firstLine="884"/>
        <w:spacing w:after="0" w:line="261" w:lineRule="auto"/>
        <w:tabs>
          <w:tab w:leader="none" w:pos="1312"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 accrued interest to the Redemption Date payable as provided in Section 1106, if any, and Additional Amounts, if any,</w:t>
      </w:r>
    </w:p>
    <w:p>
      <w:pPr>
        <w:spacing w:after="0" w:line="159" w:lineRule="exact"/>
        <w:rPr>
          <w:rFonts w:ascii="Courier New" w:cs="Courier New" w:eastAsia="Courier New" w:hAnsi="Courier New"/>
          <w:sz w:val="14"/>
          <w:szCs w:val="14"/>
          <w:color w:val="auto"/>
        </w:rPr>
      </w:pPr>
    </w:p>
    <w:p>
      <w:pPr>
        <w:ind w:right="3399" w:firstLine="884"/>
        <w:spacing w:after="0" w:line="258" w:lineRule="auto"/>
        <w:tabs>
          <w:tab w:leader="none" w:pos="1312"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Outstanding Securities of any series are to be redeemed, the identification (and, in the case of partial redemption, the principal amount) of the particular Security or Securities to be redeemed,</w:t>
      </w:r>
    </w:p>
    <w:p>
      <w:pPr>
        <w:spacing w:after="0" w:line="161" w:lineRule="exact"/>
        <w:rPr>
          <w:rFonts w:ascii="Courier New" w:cs="Courier New" w:eastAsia="Courier New" w:hAnsi="Courier New"/>
          <w:sz w:val="14"/>
          <w:szCs w:val="14"/>
          <w:color w:val="auto"/>
        </w:rPr>
      </w:pPr>
    </w:p>
    <w:p>
      <w:pPr>
        <w:ind w:right="3319" w:firstLine="884"/>
        <w:spacing w:after="0" w:line="236" w:lineRule="auto"/>
        <w:tabs>
          <w:tab w:leader="none" w:pos="131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Security is to be redeemed in part only, the notice which relates to such Security shall state that on and after the Redemption Date, upon surrender of such Security, the holder will receive, without charge, a new Security or Securities of authorized denominations for the principal amount thereof remaining unredeemed,</w:t>
      </w:r>
    </w:p>
    <w:p>
      <w:pPr>
        <w:spacing w:after="0" w:line="173" w:lineRule="exact"/>
        <w:rPr>
          <w:rFonts w:ascii="Courier New" w:cs="Courier New" w:eastAsia="Courier New" w:hAnsi="Courier New"/>
          <w:sz w:val="15"/>
          <w:szCs w:val="15"/>
          <w:color w:val="auto"/>
        </w:rPr>
      </w:pPr>
    </w:p>
    <w:p>
      <w:pPr>
        <w:ind w:right="3319" w:firstLine="884"/>
        <w:spacing w:after="0" w:line="236" w:lineRule="auto"/>
        <w:tabs>
          <w:tab w:leader="none" w:pos="131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173" w:lineRule="exact"/>
        <w:rPr>
          <w:rFonts w:ascii="Courier New" w:cs="Courier New" w:eastAsia="Courier New" w:hAnsi="Courier New"/>
          <w:sz w:val="15"/>
          <w:szCs w:val="15"/>
          <w:color w:val="auto"/>
        </w:rPr>
      </w:pPr>
    </w:p>
    <w:p>
      <w:pPr>
        <w:ind w:right="3239" w:firstLine="884"/>
        <w:spacing w:after="0" w:line="235" w:lineRule="auto"/>
        <w:tabs>
          <w:tab w:leader="none" w:pos="131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75" w:lineRule="exact"/>
        <w:rPr>
          <w:rFonts w:ascii="Courier New" w:cs="Courier New" w:eastAsia="Courier New" w:hAnsi="Courier New"/>
          <w:sz w:val="15"/>
          <w:szCs w:val="15"/>
          <w:color w:val="auto"/>
        </w:rPr>
      </w:pPr>
    </w:p>
    <w:p>
      <w:pPr>
        <w:ind w:left="3340" w:right="3399" w:hanging="2456"/>
        <w:spacing w:after="0" w:line="465" w:lineRule="auto"/>
        <w:tabs>
          <w:tab w:leader="none" w:pos="1328"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redemption is for a sinking fund, if such is the case, 71</w:t>
      </w:r>
    </w:p>
    <w:p>
      <w:pPr>
        <w:sectPr>
          <w:pgSz w:w="11900" w:h="16838" w:orient="portrait"/>
          <w:cols w:equalWidth="0" w:num="1">
            <w:col w:w="10239"/>
          </w:cols>
          <w:pgMar w:left="220" w:top="617" w:right="1440" w:bottom="1440" w:gutter="0" w:footer="0" w:header="0"/>
        </w:sectPr>
      </w:pPr>
    </w:p>
    <w:bookmarkStart w:id="180" w:name="page181"/>
    <w:bookmarkEnd w:id="180"/>
    <w:p>
      <w:pPr>
        <w:ind w:left="440" w:right="3239" w:firstLine="269"/>
        <w:spacing w:after="0" w:line="255" w:lineRule="auto"/>
        <w:tabs>
          <w:tab w:leader="none" w:pos="114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as furnished.</w:t>
      </w:r>
    </w:p>
    <w:p>
      <w:pPr>
        <w:spacing w:after="0" w:line="166" w:lineRule="exact"/>
        <w:rPr>
          <w:rFonts w:ascii="Courier New" w:cs="Courier New" w:eastAsia="Courier New" w:hAnsi="Courier New"/>
          <w:sz w:val="14"/>
          <w:szCs w:val="14"/>
          <w:color w:val="auto"/>
        </w:rPr>
      </w:pPr>
    </w:p>
    <w:p>
      <w:pPr>
        <w:ind w:left="440" w:right="3239" w:firstLine="269"/>
        <w:spacing w:after="0" w:line="236" w:lineRule="auto"/>
        <w:tabs>
          <w:tab w:leader="none" w:pos="114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168"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CUSIP number of such Security, if any, and</w:t>
      </w:r>
    </w:p>
    <w:p>
      <w:pPr>
        <w:spacing w:after="0" w:line="172" w:lineRule="exact"/>
        <w:rPr>
          <w:rFonts w:ascii="Courier New" w:cs="Courier New" w:eastAsia="Courier New" w:hAnsi="Courier New"/>
          <w:sz w:val="15"/>
          <w:szCs w:val="15"/>
          <w:color w:val="auto"/>
        </w:rPr>
      </w:pPr>
    </w:p>
    <w:p>
      <w:pPr>
        <w:ind w:left="440" w:right="3399" w:firstLine="269"/>
        <w:spacing w:after="0" w:line="256" w:lineRule="auto"/>
        <w:tabs>
          <w:tab w:leader="none" w:pos="114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that a Holder of Securities who desires to convert Securities for redemption must satisfy the requirements for conversion contained in such Securities, the then existing conversion price or rate, and the date and time when the option to convert shall expire.</w:t>
      </w:r>
    </w:p>
    <w:p>
      <w:pPr>
        <w:spacing w:after="0" w:line="164"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Notice of redemption of Securities to be redeemed shall be given by the Company or, at the Company's request, by the Trustee in the name and at the expense of the Company.</w:t>
      </w:r>
    </w:p>
    <w:p>
      <w:pPr>
        <w:spacing w:after="0" w:line="167" w:lineRule="exact"/>
        <w:rPr>
          <w:sz w:val="20"/>
          <w:szCs w:val="20"/>
          <w:color w:val="auto"/>
        </w:rPr>
      </w:pPr>
    </w:p>
    <w:p>
      <w:pPr>
        <w:ind w:left="700"/>
        <w:spacing w:after="0"/>
        <w:tabs>
          <w:tab w:leader="none" w:pos="2000" w:val="left"/>
          <w:tab w:leader="none" w:pos="4620" w:val="left"/>
        </w:tabs>
        <w:rPr>
          <w:sz w:val="20"/>
          <w:szCs w:val="20"/>
          <w:color w:val="auto"/>
        </w:rPr>
      </w:pPr>
      <w:r>
        <w:rPr>
          <w:rFonts w:ascii="Courier New" w:cs="Courier New" w:eastAsia="Courier New" w:hAnsi="Courier New"/>
          <w:sz w:val="15"/>
          <w:szCs w:val="15"/>
          <w:color w:val="auto"/>
        </w:rPr>
        <w:t>SECTION 1105.</w:t>
        <w:tab/>
        <w:t>Deposit of Redemption Price.</w:t>
      </w:r>
      <w:r>
        <w:rPr>
          <w:sz w:val="20"/>
          <w:szCs w:val="20"/>
          <w:color w:val="auto"/>
        </w:rPr>
        <w:tab/>
      </w:r>
      <w:r>
        <w:rPr>
          <w:rFonts w:ascii="Courier New" w:cs="Courier New" w:eastAsia="Courier New" w:hAnsi="Courier New"/>
          <w:sz w:val="14"/>
          <w:szCs w:val="14"/>
          <w:color w:val="auto"/>
        </w:rPr>
        <w:t>At least one Business Day</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59" w:lineRule="exact"/>
        <w:rPr>
          <w:sz w:val="20"/>
          <w:szCs w:val="20"/>
          <w:color w:val="auto"/>
        </w:rPr>
      </w:pPr>
    </w:p>
    <w:p>
      <w:pPr>
        <w:ind w:left="700"/>
        <w:spacing w:after="0"/>
        <w:tabs>
          <w:tab w:leader="none" w:pos="2000" w:val="left"/>
          <w:tab w:leader="none" w:pos="5500" w:val="left"/>
        </w:tabs>
        <w:rPr>
          <w:sz w:val="20"/>
          <w:szCs w:val="20"/>
          <w:color w:val="auto"/>
        </w:rPr>
      </w:pPr>
      <w:r>
        <w:rPr>
          <w:rFonts w:ascii="Courier New" w:cs="Courier New" w:eastAsia="Courier New" w:hAnsi="Courier New"/>
          <w:sz w:val="15"/>
          <w:szCs w:val="15"/>
          <w:color w:val="auto"/>
        </w:rPr>
        <w:t>SECTION 1106.</w:t>
        <w:tab/>
        <w:t>Securities Payable on Redemption Date.</w:t>
      </w:r>
      <w:r>
        <w:rPr>
          <w:sz w:val="20"/>
          <w:szCs w:val="20"/>
          <w:color w:val="auto"/>
        </w:rPr>
        <w:tab/>
      </w:r>
      <w:r>
        <w:rPr>
          <w:rFonts w:ascii="Courier New" w:cs="Courier New" w:eastAsia="Courier New" w:hAnsi="Courier New"/>
          <w:sz w:val="14"/>
          <w:szCs w:val="14"/>
          <w:color w:val="auto"/>
        </w:rPr>
        <w:t>Notice of</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series)(together with accrued interest, if any, to the Redemption Date), and from and after such date (unless the Company</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624" w:right="1440" w:bottom="1440" w:gutter="0" w:footer="0" w:header="0"/>
        </w:sectPr>
      </w:pPr>
    </w:p>
    <w:bookmarkStart w:id="181" w:name="page182"/>
    <w:bookmarkEnd w:id="181"/>
    <w:p>
      <w:pPr>
        <w:ind w:right="3319"/>
        <w:spacing w:after="0" w:line="254" w:lineRule="auto"/>
        <w:rPr>
          <w:sz w:val="20"/>
          <w:szCs w:val="20"/>
          <w:color w:val="auto"/>
        </w:rPr>
      </w:pPr>
      <w:r>
        <w:rPr>
          <w:rFonts w:ascii="Courier New" w:cs="Courier New" w:eastAsia="Courier New" w:hAnsi="Courier New"/>
          <w:sz w:val="14"/>
          <w:szCs w:val="14"/>
          <w:color w:val="auto"/>
        </w:rPr>
        <w:t>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provided, however, that</w:t>
      </w:r>
    </w:p>
    <w:p>
      <w:pPr>
        <w:ind w:left="4820"/>
        <w:spacing w:after="0" w:line="234" w:lineRule="auto"/>
        <w:tabs>
          <w:tab w:leader="none" w:pos="56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provided further</w:t>
      </w:r>
    </w:p>
    <w:p>
      <w:pPr>
        <w:ind w:left="5340"/>
        <w:spacing w:after="0" w:line="233"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that, except as otherwise provided with respect to Securities convertible into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75"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w:t>
      </w:r>
    </w:p>
    <w:p>
      <w:pPr>
        <w:ind w:left="5700"/>
        <w:spacing w:after="0" w:line="235"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interest represented by coupons shall be payable only at an office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or agency located outside the United States (except as otherwise provided in Section 1002) and, unless otherwise specified as contemplated by Section 301, only upon presentation and surrender of those coupons.</w:t>
      </w:r>
    </w:p>
    <w:p>
      <w:pPr>
        <w:spacing w:after="0" w:line="174" w:lineRule="exact"/>
        <w:rPr>
          <w:sz w:val="20"/>
          <w:szCs w:val="20"/>
          <w:color w:val="auto"/>
        </w:rPr>
      </w:pPr>
    </w:p>
    <w:p>
      <w:pPr>
        <w:ind w:right="3579" w:firstLine="700"/>
        <w:spacing w:after="0" w:line="235"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(and premium, if any) shall, until paid, bear interest from the Redemption Date at the rate borne by the Security.</w:t>
      </w:r>
    </w:p>
    <w:p>
      <w:pPr>
        <w:spacing w:after="0" w:line="169" w:lineRule="exact"/>
        <w:rPr>
          <w:sz w:val="20"/>
          <w:szCs w:val="20"/>
          <w:color w:val="auto"/>
        </w:rPr>
      </w:pPr>
    </w:p>
    <w:p>
      <w:pPr>
        <w:ind w:left="700"/>
        <w:spacing w:after="0"/>
        <w:tabs>
          <w:tab w:leader="none" w:pos="2000" w:val="left"/>
          <w:tab w:leader="none" w:pos="4620" w:val="left"/>
        </w:tabs>
        <w:rPr>
          <w:sz w:val="20"/>
          <w:szCs w:val="20"/>
          <w:color w:val="auto"/>
        </w:rPr>
      </w:pPr>
      <w:r>
        <w:rPr>
          <w:rFonts w:ascii="Courier New" w:cs="Courier New" w:eastAsia="Courier New" w:hAnsi="Courier New"/>
          <w:sz w:val="15"/>
          <w:szCs w:val="15"/>
          <w:color w:val="auto"/>
        </w:rPr>
        <w:t>SECTION 1107.</w:t>
        <w:tab/>
        <w:t>Securities Redeemed in Part.</w:t>
      </w:r>
      <w:r>
        <w:rPr>
          <w:sz w:val="20"/>
          <w:szCs w:val="20"/>
          <w:color w:val="auto"/>
        </w:rPr>
        <w:tab/>
      </w:r>
      <w:r>
        <w:rPr>
          <w:rFonts w:ascii="Courier New" w:cs="Courier New" w:eastAsia="Courier New" w:hAnsi="Courier New"/>
          <w:sz w:val="14"/>
          <w:szCs w:val="14"/>
          <w:color w:val="auto"/>
        </w:rPr>
        <w:t>Any Registered Security</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624" w:right="1440" w:bottom="1440" w:gutter="0" w:footer="0" w:header="0"/>
        </w:sectPr>
      </w:pPr>
    </w:p>
    <w:bookmarkStart w:id="182" w:name="page183"/>
    <w:bookmarkEnd w:id="182"/>
    <w:p>
      <w:pPr>
        <w:jc w:val="both"/>
        <w:ind w:right="3319"/>
        <w:spacing w:after="0" w:line="236" w:lineRule="auto"/>
        <w:rPr>
          <w:sz w:val="20"/>
          <w:szCs w:val="20"/>
          <w:color w:val="auto"/>
        </w:rPr>
      </w:pPr>
      <w:r>
        <w:rPr>
          <w:rFonts w:ascii="Courier New" w:cs="Courier New" w:eastAsia="Courier New" w:hAnsi="Courier New"/>
          <w:sz w:val="15"/>
          <w:szCs w:val="15"/>
          <w:color w:val="auto"/>
        </w:rPr>
        <w:t>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ARTICLE TWELVE</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SINKING FUNDS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SECTION 1201. Applicability of Article. The provisions of this Article</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shall be applicable to any sinking fund for the retirement of Securities of a series except as otherwise specified as contemplated by Section 301 for Securities of such series.</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7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SECTION 1202. Satisfaction of Sinking Fund Payments with Securities. The</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provided that such Securities so delivered or applied as a credit have</w:t>
      </w:r>
    </w:p>
    <w:p>
      <w:pPr>
        <w:ind w:left="800"/>
        <w:spacing w:after="0" w:line="235"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5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SECTION 1203. Redemption of Securities for Sinking Fund. Not less than</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60 days prior to each sinking fund payment date for securities of any series, the Company will deliver to the Trustee an Officer's Certificate specifying the amount of the next ensuing man-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24" w:right="1440" w:bottom="1440" w:gutter="0" w:footer="0" w:header="0"/>
        </w:sectPr>
      </w:pPr>
    </w:p>
    <w:bookmarkStart w:id="183" w:name="page184"/>
    <w:bookmarkEnd w:id="183"/>
    <w:p>
      <w:pPr>
        <w:ind w:right="3239"/>
        <w:spacing w:after="0" w:line="254" w:lineRule="auto"/>
        <w:rPr>
          <w:sz w:val="20"/>
          <w:szCs w:val="20"/>
          <w:color w:val="auto"/>
        </w:rPr>
      </w:pPr>
      <w:r>
        <w:rPr>
          <w:rFonts w:ascii="Courier New" w:cs="Courier New" w:eastAsia="Courier New" w:hAnsi="Courier New"/>
          <w:sz w:val="14"/>
          <w:szCs w:val="14"/>
          <w:color w:val="auto"/>
        </w:rPr>
        <w:t>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3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THIRTEEN</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REPAYMENT AT THE OPTION OF HOLDERS</w:t>
      </w:r>
    </w:p>
    <w:p>
      <w:pPr>
        <w:spacing w:after="0" w:line="166" w:lineRule="exact"/>
        <w:rPr>
          <w:sz w:val="20"/>
          <w:szCs w:val="20"/>
          <w:color w:val="auto"/>
        </w:rPr>
      </w:pPr>
    </w:p>
    <w:p>
      <w:pPr>
        <w:ind w:left="700"/>
        <w:spacing w:after="0"/>
        <w:tabs>
          <w:tab w:leader="none" w:pos="2000" w:val="left"/>
          <w:tab w:leader="none" w:pos="4360" w:val="left"/>
        </w:tabs>
        <w:rPr>
          <w:sz w:val="20"/>
          <w:szCs w:val="20"/>
          <w:color w:val="auto"/>
        </w:rPr>
      </w:pPr>
      <w:r>
        <w:rPr>
          <w:rFonts w:ascii="Courier New" w:cs="Courier New" w:eastAsia="Courier New" w:hAnsi="Courier New"/>
          <w:sz w:val="15"/>
          <w:szCs w:val="15"/>
          <w:color w:val="auto"/>
        </w:rPr>
        <w:t>SECTION 1301.</w:t>
        <w:tab/>
        <w:t>Applicability of Article.</w:t>
      </w:r>
      <w:r>
        <w:rPr>
          <w:sz w:val="20"/>
          <w:szCs w:val="20"/>
          <w:color w:val="auto"/>
        </w:rPr>
        <w:tab/>
      </w:r>
      <w:r>
        <w:rPr>
          <w:rFonts w:ascii="Courier New" w:cs="Courier New" w:eastAsia="Courier New" w:hAnsi="Courier New"/>
          <w:sz w:val="14"/>
          <w:szCs w:val="14"/>
          <w:color w:val="auto"/>
        </w:rPr>
        <w:t>Repayment of Securities of any</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24"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4"/>
          <w:szCs w:val="14"/>
          <w:color w:val="auto"/>
        </w:rPr>
        <w:t>Securities or portions thereof, as the case may be, to be repaid on such date.</w:t>
      </w:r>
    </w:p>
    <w:p>
      <w:pPr>
        <w:spacing w:after="0" w:line="171" w:lineRule="exact"/>
        <w:rPr>
          <w:sz w:val="20"/>
          <w:szCs w:val="20"/>
          <w:color w:val="auto"/>
        </w:rPr>
      </w:pPr>
    </w:p>
    <w:p>
      <w:pPr>
        <w:jc w:val="right"/>
        <w:ind w:right="3239"/>
        <w:spacing w:after="0"/>
        <w:tabs>
          <w:tab w:leader="none" w:pos="4780" w:val="left"/>
        </w:tabs>
        <w:rPr>
          <w:sz w:val="20"/>
          <w:szCs w:val="20"/>
          <w:color w:val="auto"/>
        </w:rPr>
      </w:pPr>
      <w:r>
        <w:rPr>
          <w:rFonts w:ascii="Courier New" w:cs="Courier New" w:eastAsia="Courier New" w:hAnsi="Courier New"/>
          <w:sz w:val="15"/>
          <w:szCs w:val="15"/>
          <w:color w:val="auto"/>
        </w:rPr>
        <w:t>SECTION 1303.</w:t>
      </w:r>
      <w:r>
        <w:rPr>
          <w:sz w:val="20"/>
          <w:szCs w:val="20"/>
          <w:color w:val="auto"/>
        </w:rPr>
        <w:tab/>
      </w:r>
      <w:r>
        <w:rPr>
          <w:rFonts w:ascii="Courier New" w:cs="Courier New" w:eastAsia="Courier New" w:hAnsi="Courier New"/>
          <w:sz w:val="14"/>
          <w:szCs w:val="14"/>
          <w:color w:val="auto"/>
        </w:rPr>
        <w:t>Exercise of Option. Securities of any series subject to</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National Association of Securities Dealers, Inc. ("NASD"),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provided, however, that such</w:t>
      </w:r>
    </w:p>
    <w:p>
      <w:pPr>
        <w:ind w:left="4480"/>
        <w:spacing w:after="0"/>
        <w:tabs>
          <w:tab w:leader="none" w:pos="53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telegram ,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68"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1304.</w:t>
      </w:r>
      <w:r>
        <w:rPr>
          <w:sz w:val="20"/>
          <w:szCs w:val="20"/>
          <w:color w:val="auto"/>
        </w:rPr>
        <w:tab/>
      </w:r>
      <w:r>
        <w:rPr>
          <w:rFonts w:ascii="Courier New" w:cs="Courier New" w:eastAsia="Courier New" w:hAnsi="Courier New"/>
          <w:sz w:val="14"/>
          <w:szCs w:val="14"/>
          <w:color w:val="auto"/>
        </w:rPr>
        <w:t>When Securities Presented for Repayment Become Due and</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Payable.</w:t>
        <w:tab/>
        <w:t>If Securities of any series providing for repayment at the option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Holders thereof shall have been surrendered as provided in this Article and as provided by or pursuant to the terms of such Securities, such Securities or the portions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624" w:right="1440" w:bottom="1440" w:gutter="0" w:footer="0" w:header="0"/>
        </w:sectPr>
      </w:pPr>
    </w:p>
    <w:bookmarkStart w:id="185" w:name="page186"/>
    <w:bookmarkEnd w:id="185"/>
    <w:p>
      <w:pPr>
        <w:ind w:right="3239"/>
        <w:spacing w:after="0" w:line="254" w:lineRule="auto"/>
        <w:rPr>
          <w:sz w:val="20"/>
          <w:szCs w:val="20"/>
          <w:color w:val="auto"/>
        </w:rPr>
      </w:pPr>
      <w:r>
        <w:rPr>
          <w:rFonts w:ascii="Courier New" w:cs="Courier New" w:eastAsia="Courier New" w:hAnsi="Courier New"/>
          <w:sz w:val="14"/>
          <w:szCs w:val="14"/>
          <w:color w:val="auto"/>
        </w:rPr>
        <w:t>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provided, however, that coupons</w:t>
      </w:r>
    </w:p>
    <w:p>
      <w:pPr>
        <w:ind w:left="4300"/>
        <w:spacing w:after="0" w:line="236" w:lineRule="auto"/>
        <w:tabs>
          <w:tab w:leader="none" w:pos="51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w:t>
      </w:r>
    </w:p>
    <w:p>
      <w:pPr>
        <w:ind w:left="5520"/>
        <w:spacing w:after="0" w:line="232"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66"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provided, however, that interest represented</w:t>
      </w:r>
    </w:p>
    <w:p>
      <w:pPr>
        <w:ind w:left="3080"/>
        <w:spacing w:after="0" w:line="236" w:lineRule="auto"/>
        <w:tabs>
          <w:tab w:leader="none" w:pos="39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623" w:right="1440" w:bottom="1440" w:gutter="0" w:footer="0" w:header="0"/>
        </w:sectPr>
      </w:pPr>
    </w:p>
    <w:bookmarkStart w:id="186" w:name="page187"/>
    <w:bookmarkEnd w:id="186"/>
    <w:p>
      <w:pPr>
        <w:ind w:left="880"/>
        <w:spacing w:after="0"/>
        <w:tabs>
          <w:tab w:leader="none" w:pos="2180" w:val="left"/>
          <w:tab w:leader="none" w:pos="4800" w:val="left"/>
        </w:tabs>
        <w:rPr>
          <w:sz w:val="20"/>
          <w:szCs w:val="20"/>
          <w:color w:val="auto"/>
        </w:rPr>
      </w:pPr>
      <w:r>
        <w:rPr>
          <w:rFonts w:ascii="Courier New" w:cs="Courier New" w:eastAsia="Courier New" w:hAnsi="Courier New"/>
          <w:sz w:val="15"/>
          <w:szCs w:val="15"/>
          <w:color w:val="auto"/>
        </w:rPr>
        <w:t>SECTION 1305.</w:t>
        <w:tab/>
        <w:t>Securities Repaid in Part.</w:t>
      </w:r>
      <w:r>
        <w:rPr>
          <w:sz w:val="20"/>
          <w:szCs w:val="20"/>
          <w:color w:val="auto"/>
        </w:rPr>
        <w:tab/>
      </w:r>
      <w:r>
        <w:rPr>
          <w:rFonts w:ascii="Courier New" w:cs="Courier New" w:eastAsia="Courier New" w:hAnsi="Courier New"/>
          <w:sz w:val="14"/>
          <w:szCs w:val="14"/>
          <w:color w:val="auto"/>
        </w:rPr>
        <w:t>Upon surrender of any</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6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FOURTEEN</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DEFEASANCE AND COVENANT DEFEASANCE</w:t>
      </w:r>
    </w:p>
    <w:p>
      <w:pPr>
        <w:spacing w:after="0" w:line="335"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1401.</w:t>
      </w:r>
      <w:r>
        <w:rPr>
          <w:sz w:val="20"/>
          <w:szCs w:val="20"/>
          <w:color w:val="auto"/>
        </w:rPr>
        <w:tab/>
      </w:r>
      <w:r>
        <w:rPr>
          <w:rFonts w:ascii="Courier New" w:cs="Courier New" w:eastAsia="Courier New" w:hAnsi="Courier New"/>
          <w:sz w:val="14"/>
          <w:szCs w:val="14"/>
          <w:color w:val="auto"/>
        </w:rPr>
        <w:t>Applicability of Article: Company's Option to Effect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Defeasance or Covenant Defeasance. If, pursuant to Section 301, provision is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ectPr>
          <w:pgSz w:w="11900" w:h="16838" w:orient="portrait"/>
          <w:cols w:equalWidth="0" w:num="1">
            <w:col w:w="10239"/>
          </w:cols>
          <w:pgMar w:left="220" w:top="617" w:right="1440" w:bottom="1440" w:gutter="0" w:footer="0" w:header="0"/>
        </w:sectPr>
      </w:pPr>
    </w:p>
    <w:p>
      <w:pPr>
        <w:spacing w:after="0" w:line="167"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1402.</w:t>
      </w:r>
      <w:r>
        <w:rPr>
          <w:sz w:val="20"/>
          <w:szCs w:val="20"/>
          <w:color w:val="auto"/>
        </w:rPr>
        <w:tab/>
      </w:r>
      <w:r>
        <w:rPr>
          <w:rFonts w:ascii="Courier New" w:cs="Courier New" w:eastAsia="Courier New" w:hAnsi="Courier New"/>
          <w:sz w:val="14"/>
          <w:szCs w:val="14"/>
          <w:color w:val="auto"/>
        </w:rPr>
        <w:t>Defeasance and Discharge.</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the Company's</w:t>
      </w:r>
    </w:p>
    <w:p>
      <w:pPr>
        <w:spacing w:after="0" w:line="177" w:lineRule="exact"/>
        <w:rPr>
          <w:sz w:val="20"/>
          <w:szCs w:val="20"/>
          <w:color w:val="auto"/>
        </w:rPr>
      </w:pPr>
    </w:p>
    <w:p>
      <w:pPr>
        <w:sectPr>
          <w:pgSz w:w="11900" w:h="16838" w:orient="portrait"/>
          <w:cols w:equalWidth="0" w:num="2">
            <w:col w:w="4380" w:space="440"/>
            <w:col w:w="5419"/>
          </w:cols>
          <w:pgMar w:left="220" w:top="617" w:right="1440" w:bottom="1440" w:gutter="0" w:footer="0" w:header="0"/>
          <w:type w:val="continuous"/>
        </w:sectPr>
      </w:pPr>
    </w:p>
    <w:p>
      <w:pPr>
        <w:ind w:right="3239"/>
        <w:spacing w:after="0" w:line="237" w:lineRule="auto"/>
        <w:rPr>
          <w:sz w:val="20"/>
          <w:szCs w:val="20"/>
          <w:color w:val="auto"/>
        </w:rPr>
      </w:pPr>
      <w:r>
        <w:rPr>
          <w:rFonts w:ascii="Courier New" w:cs="Courier New" w:eastAsia="Courier New" w:hAnsi="Courier New"/>
          <w:sz w:val="15"/>
          <w:szCs w:val="15"/>
          <w:color w:val="auto"/>
        </w:rPr>
        <w:t>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617" w:right="1440" w:bottom="1440" w:gutter="0" w:footer="0" w:header="0"/>
          <w:type w:val="continuous"/>
        </w:sectPr>
      </w:pPr>
    </w:p>
    <w:bookmarkStart w:id="187" w:name="page188"/>
    <w:bookmarkEnd w:id="187"/>
    <w:p>
      <w:pPr>
        <w:ind w:right="3239"/>
        <w:spacing w:after="0" w:line="255" w:lineRule="auto"/>
        <w:rPr>
          <w:sz w:val="20"/>
          <w:szCs w:val="20"/>
          <w:color w:val="auto"/>
        </w:rPr>
      </w:pPr>
      <w:r>
        <w:rPr>
          <w:rFonts w:ascii="Courier New" w:cs="Courier New" w:eastAsia="Courier New" w:hAnsi="Courier New"/>
          <w:sz w:val="14"/>
          <w:szCs w:val="14"/>
          <w:color w:val="auto"/>
        </w:rPr>
        <w:t>receive, solely from the trust fund described in Section 1404 and as more fully set forth in such Section, payments in respect of the principal of (and premium, if any and interest, if any, on such Securities and any coupons appertaining thereto when such payments are due, (B) the Company's obligations with respect to such Securities under Sections 305, 306, 1002 and 1003 and with respect to the payment of Additional Amounts, if any, on such Securities as contemplated by Section 1010,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15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1403. Covenant Defeasance. Upon the Company's exercise of the</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above option applicable to this Section with respect to any Securities of or within a series, the Company shall be released from its obligations under Sections 1004 to 1008, inclusive, and, if specified pursuant to Section 301, its obligations under any other covenant,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1008,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 default or an Event of Default under Section 501(4) or 501(8) or otherwise, as the case may be, but, except as specified above, the remainder of this Indenture and such Securities and any coupons appertaining thereto shall be unaffected thereby.</w:t>
      </w:r>
    </w:p>
    <w:p>
      <w:pPr>
        <w:spacing w:after="0" w:line="33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1404. Conditions to Defeasance or Covenant Defeasance. The</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following shall be the conditions to application of Section 1402 of Section 1403 to any Outstanding Securities of or within a series and any coupons appertaining thereto:</w:t>
      </w:r>
    </w:p>
    <w:p>
      <w:pPr>
        <w:spacing w:after="0" w:line="174" w:lineRule="exact"/>
        <w:rPr>
          <w:sz w:val="20"/>
          <w:szCs w:val="20"/>
          <w:color w:val="auto"/>
        </w:rPr>
      </w:pPr>
    </w:p>
    <w:p>
      <w:pPr>
        <w:ind w:left="360" w:right="3239" w:firstLine="349"/>
        <w:spacing w:after="0" w:line="236" w:lineRule="auto"/>
        <w:tabs>
          <w:tab w:leader="none" w:pos="106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624" w:right="1440" w:bottom="1440" w:gutter="0" w:footer="0" w:header="0"/>
        </w:sectPr>
      </w:pPr>
    </w:p>
    <w:bookmarkStart w:id="188" w:name="page189"/>
    <w:bookmarkEnd w:id="188"/>
    <w:p>
      <w:pPr>
        <w:ind w:right="3319"/>
        <w:spacing w:after="0" w:line="254" w:lineRule="auto"/>
        <w:rPr>
          <w:sz w:val="20"/>
          <w:szCs w:val="20"/>
          <w:color w:val="auto"/>
        </w:rPr>
      </w:pPr>
      <w:r>
        <w:rPr>
          <w:rFonts w:ascii="Courier New" w:cs="Courier New" w:eastAsia="Courier New" w:hAnsi="Courier New"/>
          <w:sz w:val="14"/>
          <w:szCs w:val="14"/>
          <w:color w:val="auto"/>
        </w:rPr>
        <w:t>following payments, specifically pledged as security for, and dedicated solely to, the benefit of the Holders of such Securities and any coupons appertaining thereto, (1)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on such Securities and any coupons appertaining thereto, money in an amount, or</w:t>
      </w:r>
    </w:p>
    <w:p>
      <w:pPr>
        <w:spacing w:after="0" w:line="4" w:lineRule="exact"/>
        <w:rPr>
          <w:sz w:val="20"/>
          <w:szCs w:val="20"/>
          <w:color w:val="auto"/>
        </w:rPr>
      </w:pPr>
    </w:p>
    <w:p>
      <w:pPr>
        <w:ind w:right="3239" w:firstLine="10"/>
        <w:spacing w:after="0" w:line="255" w:lineRule="auto"/>
        <w:tabs>
          <w:tab w:leader="none" w:pos="35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64" w:lineRule="exact"/>
        <w:rPr>
          <w:rFonts w:ascii="Courier New" w:cs="Courier New" w:eastAsia="Courier New" w:hAnsi="Courier New"/>
          <w:sz w:val="14"/>
          <w:szCs w:val="14"/>
          <w:color w:val="auto"/>
        </w:rPr>
      </w:pPr>
    </w:p>
    <w:p>
      <w:pPr>
        <w:ind w:right="3239" w:firstLine="709"/>
        <w:spacing w:after="0" w:line="235" w:lineRule="auto"/>
        <w:tabs>
          <w:tab w:leader="none" w:pos="113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75" w:lineRule="exact"/>
        <w:rPr>
          <w:rFonts w:ascii="Courier New" w:cs="Courier New" w:eastAsia="Courier New" w:hAnsi="Courier New"/>
          <w:sz w:val="15"/>
          <w:szCs w:val="15"/>
          <w:color w:val="auto"/>
        </w:rPr>
      </w:pPr>
    </w:p>
    <w:p>
      <w:pPr>
        <w:ind w:right="3319" w:firstLine="709"/>
        <w:spacing w:after="0" w:line="254" w:lineRule="auto"/>
        <w:tabs>
          <w:tab w:leader="none" w:pos="1137"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w:t>
      </w:r>
    </w:p>
    <w:p>
      <w:pPr>
        <w:spacing w:after="0" w:line="1"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any time during the period ending on the 91st day after the date of such deposit (it being understood that this condition shall not be deemed satisfied until the expiration of such period).</w:t>
      </w:r>
    </w:p>
    <w:p>
      <w:pPr>
        <w:spacing w:after="0" w:line="173" w:lineRule="exact"/>
        <w:rPr>
          <w:rFonts w:ascii="Courier New" w:cs="Courier New" w:eastAsia="Courier New" w:hAnsi="Courier New"/>
          <w:sz w:val="14"/>
          <w:szCs w:val="14"/>
          <w:color w:val="auto"/>
        </w:rPr>
      </w:pPr>
    </w:p>
    <w:p>
      <w:pPr>
        <w:ind w:right="3239" w:firstLine="709"/>
        <w:spacing w:after="0" w:line="235" w:lineRule="auto"/>
        <w:tabs>
          <w:tab w:leader="none" w:pos="113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election under Section 1402, the Company shall have delivered to the Trustee an Opinion of Counsel stating that (i) the Company has received from, or there has been published by, the Internal Revenue Service a</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624" w:right="1440" w:bottom="1440" w:gutter="0" w:footer="0" w:header="0"/>
        </w:sectPr>
      </w:pPr>
    </w:p>
    <w:bookmarkStart w:id="189" w:name="page190"/>
    <w:bookmarkEnd w:id="189"/>
    <w:p>
      <w:pPr>
        <w:ind w:right="3239"/>
        <w:spacing w:after="0" w:line="236" w:lineRule="auto"/>
        <w:rPr>
          <w:sz w:val="20"/>
          <w:szCs w:val="20"/>
          <w:color w:val="auto"/>
        </w:rPr>
      </w:pPr>
      <w:r>
        <w:rPr>
          <w:rFonts w:ascii="Courier New" w:cs="Courier New" w:eastAsia="Courier New" w:hAnsi="Courier New"/>
          <w:sz w:val="15"/>
          <w:szCs w:val="15"/>
          <w:color w:val="auto"/>
        </w:rPr>
        <w:t>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77" w:lineRule="exact"/>
        <w:rPr>
          <w:sz w:val="20"/>
          <w:szCs w:val="20"/>
          <w:color w:val="auto"/>
        </w:rPr>
      </w:pPr>
    </w:p>
    <w:p>
      <w:pPr>
        <w:ind w:right="3239" w:firstLine="709"/>
        <w:spacing w:after="0" w:line="236" w:lineRule="auto"/>
        <w:tabs>
          <w:tab w:leader="none" w:pos="113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5" w:lineRule="exact"/>
        <w:rPr>
          <w:rFonts w:ascii="Courier New" w:cs="Courier New" w:eastAsia="Courier New" w:hAnsi="Courier New"/>
          <w:sz w:val="15"/>
          <w:szCs w:val="15"/>
          <w:color w:val="auto"/>
        </w:rPr>
      </w:pPr>
    </w:p>
    <w:p>
      <w:pPr>
        <w:ind w:right="3319" w:firstLine="709"/>
        <w:spacing w:after="0" w:line="236" w:lineRule="auto"/>
        <w:tabs>
          <w:tab w:leader="none" w:pos="113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80" w:lineRule="exact"/>
        <w:rPr>
          <w:rFonts w:ascii="Courier New" w:cs="Courier New" w:eastAsia="Courier New" w:hAnsi="Courier New"/>
          <w:sz w:val="15"/>
          <w:szCs w:val="15"/>
          <w:color w:val="auto"/>
        </w:rPr>
      </w:pPr>
    </w:p>
    <w:p>
      <w:pPr>
        <w:ind w:right="3399" w:firstLine="709"/>
        <w:spacing w:after="0" w:line="235" w:lineRule="auto"/>
        <w:tabs>
          <w:tab w:leader="none" w:pos="113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69" w:lineRule="exact"/>
        <w:rPr>
          <w:sz w:val="20"/>
          <w:szCs w:val="20"/>
          <w:color w:val="auto"/>
        </w:rPr>
      </w:pPr>
    </w:p>
    <w:p>
      <w:pPr>
        <w:ind w:left="700"/>
        <w:spacing w:after="0"/>
        <w:tabs>
          <w:tab w:leader="none" w:pos="2000" w:val="left"/>
        </w:tabs>
        <w:rPr>
          <w:sz w:val="20"/>
          <w:szCs w:val="20"/>
          <w:color w:val="auto"/>
        </w:rPr>
      </w:pPr>
      <w:r>
        <w:rPr>
          <w:rFonts w:ascii="Courier New" w:cs="Courier New" w:eastAsia="Courier New" w:hAnsi="Courier New"/>
          <w:sz w:val="15"/>
          <w:szCs w:val="15"/>
          <w:color w:val="auto"/>
        </w:rPr>
        <w:t>SECTION 1405.</w:t>
      </w:r>
      <w:r>
        <w:rPr>
          <w:sz w:val="20"/>
          <w:szCs w:val="20"/>
          <w:color w:val="auto"/>
        </w:rPr>
        <w:tab/>
      </w:r>
      <w:r>
        <w:rPr>
          <w:rFonts w:ascii="Courier New" w:cs="Courier New" w:eastAsia="Courier New" w:hAnsi="Courier New"/>
          <w:sz w:val="14"/>
          <w:szCs w:val="14"/>
          <w:color w:val="auto"/>
        </w:rPr>
        <w:t>Deposited Money and Government Obligations to Be Held in</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Trust; Other Miscellaneous Provisions.</w:t>
      </w:r>
      <w:r>
        <w:rPr>
          <w:sz w:val="20"/>
          <w:szCs w:val="20"/>
          <w:color w:val="auto"/>
        </w:rPr>
        <w:tab/>
      </w:r>
      <w:r>
        <w:rPr>
          <w:rFonts w:ascii="Courier New" w:cs="Courier New" w:eastAsia="Courier New" w:hAnsi="Courier New"/>
          <w:sz w:val="14"/>
          <w:szCs w:val="14"/>
          <w:color w:val="auto"/>
        </w:rPr>
        <w:t>Subject to the provisions of the last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624" w:right="1440" w:bottom="1440" w:gutter="0" w:footer="0" w:header="0"/>
        </w:sectPr>
      </w:pPr>
    </w:p>
    <w:bookmarkStart w:id="190" w:name="page191"/>
    <w:bookmarkEnd w:id="190"/>
    <w:p>
      <w:pPr>
        <w:ind w:right="3239"/>
        <w:spacing w:after="0" w:line="236" w:lineRule="auto"/>
        <w:rPr>
          <w:sz w:val="20"/>
          <w:szCs w:val="20"/>
          <w:color w:val="auto"/>
        </w:rPr>
      </w:pPr>
      <w:r>
        <w:rPr>
          <w:rFonts w:ascii="Courier New" w:cs="Courier New" w:eastAsia="Courier New" w:hAnsi="Courier New"/>
          <w:sz w:val="15"/>
          <w:szCs w:val="15"/>
          <w:color w:val="auto"/>
        </w:rPr>
        <w:t>either directly or through any Paying Agent including the Company acting as its own Paying Agent as the Trustee may determine, to the Holders of such Securities and any coupons appertaining thereto of all sums due and to become due thereon in respect of principal (and premium, if any) and interest and Additional Amounts, if any, but such money need not be segregated from other funds except to the extent required by law.</w:t>
      </w:r>
    </w:p>
    <w:p>
      <w:pPr>
        <w:spacing w:after="0" w:line="175" w:lineRule="exact"/>
        <w:rPr>
          <w:sz w:val="20"/>
          <w:szCs w:val="20"/>
          <w:color w:val="auto"/>
        </w:rPr>
      </w:pPr>
    </w:p>
    <w:p>
      <w:pPr>
        <w:ind w:right="3399" w:firstLine="700"/>
        <w:spacing w:after="0" w:line="254" w:lineRule="auto"/>
        <w:rPr>
          <w:sz w:val="20"/>
          <w:szCs w:val="20"/>
          <w:color w:val="auto"/>
        </w:rPr>
      </w:pPr>
      <w:r>
        <w:rPr>
          <w:rFonts w:ascii="Courier New" w:cs="Courier New" w:eastAsia="Courier New" w:hAnsi="Courier New"/>
          <w:sz w:val="14"/>
          <w:szCs w:val="14"/>
          <w:color w:val="auto"/>
        </w:rPr>
        <w:t>Unless otherwise specified with respect to any Security pursuant to Section 301, if, after a deposit referred to in Section 1404(a) has been made,</w:t>
      </w:r>
    </w:p>
    <w:p>
      <w:pPr>
        <w:spacing w:after="0" w:line="1" w:lineRule="exact"/>
        <w:rPr>
          <w:sz w:val="20"/>
          <w:szCs w:val="20"/>
          <w:color w:val="auto"/>
        </w:rPr>
      </w:pPr>
    </w:p>
    <w:p>
      <w:pPr>
        <w:ind w:right="3319" w:firstLine="10"/>
        <w:spacing w:after="0" w:line="255" w:lineRule="auto"/>
        <w:tabs>
          <w:tab w:leader="none" w:pos="35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Conversation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33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624" w:right="1440" w:bottom="1440" w:gutter="0" w:footer="0" w:header="0"/>
        </w:sectPr>
      </w:pPr>
    </w:p>
    <w:bookmarkStart w:id="191" w:name="page192"/>
    <w:bookmarkEnd w:id="191"/>
    <w:p>
      <w:pPr>
        <w:jc w:val="center"/>
        <w:ind w:right="3319"/>
        <w:spacing w:after="0"/>
        <w:rPr>
          <w:sz w:val="20"/>
          <w:szCs w:val="20"/>
          <w:color w:val="auto"/>
        </w:rPr>
      </w:pPr>
      <w:r>
        <w:rPr>
          <w:rFonts w:ascii="Courier New" w:cs="Courier New" w:eastAsia="Courier New" w:hAnsi="Courier New"/>
          <w:sz w:val="15"/>
          <w:szCs w:val="15"/>
          <w:color w:val="auto"/>
        </w:rPr>
        <w:t>ARTICLE FIFTEEN</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MEETINGS OF HOLDERS OF SECURITIES</w:t>
      </w:r>
    </w:p>
    <w:p>
      <w:pPr>
        <w:spacing w:after="0" w:line="166" w:lineRule="exact"/>
        <w:rPr>
          <w:sz w:val="20"/>
          <w:szCs w:val="20"/>
          <w:color w:val="auto"/>
        </w:rPr>
      </w:pPr>
    </w:p>
    <w:p>
      <w:pPr>
        <w:jc w:val="center"/>
        <w:ind w:right="3239"/>
        <w:spacing w:after="0"/>
        <w:tabs>
          <w:tab w:leader="none" w:pos="160" w:val="left"/>
        </w:tabs>
        <w:rPr>
          <w:sz w:val="20"/>
          <w:szCs w:val="20"/>
          <w:color w:val="auto"/>
        </w:rPr>
      </w:pPr>
      <w:r>
        <w:rPr>
          <w:rFonts w:ascii="Courier New" w:cs="Courier New" w:eastAsia="Courier New" w:hAnsi="Courier New"/>
          <w:sz w:val="15"/>
          <w:szCs w:val="15"/>
          <w:color w:val="auto"/>
        </w:rPr>
        <w:t>SECTION 1501.</w:t>
      </w:r>
      <w:r>
        <w:rPr>
          <w:sz w:val="20"/>
          <w:szCs w:val="20"/>
          <w:color w:val="auto"/>
        </w:rPr>
        <w:tab/>
      </w:r>
      <w:r>
        <w:rPr>
          <w:rFonts w:ascii="Courier New" w:cs="Courier New" w:eastAsia="Courier New" w:hAnsi="Courier New"/>
          <w:sz w:val="14"/>
          <w:szCs w:val="14"/>
          <w:color w:val="auto"/>
        </w:rPr>
        <w:t>Purposes for Which Meetings May Be Called. A meeting of</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6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1502.</w:t>
      </w:r>
      <w:r>
        <w:rPr>
          <w:sz w:val="20"/>
          <w:szCs w:val="20"/>
          <w:color w:val="auto"/>
        </w:rPr>
        <w:tab/>
      </w:r>
      <w:r>
        <w:rPr>
          <w:rFonts w:ascii="Courier New" w:cs="Courier New" w:eastAsia="Courier New" w:hAnsi="Courier New"/>
          <w:sz w:val="14"/>
          <w:szCs w:val="14"/>
          <w:color w:val="auto"/>
        </w:rPr>
        <w:t>Call, Notice and Place of Meetings. (a) The Trustee may at</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any time call a meeting of Holders of Securities of any series for any purpose specified in Section 1501, to be held at such time and at such place in the Borough of Manhattan, New York City, or in London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spacing w:after="0" w:line="177" w:lineRule="exact"/>
        <w:rPr>
          <w:sz w:val="20"/>
          <w:szCs w:val="20"/>
          <w:color w:val="auto"/>
        </w:rPr>
      </w:pPr>
    </w:p>
    <w:p>
      <w:pPr>
        <w:ind w:right="3239" w:firstLine="447"/>
        <w:spacing w:after="0" w:line="237" w:lineRule="auto"/>
        <w:tabs>
          <w:tab w:leader="none" w:pos="87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New York City, or in London for such meeting and may call such meeting for such purposes by giving notice thereof as provided in subsection (a) of this Section.</w:t>
      </w:r>
    </w:p>
    <w:p>
      <w:pPr>
        <w:spacing w:after="0" w:line="167" w:lineRule="exact"/>
        <w:rPr>
          <w:sz w:val="20"/>
          <w:szCs w:val="20"/>
          <w:color w:val="auto"/>
        </w:rPr>
      </w:pPr>
    </w:p>
    <w:p>
      <w:pPr>
        <w:ind w:left="440"/>
        <w:spacing w:after="0"/>
        <w:tabs>
          <w:tab w:leader="none" w:pos="1740" w:val="left"/>
          <w:tab w:leader="none" w:pos="5160" w:val="left"/>
        </w:tabs>
        <w:rPr>
          <w:sz w:val="20"/>
          <w:szCs w:val="20"/>
          <w:color w:val="auto"/>
        </w:rPr>
      </w:pPr>
      <w:r>
        <w:rPr>
          <w:rFonts w:ascii="Courier New" w:cs="Courier New" w:eastAsia="Courier New" w:hAnsi="Courier New"/>
          <w:sz w:val="15"/>
          <w:szCs w:val="15"/>
          <w:color w:val="auto"/>
        </w:rPr>
        <w:t>SECTION 1503.</w:t>
        <w:tab/>
        <w:t>Persons Entitled to Vote at Meetings.</w:t>
      </w:r>
      <w:r>
        <w:rPr>
          <w:sz w:val="20"/>
          <w:szCs w:val="20"/>
          <w:color w:val="auto"/>
        </w:rPr>
        <w:tab/>
      </w:r>
      <w:r>
        <w:rPr>
          <w:rFonts w:ascii="Courier New" w:cs="Courier New" w:eastAsia="Courier New" w:hAnsi="Courier New"/>
          <w:sz w:val="14"/>
          <w:szCs w:val="14"/>
          <w:color w:val="auto"/>
        </w:rPr>
        <w:t>To be entitled to</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vote at any meeting of Holders of Securities of any series, a Person shall be</w:t>
      </w:r>
    </w:p>
    <w:p>
      <w:pPr>
        <w:spacing w:after="0" w:line="5" w:lineRule="exact"/>
        <w:rPr>
          <w:sz w:val="20"/>
          <w:szCs w:val="20"/>
          <w:color w:val="auto"/>
        </w:rPr>
      </w:pPr>
    </w:p>
    <w:p>
      <w:pPr>
        <w:ind w:right="3239" w:firstLine="10"/>
        <w:spacing w:after="0" w:line="255" w:lineRule="auto"/>
        <w:tabs>
          <w:tab w:leader="none" w:pos="35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60" w:lineRule="exact"/>
        <w:rPr>
          <w:sz w:val="20"/>
          <w:szCs w:val="20"/>
          <w:color w:val="auto"/>
        </w:rPr>
      </w:pPr>
    </w:p>
    <w:p>
      <w:pPr>
        <w:ind w:left="440"/>
        <w:spacing w:after="0"/>
        <w:tabs>
          <w:tab w:leader="none" w:pos="1740" w:val="left"/>
          <w:tab w:leader="none" w:pos="3220" w:val="left"/>
        </w:tabs>
        <w:rPr>
          <w:sz w:val="20"/>
          <w:szCs w:val="20"/>
          <w:color w:val="auto"/>
        </w:rPr>
      </w:pPr>
      <w:r>
        <w:rPr>
          <w:rFonts w:ascii="Courier New" w:cs="Courier New" w:eastAsia="Courier New" w:hAnsi="Courier New"/>
          <w:sz w:val="15"/>
          <w:szCs w:val="15"/>
          <w:color w:val="auto"/>
        </w:rPr>
        <w:t>SECTION 1504.</w:t>
        <w:tab/>
        <w:t>Quorum; Action.</w:t>
      </w:r>
      <w:r>
        <w:rPr>
          <w:sz w:val="20"/>
          <w:szCs w:val="20"/>
          <w:color w:val="auto"/>
        </w:rPr>
        <w:tab/>
      </w:r>
      <w:r>
        <w:rPr>
          <w:rFonts w:ascii="Courier New" w:cs="Courier New" w:eastAsia="Courier New" w:hAnsi="Courier New"/>
          <w:sz w:val="14"/>
          <w:szCs w:val="14"/>
          <w:color w:val="auto"/>
        </w:rPr>
        <w:t>The Persons entitled to vote a majority</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in principal amount of the Outstanding Securities 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617" w:right="1440" w:bottom="1440" w:gutter="0" w:footer="0" w:header="0"/>
        </w:sectPr>
      </w:pPr>
    </w:p>
    <w:bookmarkStart w:id="192" w:name="page193"/>
    <w:bookmarkEnd w:id="192"/>
    <w:p>
      <w:pPr>
        <w:ind w:right="3579"/>
        <w:spacing w:after="0" w:line="254" w:lineRule="auto"/>
        <w:rPr>
          <w:sz w:val="20"/>
          <w:szCs w:val="20"/>
          <w:color w:val="auto"/>
        </w:rPr>
      </w:pPr>
      <w:r>
        <w:rPr>
          <w:rFonts w:ascii="Courier New" w:cs="Courier New" w:eastAsia="Courier New" w:hAnsi="Courier New"/>
          <w:sz w:val="14"/>
          <w:szCs w:val="14"/>
          <w:color w:val="auto"/>
        </w:rPr>
        <w:t>a series shall constitute a quorum for a meeting of Holders of Securities of such series; provided, however, that if any action is to be taken at such</w:t>
      </w:r>
    </w:p>
    <w:p>
      <w:pPr>
        <w:ind w:left="1140"/>
        <w:spacing w:after="0" w:line="231" w:lineRule="auto"/>
        <w:tabs>
          <w:tab w:leader="none" w:pos="200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or a period of not less than 10 days; at the reconvening of any meeting adjourned or further adjourned for lack of a quorum, the persons entitled to vote 25% in the aggregate principal amount of the Securities at the time outstanding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34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provided, however, that, except as</w:t>
      </w:r>
    </w:p>
    <w:p>
      <w:pPr>
        <w:ind w:left="3500"/>
        <w:spacing w:after="0"/>
        <w:tabs>
          <w:tab w:leader="none" w:pos="436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limited by the proviso to Section 902, any resolution with respect to any request, ????, authorization, direction, notice, consent, waiver or other ????</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presented as aforesaid by the affirmative vote of the Holders of such specified percentage in principal amount of the Outstanding Securities of that series.</w:t>
      </w:r>
    </w:p>
    <w:p>
      <w:pPr>
        <w:spacing w:after="0" w:line="166"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Any resolution passed or decision taken at any meeting of Holders of Securities of any series duly held in accordance with this Section shall be binding on all the Holders of Securities of ???? series and the related coupons, whether or not present or represented at the meeting.</w:t>
      </w:r>
    </w:p>
    <w:p>
      <w:pPr>
        <w:spacing w:after="0" w:line="175"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Notwithstanding the foregoing provisions of this Section ?04, if any action is to be taken at a meeting of Holders of Securities of any series with respect to any request, demand ??orization, direction, notice consent, waiver or other action ??? this Indenture expressly provides may be made, given or taken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624" w:right="1440" w:bottom="1440" w:gutter="0" w:footer="0" w:header="0"/>
        </w:sectPr>
      </w:pPr>
    </w:p>
    <w:bookmarkStart w:id="193" w:name="page194"/>
    <w:bookmarkEnd w:id="193"/>
    <w:p>
      <w:pPr>
        <w:ind w:right="3319"/>
        <w:spacing w:after="0" w:line="235" w:lineRule="auto"/>
        <w:rPr>
          <w:sz w:val="20"/>
          <w:szCs w:val="20"/>
          <w:color w:val="auto"/>
        </w:rPr>
      </w:pPr>
      <w:r>
        <w:rPr>
          <w:rFonts w:ascii="Courier New" w:cs="Courier New" w:eastAsia="Courier New" w:hAnsi="Courier New"/>
          <w:sz w:val="15"/>
          <w:szCs w:val="15"/>
          <w:color w:val="auto"/>
        </w:rPr>
        <w:t>by the Holders of a specified percentage in principal amount of all Outstanding Securities affected thereby, or of the Holders of such series and one or more additional series:</w:t>
      </w:r>
    </w:p>
    <w:p>
      <w:pPr>
        <w:spacing w:after="0" w:line="167"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4"/>
          <w:szCs w:val="14"/>
          <w:color w:val="auto"/>
        </w:rPr>
        <w:t>there shall be no minimum quorum requirement for such meeting;</w:t>
      </w:r>
    </w:p>
    <w:p>
      <w:pPr>
        <w:ind w:left="440"/>
        <w:spacing w:after="0" w:line="237" w:lineRule="auto"/>
        <w:rPr>
          <w:sz w:val="20"/>
          <w:szCs w:val="20"/>
          <w:color w:val="auto"/>
        </w:rPr>
      </w:pPr>
      <w:r>
        <w:rPr>
          <w:rFonts w:ascii="Courier New" w:cs="Courier New" w:eastAsia="Courier New" w:hAnsi="Courier New"/>
          <w:sz w:val="15"/>
          <w:szCs w:val="15"/>
          <w:color w:val="auto"/>
        </w:rPr>
        <w:t>and</w:t>
      </w:r>
    </w:p>
    <w:p>
      <w:pPr>
        <w:spacing w:after="0" w:line="173" w:lineRule="exact"/>
        <w:rPr>
          <w:sz w:val="20"/>
          <w:szCs w:val="20"/>
          <w:color w:val="auto"/>
        </w:rPr>
      </w:pPr>
    </w:p>
    <w:p>
      <w:pPr>
        <w:ind w:left="440" w:right="3239" w:firstLine="444"/>
        <w:spacing w:after="0" w:line="236" w:lineRule="auto"/>
        <w:tabs>
          <w:tab w:leader="none" w:pos="1315"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68"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1505.</w:t>
      </w:r>
      <w:r>
        <w:rPr>
          <w:sz w:val="20"/>
          <w:szCs w:val="20"/>
          <w:color w:val="auto"/>
        </w:rPr>
        <w:tab/>
      </w:r>
      <w:r>
        <w:rPr>
          <w:rFonts w:ascii="Courier New" w:cs="Courier New" w:eastAsia="Courier New" w:hAnsi="Courier New"/>
          <w:sz w:val="14"/>
          <w:szCs w:val="14"/>
          <w:color w:val="auto"/>
        </w:rPr>
        <w:t>Determination of Voting Rights; Conduct and</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2260" w:val="left"/>
        </w:tabs>
        <w:rPr>
          <w:sz w:val="20"/>
          <w:szCs w:val="20"/>
          <w:color w:val="auto"/>
        </w:rPr>
      </w:pPr>
      <w:r>
        <w:rPr>
          <w:rFonts w:ascii="Courier New" w:cs="Courier New" w:eastAsia="Courier New" w:hAnsi="Courier New"/>
          <w:sz w:val="15"/>
          <w:szCs w:val="15"/>
          <w:color w:val="auto"/>
        </w:rPr>
        <w:t>Adjournment of Meetings.</w:t>
      </w:r>
      <w:r>
        <w:rPr>
          <w:sz w:val="20"/>
          <w:szCs w:val="20"/>
          <w:color w:val="auto"/>
        </w:rPr>
        <w:tab/>
      </w:r>
      <w:r>
        <w:rPr>
          <w:rFonts w:ascii="Courier New" w:cs="Courier New" w:eastAsia="Courier New" w:hAnsi="Courier New"/>
          <w:sz w:val="14"/>
          <w:szCs w:val="14"/>
          <w:color w:val="auto"/>
        </w:rPr>
        <w:t>(a) Notwithstanding any provisions of this Indenture,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74" w:lineRule="exact"/>
        <w:rPr>
          <w:sz w:val="20"/>
          <w:szCs w:val="20"/>
          <w:color w:val="auto"/>
        </w:rPr>
      </w:pPr>
    </w:p>
    <w:p>
      <w:pPr>
        <w:ind w:right="3239" w:firstLine="884"/>
        <w:spacing w:after="0" w:line="255" w:lineRule="auto"/>
        <w:tabs>
          <w:tab w:leader="none" w:pos="1224"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65" w:lineRule="exact"/>
        <w:rPr>
          <w:rFonts w:ascii="Courier New" w:cs="Courier New" w:eastAsia="Courier New" w:hAnsi="Courier New"/>
          <w:sz w:val="14"/>
          <w:szCs w:val="14"/>
          <w:color w:val="auto"/>
        </w:rPr>
      </w:pPr>
    </w:p>
    <w:p>
      <w:pPr>
        <w:ind w:right="3319" w:firstLine="884"/>
        <w:spacing w:after="0" w:line="235" w:lineRule="auto"/>
        <w:tabs>
          <w:tab w:leader="none" w:pos="131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meeting each Holder of a Security of such series or proxy shall be entitled to one vote for each $1,000 principal amount of the Outstanding Securities of such series held or represented by him; provided,</w:t>
      </w:r>
    </w:p>
    <w:p>
      <w:pPr>
        <w:ind w:left="578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no vote shall be cast or counted at any meeting in respect of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Security challenged as not Outstanding and ruled by the chairman of the meeting to be not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624" w:right="1440" w:bottom="1440" w:gutter="0" w:footer="0" w:header="0"/>
        </w:sectPr>
      </w:pPr>
    </w:p>
    <w:bookmarkStart w:id="194" w:name="page195"/>
    <w:bookmarkEnd w:id="194"/>
    <w:p>
      <w:pPr>
        <w:ind w:right="3319"/>
        <w:spacing w:after="0" w:line="234" w:lineRule="auto"/>
        <w:rPr>
          <w:sz w:val="20"/>
          <w:szCs w:val="20"/>
          <w:color w:val="auto"/>
        </w:rPr>
      </w:pPr>
      <w:r>
        <w:rPr>
          <w:rFonts w:ascii="Courier New" w:cs="Courier New" w:eastAsia="Courier New" w:hAnsi="Courier New"/>
          <w:sz w:val="15"/>
          <w:szCs w:val="15"/>
          <w:color w:val="auto"/>
        </w:rPr>
        <w:t>Outstanding. The chairman of the meeting shall have no right to vote, except as a Holder of a Security of such series or proxy.</w:t>
      </w:r>
    </w:p>
    <w:p>
      <w:pPr>
        <w:spacing w:after="0" w:line="173" w:lineRule="exact"/>
        <w:rPr>
          <w:sz w:val="20"/>
          <w:szCs w:val="20"/>
          <w:color w:val="auto"/>
        </w:rPr>
      </w:pPr>
    </w:p>
    <w:p>
      <w:pPr>
        <w:ind w:right="3239" w:firstLine="884"/>
        <w:spacing w:after="0" w:line="236" w:lineRule="auto"/>
        <w:tabs>
          <w:tab w:leader="none" w:pos="1312"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1506. Counting Votes and Recording Action of Meetings. The</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vote upon any resolution submitted to any meeting of Holders of Securities of any series shall be by written ballots on which shall be subscribed the signatures of the Holders of Securities of such series or of their representative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 * * * *</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This Indenture may be executed in any number of counterparts, each of which so executed shall be deemed to be an original, but all such counterparts shall together constitute but one and the same Indenture.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624" w:right="1440" w:bottom="1440" w:gutter="0" w:footer="0" w:header="0"/>
        </w:sectPr>
      </w:pPr>
    </w:p>
    <w:bookmarkStart w:id="195" w:name="page196"/>
    <w:bookmarkEnd w:id="195"/>
    <w:p>
      <w:pPr>
        <w:ind w:right="3579" w:firstLine="437"/>
        <w:spacing w:after="0" w:line="234" w:lineRule="auto"/>
        <w:rPr>
          <w:sz w:val="20"/>
          <w:szCs w:val="20"/>
          <w:color w:val="auto"/>
        </w:rPr>
      </w:pPr>
      <w:r>
        <w:rPr>
          <w:rFonts w:ascii="Courier New" w:cs="Courier New" w:eastAsia="Courier New" w:hAnsi="Courier New"/>
          <w:sz w:val="15"/>
          <w:szCs w:val="15"/>
          <w:color w:val="auto"/>
        </w:rPr>
        <w:t>IN WITNESS WHEREOF, the parties hereto have caused this Indenture to be duly executed all as of the day and year first above written.</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w:t>
      </w:r>
    </w:p>
    <w:p>
      <w:pPr>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First Union National Bank</w:t>
      </w:r>
    </w:p>
    <w:p>
      <w:pPr>
        <w:ind w:left="3340"/>
        <w:spacing w:after="0" w:line="237" w:lineRule="auto"/>
        <w:rPr>
          <w:sz w:val="20"/>
          <w:szCs w:val="20"/>
          <w:color w:val="auto"/>
        </w:rPr>
      </w:pPr>
      <w:r>
        <w:rPr>
          <w:rFonts w:ascii="Courier New" w:cs="Courier New" w:eastAsia="Courier New" w:hAnsi="Courier New"/>
          <w:sz w:val="15"/>
          <w:szCs w:val="15"/>
          <w:color w:val="auto"/>
        </w:rPr>
        <w:t>as trustee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w:t>
      </w:r>
    </w:p>
    <w:p>
      <w:pPr>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624" w:right="1440" w:bottom="1440" w:gutter="0" w:footer="0" w:header="0"/>
        </w:sectPr>
      </w:pPr>
    </w:p>
    <w:bookmarkStart w:id="196" w:name="page197"/>
    <w:bookmarkEnd w:id="196"/>
    <w:p>
      <w:pPr>
        <w:spacing w:after="0"/>
        <w:tabs>
          <w:tab w:leader="none" w:pos="2260" w:val="left"/>
        </w:tabs>
        <w:rPr>
          <w:sz w:val="20"/>
          <w:szCs w:val="20"/>
          <w:color w:val="auto"/>
        </w:rPr>
      </w:pPr>
      <w:r>
        <w:rPr>
          <w:rFonts w:ascii="Courier New" w:cs="Courier New" w:eastAsia="Courier New" w:hAnsi="Courier New"/>
          <w:sz w:val="15"/>
          <w:szCs w:val="15"/>
          <w:color w:val="auto"/>
        </w:rPr>
        <w:t>STATE OF MARYLAND</w:t>
      </w:r>
      <w:r>
        <w:rPr>
          <w:sz w:val="20"/>
          <w:szCs w:val="20"/>
          <w:color w:val="auto"/>
        </w:rPr>
        <w:tab/>
      </w:r>
      <w:r>
        <w:rPr>
          <w:rFonts w:ascii="Courier New" w:cs="Courier New" w:eastAsia="Courier New" w:hAnsi="Courier New"/>
          <w:sz w:val="15"/>
          <w:szCs w:val="15"/>
          <w:color w:val="auto"/>
        </w:rPr>
        <w:t>)</w:t>
      </w:r>
    </w:p>
    <w:p>
      <w:pPr>
        <w:ind w:left="2720" w:hanging="436"/>
        <w:spacing w:after="0" w:line="237" w:lineRule="auto"/>
        <w:tabs>
          <w:tab w:leader="none" w:pos="27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ss:</w:t>
      </w:r>
    </w:p>
    <w:p>
      <w:pPr>
        <w:spacing w:after="0" w:line="238" w:lineRule="auto"/>
        <w:tabs>
          <w:tab w:leader="none" w:pos="2260" w:val="left"/>
        </w:tabs>
        <w:rPr>
          <w:sz w:val="20"/>
          <w:szCs w:val="20"/>
          <w:color w:val="auto"/>
        </w:rPr>
      </w:pPr>
      <w:r>
        <w:rPr>
          <w:rFonts w:ascii="Courier New" w:cs="Courier New" w:eastAsia="Courier New" w:hAnsi="Courier New"/>
          <w:sz w:val="15"/>
          <w:szCs w:val="15"/>
          <w:color w:val="auto"/>
        </w:rPr>
        <w:t>COUNTY OF MONTGOMERY</w:t>
      </w:r>
      <w:r>
        <w:rPr>
          <w:sz w:val="20"/>
          <w:szCs w:val="20"/>
          <w:color w:val="auto"/>
        </w:rPr>
        <w:tab/>
      </w:r>
      <w:r>
        <w:rPr>
          <w:rFonts w:ascii="Courier New" w:cs="Courier New" w:eastAsia="Courier New" w:hAnsi="Courier New"/>
          <w:sz w:val="15"/>
          <w:szCs w:val="15"/>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the _______ day of September 1998, before me personally came 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 to me known, who, being by me duly sworn, did depose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say that he/she resides at _____________________________, 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he/she is ___________________ of FEDERAL REALTY INVESTMENT TRUST, one of</w:t>
      </w:r>
    </w:p>
    <w:p>
      <w:pPr>
        <w:spacing w:after="0" w:line="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the parties described in and which executed the foregoing instrument, and that he/she signed his/her name thereto by authority of the Board of Trustees.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[Notarial Seal]</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__________________________</w:t>
      </w:r>
    </w:p>
    <w:p>
      <w:pPr>
        <w:ind w:left="2900"/>
        <w:spacing w:after="0" w:line="237" w:lineRule="auto"/>
        <w:rPr>
          <w:sz w:val="20"/>
          <w:szCs w:val="20"/>
          <w:color w:val="auto"/>
        </w:rPr>
      </w:pPr>
      <w:r>
        <w:rPr>
          <w:rFonts w:ascii="Courier New" w:cs="Courier New" w:eastAsia="Courier New" w:hAnsi="Courier New"/>
          <w:sz w:val="15"/>
          <w:szCs w:val="15"/>
          <w:color w:val="auto"/>
        </w:rPr>
        <w:t>Notary Public</w:t>
      </w:r>
    </w:p>
    <w:p>
      <w:pPr>
        <w:ind w:left="2900"/>
        <w:spacing w:after="0" w:line="238" w:lineRule="auto"/>
        <w:rPr>
          <w:sz w:val="20"/>
          <w:szCs w:val="20"/>
          <w:color w:val="auto"/>
        </w:rPr>
      </w:pPr>
      <w:r>
        <w:rPr>
          <w:rFonts w:ascii="Courier New" w:cs="Courier New" w:eastAsia="Courier New" w:hAnsi="Courier New"/>
          <w:sz w:val="15"/>
          <w:szCs w:val="15"/>
          <w:color w:val="auto"/>
        </w:rPr>
        <w:t>COMMISSION EXPIRES</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jc w:val="both"/>
        <w:spacing w:after="0" w:line="509" w:lineRule="auto"/>
        <w:rPr>
          <w:sz w:val="20"/>
          <w:szCs w:val="20"/>
          <w:color w:val="auto"/>
        </w:rPr>
      </w:pPr>
      <w:r>
        <w:rPr>
          <w:rFonts w:ascii="Courier New" w:cs="Courier New" w:eastAsia="Courier New" w:hAnsi="Courier New"/>
          <w:sz w:val="14"/>
          <w:szCs w:val="14"/>
          <w:color w:val="auto"/>
        </w:rPr>
        <w:t>STATE OF ________ COUNTY OF _______</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ss:</w:t>
      </w:r>
    </w:p>
    <w:p>
      <w:pPr>
        <w:spacing w:after="0" w:line="346" w:lineRule="exact"/>
        <w:rPr>
          <w:sz w:val="20"/>
          <w:szCs w:val="20"/>
          <w:color w:val="auto"/>
        </w:rPr>
      </w:pPr>
    </w:p>
    <w:p>
      <w:pPr>
        <w:sectPr>
          <w:pgSz w:w="11900" w:h="16838" w:orient="portrait"/>
          <w:cols w:equalWidth="0" w:num="3">
            <w:col w:w="1500" w:space="340"/>
            <w:col w:w="100" w:space="340"/>
            <w:col w:w="7959"/>
          </w:cols>
          <w:pgMar w:left="220" w:top="617" w:right="1440" w:bottom="1440" w:gutter="0" w:footer="0" w:header="0"/>
          <w:type w:val="continuous"/>
        </w:sectPr>
      </w:pPr>
    </w:p>
    <w:p>
      <w:pPr>
        <w:ind w:left="440"/>
        <w:spacing w:after="0" w:line="230" w:lineRule="auto"/>
        <w:rPr>
          <w:sz w:val="20"/>
          <w:szCs w:val="20"/>
          <w:color w:val="auto"/>
        </w:rPr>
      </w:pPr>
      <w:r>
        <w:rPr>
          <w:rFonts w:ascii="Courier New" w:cs="Courier New" w:eastAsia="Courier New" w:hAnsi="Courier New"/>
          <w:sz w:val="15"/>
          <w:szCs w:val="15"/>
          <w:color w:val="auto"/>
        </w:rPr>
        <w:t>On the ______ day of September 1998, before me personally came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 to me known, who, being by me duly sworn, did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depose and say that he/she resides at ______________________________, that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he/she is a _____________________ of First Union National Bank, one of the</w:t>
      </w:r>
    </w:p>
    <w:p>
      <w:pPr>
        <w:spacing w:after="0" w:line="10" w:lineRule="exact"/>
        <w:rPr>
          <w:sz w:val="20"/>
          <w:szCs w:val="20"/>
          <w:color w:val="auto"/>
        </w:rPr>
      </w:pPr>
    </w:p>
    <w:p>
      <w:pPr>
        <w:jc w:val="both"/>
        <w:ind w:right="3759"/>
        <w:spacing w:after="0" w:line="261" w:lineRule="auto"/>
        <w:rPr>
          <w:sz w:val="20"/>
          <w:szCs w:val="20"/>
          <w:color w:val="auto"/>
        </w:rPr>
      </w:pPr>
      <w:r>
        <w:rPr>
          <w:rFonts w:ascii="Courier New" w:cs="Courier New" w:eastAsia="Courier New" w:hAnsi="Courier New"/>
          <w:sz w:val="14"/>
          <w:szCs w:val="14"/>
          <w:color w:val="auto"/>
        </w:rPr>
        <w:t>parties described in and which executed the foregoing instrument, and that he/she signed his/her name thereto by authority of the Board of Directors.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[Notarial Seal]</w:t>
      </w:r>
    </w:p>
    <w:p>
      <w:pPr>
        <w:spacing w:after="0" w:line="200" w:lineRule="exact"/>
        <w:rPr>
          <w:sz w:val="20"/>
          <w:szCs w:val="20"/>
          <w:color w:val="auto"/>
        </w:rPr>
      </w:pPr>
    </w:p>
    <w:p>
      <w:pPr>
        <w:spacing w:after="0" w:line="30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__________________________</w:t>
      </w:r>
    </w:p>
    <w:p>
      <w:pPr>
        <w:ind w:left="2900"/>
        <w:spacing w:after="0" w:line="237" w:lineRule="auto"/>
        <w:rPr>
          <w:sz w:val="20"/>
          <w:szCs w:val="20"/>
          <w:color w:val="auto"/>
        </w:rPr>
      </w:pPr>
      <w:r>
        <w:rPr>
          <w:rFonts w:ascii="Courier New" w:cs="Courier New" w:eastAsia="Courier New" w:hAnsi="Courier New"/>
          <w:sz w:val="15"/>
          <w:szCs w:val="15"/>
          <w:color w:val="auto"/>
        </w:rPr>
        <w:t>Notary Public</w:t>
      </w:r>
    </w:p>
    <w:p>
      <w:pPr>
        <w:ind w:left="2900"/>
        <w:spacing w:after="0" w:line="238" w:lineRule="auto"/>
        <w:rPr>
          <w:sz w:val="20"/>
          <w:szCs w:val="20"/>
          <w:color w:val="auto"/>
        </w:rPr>
      </w:pPr>
      <w:r>
        <w:rPr>
          <w:rFonts w:ascii="Courier New" w:cs="Courier New" w:eastAsia="Courier New" w:hAnsi="Courier New"/>
          <w:sz w:val="15"/>
          <w:szCs w:val="15"/>
          <w:color w:val="auto"/>
        </w:rPr>
        <w:t>COMMISSION EXPIRES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617" w:right="1440" w:bottom="1440" w:gutter="0" w:footer="0" w:header="0"/>
          <w:type w:val="continuous"/>
        </w:sectPr>
      </w:pPr>
    </w:p>
    <w:bookmarkStart w:id="197" w:name="page198"/>
    <w:bookmarkEnd w:id="197"/>
    <w:p>
      <w:pPr>
        <w:ind w:left="3080"/>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FORMS OF CERTIFICATION</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EXHIBIT A-1</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FORM OF CERTIFICATE TO BE GIVEN BY PERSON ENTITLED</w:t>
      </w:r>
    </w:p>
    <w:p>
      <w:pPr>
        <w:jc w:val="center"/>
        <w:ind w:right="3399"/>
        <w:spacing w:after="0" w:line="237" w:lineRule="auto"/>
        <w:rPr>
          <w:sz w:val="20"/>
          <w:szCs w:val="20"/>
          <w:color w:val="auto"/>
        </w:rPr>
      </w:pPr>
      <w:r>
        <w:rPr>
          <w:rFonts w:ascii="Courier New" w:cs="Courier New" w:eastAsia="Courier New" w:hAnsi="Courier New"/>
          <w:sz w:val="15"/>
          <w:szCs w:val="15"/>
          <w:color w:val="auto"/>
        </w:rPr>
        <w:t>TO RECEIVE BEARER SECURITY OR TO OBTAIN INTEREST</w:t>
      </w:r>
    </w:p>
    <w:p>
      <w:pPr>
        <w:jc w:val="center"/>
        <w:ind w:right="3399"/>
        <w:spacing w:after="0" w:line="238" w:lineRule="auto"/>
        <w:rPr>
          <w:sz w:val="20"/>
          <w:szCs w:val="20"/>
          <w:color w:val="auto"/>
        </w:rPr>
      </w:pPr>
      <w:r>
        <w:rPr>
          <w:rFonts w:ascii="Courier New" w:cs="Courier New" w:eastAsia="Courier New" w:hAnsi="Courier New"/>
          <w:sz w:val="15"/>
          <w:szCs w:val="15"/>
          <w:color w:val="auto"/>
        </w:rPr>
        <w:t>PAYABLE PRIOR TO THE EXCHANGE DATE</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CERTIFICATE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[Insert title or sufficient description of Securities to be delivered]</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 (a) foreign branches of United States financial institutions (financial institutions, as defined in United States Treasury Regulations Section</w:t>
      </w:r>
    </w:p>
    <w:p>
      <w:pPr>
        <w:spacing w:after="0" w:line="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2.165-12(c) (1) (v)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Federal Realty Investment Trust or its agent that such financial institution will comply with the requirements of Section 165(j)</w:t>
      </w:r>
    </w:p>
    <w:p>
      <w:pPr>
        <w:spacing w:after="0" w:line="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(3)(A), (B) or (C) of the United States Internal Revenue Code of 1986, as amended, and the regulations thereunder), or (iii) are owned by United States or foreign financial institution(s) for purposes of resale during the restricted period (as defined in United States Treasury Regulations Section</w:t>
      </w:r>
    </w:p>
    <w:p>
      <w:pPr>
        <w:spacing w:after="0" w:line="7"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75"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As used herein, "United States" means the United States of America (including the States and the District of Columbia); and its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617" w:right="1440" w:bottom="1440" w:gutter="0" w:footer="0" w:header="0"/>
        </w:sectPr>
      </w:pPr>
    </w:p>
    <w:bookmarkStart w:id="198" w:name="page199"/>
    <w:bookmarkEnd w:id="198"/>
    <w:p>
      <w:pPr>
        <w:ind w:right="3759"/>
        <w:spacing w:after="0" w:line="234" w:lineRule="auto"/>
        <w:rPr>
          <w:sz w:val="20"/>
          <w:szCs w:val="20"/>
          <w:color w:val="auto"/>
        </w:rPr>
      </w:pPr>
      <w:r>
        <w:rPr>
          <w:rFonts w:ascii="Courier New" w:cs="Courier New" w:eastAsia="Courier New" w:hAnsi="Courier New"/>
          <w:sz w:val="15"/>
          <w:szCs w:val="15"/>
          <w:color w:val="auto"/>
        </w:rPr>
        <w:t>"possessions" include Puerto Rico, the U.S. Virgin Islands, Guam, American Samoa, Wake Island and the Northern Marina Islands.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We undertake to advise you promptly by tested telex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This certificate excepts and does not relate to (U.S.S.) _____________</w:t>
      </w:r>
    </w:p>
    <w:p>
      <w:pPr>
        <w:spacing w:after="0" w:line="1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74" w:lineRule="exact"/>
        <w:rPr>
          <w:sz w:val="20"/>
          <w:szCs w:val="20"/>
          <w:color w:val="auto"/>
        </w:rPr>
      </w:pPr>
    </w:p>
    <w:p>
      <w:pPr>
        <w:ind w:right="3239" w:firstLine="875"/>
        <w:spacing w:after="0" w:line="256" w:lineRule="auto"/>
        <w:rPr>
          <w:sz w:val="20"/>
          <w:szCs w:val="20"/>
          <w:color w:val="auto"/>
        </w:rPr>
      </w:pPr>
      <w:r>
        <w:rPr>
          <w:rFonts w:ascii="Courier New" w:cs="Courier New" w:eastAsia="Courier New" w:hAnsi="Courier New"/>
          <w:sz w:val="14"/>
          <w:szCs w:val="14"/>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_______________________, 19____</w:t>
      </w:r>
    </w:p>
    <w:p>
      <w:pPr>
        <w:spacing w:after="0" w:line="237" w:lineRule="auto"/>
        <w:rPr>
          <w:sz w:val="20"/>
          <w:szCs w:val="20"/>
          <w:color w:val="auto"/>
        </w:rPr>
      </w:pPr>
      <w:r>
        <w:rPr>
          <w:rFonts w:ascii="Courier New" w:cs="Courier New" w:eastAsia="Courier New" w:hAnsi="Courier New"/>
          <w:sz w:val="15"/>
          <w:szCs w:val="15"/>
          <w:color w:val="auto"/>
        </w:rPr>
        <w:t>[To be dated no earlier than the 15th day prior</w:t>
      </w:r>
    </w:p>
    <w:p>
      <w:pPr>
        <w:spacing w:after="0" w:line="238" w:lineRule="auto"/>
        <w:rPr>
          <w:sz w:val="20"/>
          <w:szCs w:val="20"/>
          <w:color w:val="auto"/>
        </w:rPr>
      </w:pPr>
      <w:r>
        <w:rPr>
          <w:rFonts w:ascii="Courier New" w:cs="Courier New" w:eastAsia="Courier New" w:hAnsi="Courier New"/>
          <w:sz w:val="15"/>
          <w:szCs w:val="15"/>
          <w:color w:val="auto"/>
        </w:rPr>
        <w:t>to (i) the Exchange Date or (ii) the relevant</w:t>
      </w:r>
    </w:p>
    <w:p>
      <w:pPr>
        <w:spacing w:after="0" w:line="237" w:lineRule="auto"/>
        <w:rPr>
          <w:sz w:val="20"/>
          <w:szCs w:val="20"/>
          <w:color w:val="auto"/>
        </w:rPr>
      </w:pPr>
      <w:r>
        <w:rPr>
          <w:rFonts w:ascii="Courier New" w:cs="Courier New" w:eastAsia="Courier New" w:hAnsi="Courier New"/>
          <w:sz w:val="15"/>
          <w:szCs w:val="15"/>
          <w:color w:val="auto"/>
        </w:rPr>
        <w:t>Interest Payment Date occurring prior to the</w:t>
      </w:r>
    </w:p>
    <w:p>
      <w:pPr>
        <w:spacing w:after="0" w:line="238" w:lineRule="auto"/>
        <w:rPr>
          <w:sz w:val="20"/>
          <w:szCs w:val="20"/>
          <w:color w:val="auto"/>
        </w:rPr>
      </w:pPr>
      <w:r>
        <w:rPr>
          <w:rFonts w:ascii="Courier New" w:cs="Courier New" w:eastAsia="Courier New" w:hAnsi="Courier New"/>
          <w:sz w:val="15"/>
          <w:szCs w:val="15"/>
          <w:color w:val="auto"/>
        </w:rPr>
        <w:t>Exchange Date, as applicable]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[Name of Person Making Certification]</w:t>
      </w:r>
    </w:p>
    <w:p>
      <w:pPr>
        <w:spacing w:after="0" w:line="200" w:lineRule="exact"/>
        <w:rPr>
          <w:sz w:val="20"/>
          <w:szCs w:val="20"/>
          <w:color w:val="auto"/>
        </w:rPr>
      </w:pPr>
    </w:p>
    <w:p>
      <w:pPr>
        <w:spacing w:after="0" w:line="309"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[Authorized Signator]</w:t>
      </w:r>
    </w:p>
    <w:p>
      <w:pPr>
        <w:ind w:left="3780"/>
        <w:spacing w:after="0" w:line="237" w:lineRule="auto"/>
        <w:rPr>
          <w:sz w:val="20"/>
          <w:szCs w:val="20"/>
          <w:color w:val="auto"/>
        </w:rPr>
      </w:pPr>
      <w:r>
        <w:rPr>
          <w:rFonts w:ascii="Courier New" w:cs="Courier New" w:eastAsia="Courier New" w:hAnsi="Courier New"/>
          <w:sz w:val="15"/>
          <w:szCs w:val="15"/>
          <w:color w:val="auto"/>
        </w:rPr>
        <w:t>Name:</w:t>
      </w:r>
    </w:p>
    <w:p>
      <w:pPr>
        <w:ind w:left="378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624" w:right="1440" w:bottom="1440" w:gutter="0" w:footer="0" w:header="0"/>
        </w:sectPr>
      </w:pPr>
    </w:p>
    <w:bookmarkStart w:id="199" w:name="page200"/>
    <w:bookmarkEnd w:id="199"/>
    <w:p>
      <w:pPr>
        <w:jc w:val="right"/>
        <w:ind w:right="3239"/>
        <w:spacing w:after="0"/>
        <w:rPr>
          <w:sz w:val="20"/>
          <w:szCs w:val="20"/>
          <w:color w:val="auto"/>
        </w:rPr>
      </w:pPr>
      <w:r>
        <w:rPr>
          <w:rFonts w:ascii="Courier New" w:cs="Courier New" w:eastAsia="Courier New" w:hAnsi="Courier New"/>
          <w:sz w:val="15"/>
          <w:szCs w:val="15"/>
          <w:color w:val="auto"/>
        </w:rPr>
        <w:t>Exhibit (4) (c)</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[Form of Fixed Rate Redeemable or Non-Redeemable</w:t>
      </w:r>
    </w:p>
    <w:p>
      <w:pPr>
        <w:jc w:val="center"/>
        <w:ind w:right="3399"/>
        <w:spacing w:after="0" w:line="237" w:lineRule="auto"/>
        <w:rPr>
          <w:sz w:val="20"/>
          <w:szCs w:val="20"/>
          <w:color w:val="auto"/>
        </w:rPr>
      </w:pPr>
      <w:r>
        <w:rPr>
          <w:rFonts w:ascii="Courier New" w:cs="Courier New" w:eastAsia="Courier New" w:hAnsi="Courier New"/>
          <w:sz w:val="15"/>
          <w:szCs w:val="15"/>
          <w:color w:val="auto"/>
        </w:rPr>
        <w:t>Senior Security]</w:t>
      </w:r>
    </w:p>
    <w:p>
      <w:pPr>
        <w:spacing w:after="0" w:line="173"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If the Holder of this Note (as indicated below) is The Depository Trust Company (the "Depository") or a nominee of the Depository, this Note is a Global Security and the following two legends apply:</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Unless this Note is presented by an authorized representative of The Depository Trust Company (55 Water Street, New York, New York)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[Face of Security]</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___% Note due ___</w:t>
      </w:r>
    </w:p>
    <w:p>
      <w:pPr>
        <w:sectPr>
          <w:pgSz w:w="11900" w:h="16838" w:orient="portrait"/>
          <w:cols w:equalWidth="0" w:num="1">
            <w:col w:w="10239"/>
          </w:cols>
          <w:pgMar w:left="220" w:top="47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__________</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78" w:lineRule="exact"/>
        <w:rPr>
          <w:sz w:val="20"/>
          <w:szCs w:val="20"/>
          <w:color w:val="auto"/>
        </w:rPr>
      </w:pPr>
    </w:p>
    <w:p>
      <w:pPr>
        <w:sectPr>
          <w:pgSz w:w="11900" w:h="16838" w:orient="portrait"/>
          <w:cols w:equalWidth="0" w:num="2">
            <w:col w:w="5320" w:space="720"/>
            <w:col w:w="4199"/>
          </w:cols>
          <w:pgMar w:left="220" w:top="471" w:right="1440" w:bottom="1440" w:gutter="0" w:footer="0" w:header="0"/>
          <w:type w:val="continuous"/>
        </w:sectPr>
      </w:pPr>
    </w:p>
    <w:p>
      <w:pPr>
        <w:ind w:right="3239" w:firstLine="875"/>
        <w:spacing w:after="0" w:line="254" w:lineRule="auto"/>
        <w:rPr>
          <w:sz w:val="20"/>
          <w:szCs w:val="20"/>
          <w:color w:val="auto"/>
        </w:rPr>
      </w:pPr>
      <w:r>
        <w:rPr>
          <w:rFonts w:ascii="Courier New" w:cs="Courier New" w:eastAsia="Courier New" w:hAnsi="Courier New"/>
          <w:sz w:val="14"/>
          <w:szCs w:val="14"/>
          <w:color w:val="auto"/>
        </w:rPr>
        <w:t>FEDERAL REALTY INVESTMENT TRUST, a District of Columbia business trust (herein referred to as the "Company", which term includes any successor corporation under the Indenture referred to on the reverse hereof), for value received, hereby promises to pay to ________________________________________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assigns the principal sum of _______________ Dollars on _____________</w:t>
      </w:r>
    </w:p>
    <w:p>
      <w:pPr>
        <w:spacing w:after="0" w:line="10"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(the "Stated Maturity Date") [or date fixed for earlier redemption (the "Redemption Date", and together with the Stated Maturity Date with respect to principal repayable on such date, the "Maturity Date)], and to pay interest thereon from _____________ or from the most recent Interest Payment Date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interest has been paid or duly provided for, semi-annually on 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 and ____________ in each year (each, an "Interest Payment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commencing ______________, at the rate of _____% per annum, until the principal</w:t>
      </w:r>
    </w:p>
    <w:p>
      <w:pPr>
        <w:spacing w:after="0" w:line="10"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the ____ or ____ (whether or not a</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Business Day), as the case may be, next preceding such Interest Payment Date [at the office or agency of the Company maintained for such purpose; provided, however,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w:t>
      </w:r>
    </w:p>
    <w:p>
      <w:pPr>
        <w:sectPr>
          <w:pgSz w:w="11900" w:h="16838" w:orient="portrait"/>
          <w:cols w:equalWidth="0" w:num="1">
            <w:col w:w="10239"/>
          </w:cols>
          <w:pgMar w:left="220" w:top="471" w:right="1440" w:bottom="1440" w:gutter="0" w:footer="0" w:header="0"/>
          <w:type w:val="continuous"/>
        </w:sectPr>
      </w:pPr>
    </w:p>
    <w:bookmarkStart w:id="200" w:name="page201"/>
    <w:bookmarkEnd w:id="200"/>
    <w:p>
      <w:pPr>
        <w:spacing w:after="0"/>
        <w:rPr>
          <w:sz w:val="20"/>
          <w:szCs w:val="20"/>
          <w:color w:val="auto"/>
        </w:rPr>
      </w:pPr>
      <w:r>
        <w:rPr>
          <w:rFonts w:ascii="Courier New" w:cs="Courier New" w:eastAsia="Courier New" w:hAnsi="Courier New"/>
          <w:sz w:val="15"/>
          <w:szCs w:val="15"/>
          <w:color w:val="auto"/>
        </w:rPr>
        <w:t>of twelve 30-day months.</w:t>
      </w:r>
    </w:p>
    <w:p>
      <w:pPr>
        <w:spacing w:after="0" w:line="173" w:lineRule="exact"/>
        <w:rPr>
          <w:sz w:val="20"/>
          <w:szCs w:val="20"/>
          <w:color w:val="auto"/>
        </w:rPr>
      </w:pPr>
    </w:p>
    <w:p>
      <w:pPr>
        <w:ind w:right="3579" w:firstLine="875"/>
        <w:spacing w:after="0" w:line="258" w:lineRule="auto"/>
        <w:rPr>
          <w:sz w:val="20"/>
          <w:szCs w:val="20"/>
          <w:color w:val="auto"/>
        </w:rPr>
      </w:pPr>
      <w:r>
        <w:rPr>
          <w:rFonts w:ascii="Courier New" w:cs="Courier New" w:eastAsia="Courier New" w:hAnsi="Courier New"/>
          <w:sz w:val="14"/>
          <w:szCs w:val="14"/>
          <w:color w:val="auto"/>
        </w:rPr>
        <w:t>The principal of this Note payable on the Stated Maturity Date [or the principal of, premium, if any, and , if the Redemption Date is not an Interest Payment Date, interest on this Note payable on the Redemption Date]</w:t>
      </w:r>
    </w:p>
    <w:p>
      <w:pPr>
        <w:spacing w:after="0" w:line="16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Interest payable on this Note on any Interest Payment Date and on the [Stated] Maturity Date [or Redemption Date], as the case may be, will include interest accrued from and including the next preceding Interest Payment Date in respect of which interest has been paid or duly provided for (or from and including ____________, if no interest has been paid on this Note) to but</w:t>
      </w:r>
    </w:p>
    <w:p>
      <w:pPr>
        <w:spacing w:after="0" w:line="2"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excluding such Interest Payment Date or the [Stated] Maturity Date [or Redemption Date], as the case may be. If any Interest Payment or the [Stated] Maturity Date [or Redemption Date] falls on a day that is not a Business Day, as defined below, principal, premium,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on which banks in the City of New York are not required or authorized by law or executive order to close.</w:t>
      </w:r>
    </w:p>
    <w:p>
      <w:pPr>
        <w:spacing w:after="0" w:line="17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[If this Note is a Global Security, insert -- All payments of principal, premium, if any, and interest in respect of this Note will be made by the Company in immediately available funds.]</w:t>
      </w:r>
    </w:p>
    <w:p>
      <w:pPr>
        <w:spacing w:after="0" w:line="174"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Reference is hereby made to the further provisions of this Note set forth on the reverse hereof, which further provisions shall for all purposes have the same effect as if set forth at this place.</w:t>
      </w:r>
    </w:p>
    <w:p>
      <w:pPr>
        <w:spacing w:after="0" w:line="174"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75" w:lineRule="exact"/>
        <w:rPr>
          <w:sz w:val="20"/>
          <w:szCs w:val="20"/>
          <w:color w:val="auto"/>
        </w:rPr>
      </w:pPr>
    </w:p>
    <w:p>
      <w:pPr>
        <w:ind w:right="3319" w:firstLine="875"/>
        <w:spacing w:after="0" w:line="234" w:lineRule="auto"/>
        <w:rPr>
          <w:sz w:val="20"/>
          <w:szCs w:val="20"/>
          <w:color w:val="auto"/>
        </w:rPr>
      </w:pPr>
      <w:r>
        <w:rPr>
          <w:rFonts w:ascii="Courier New" w:cs="Courier New" w:eastAsia="Courier New" w:hAnsi="Courier New"/>
          <w:sz w:val="15"/>
          <w:szCs w:val="15"/>
          <w:color w:val="auto"/>
        </w:rPr>
        <w:t>IN WITNESS WHEREOF, the Company has caused this instrument to be duly executed under its facsimile corporate seal.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___________________________</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w:t>
      </w:r>
    </w:p>
    <w:p>
      <w:pPr>
        <w:ind w:left="44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This is one of the Notes of the series designated therein referred to in the within-mentioned Indenture.</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FIRST UNION NATIONAL BANK</w:t>
      </w:r>
    </w:p>
    <w:p>
      <w:pPr>
        <w:sectPr>
          <w:pgSz w:w="11900" w:h="16838" w:orient="portrait"/>
          <w:cols w:equalWidth="0" w:num="1">
            <w:col w:w="10239"/>
          </w:cols>
          <w:pgMar w:left="220" w:top="617" w:right="1440" w:bottom="1440" w:gutter="0" w:footer="0" w:header="0"/>
        </w:sectPr>
      </w:pPr>
    </w:p>
    <w:bookmarkStart w:id="201" w:name="page202"/>
    <w:bookmarkEnd w:id="201"/>
    <w:p>
      <w:pPr>
        <w:ind w:left="2980"/>
        <w:spacing w:after="0"/>
        <w:rPr>
          <w:sz w:val="20"/>
          <w:szCs w:val="20"/>
          <w:color w:val="auto"/>
        </w:rPr>
      </w:pPr>
      <w:r>
        <w:rPr>
          <w:rFonts w:ascii="Courier New" w:cs="Courier New" w:eastAsia="Courier New" w:hAnsi="Courier New"/>
          <w:sz w:val="15"/>
          <w:szCs w:val="15"/>
          <w:color w:val="auto"/>
        </w:rPr>
        <w:t>____________________________,</w:t>
      </w:r>
    </w:p>
    <w:p>
      <w:pPr>
        <w:ind w:left="3500"/>
        <w:spacing w:after="0" w:line="237" w:lineRule="auto"/>
        <w:rPr>
          <w:sz w:val="20"/>
          <w:szCs w:val="20"/>
          <w:color w:val="auto"/>
        </w:rPr>
      </w:pPr>
      <w:r>
        <w:rPr>
          <w:rFonts w:ascii="Courier New" w:cs="Courier New" w:eastAsia="Courier New" w:hAnsi="Courier New"/>
          <w:sz w:val="15"/>
          <w:szCs w:val="15"/>
          <w:color w:val="auto"/>
        </w:rPr>
        <w:t>as Trustee</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By:_________________________</w:t>
      </w:r>
    </w:p>
    <w:p>
      <w:pPr>
        <w:ind w:left="3500"/>
        <w:spacing w:after="0" w:line="237" w:lineRule="auto"/>
        <w:rPr>
          <w:sz w:val="20"/>
          <w:szCs w:val="20"/>
          <w:color w:val="auto"/>
        </w:rPr>
      </w:pPr>
      <w:r>
        <w:rPr>
          <w:rFonts w:ascii="Courier New" w:cs="Courier New" w:eastAsia="Courier New" w:hAnsi="Courier New"/>
          <w:sz w:val="15"/>
          <w:szCs w:val="15"/>
          <w:color w:val="auto"/>
        </w:rPr>
        <w:t>Authorized Signatory</w:t>
      </w:r>
    </w:p>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[Reverse of Security]</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___% Note due _____</w:t>
      </w:r>
    </w:p>
    <w:p>
      <w:pPr>
        <w:spacing w:after="0" w:line="173"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This Note is one of a duly authorized issue of securities of the Company (herein called the "Securities"), issued and to be issued in one or more series under an Indenture, dated as of __________ September ____, 1998 (herein</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called the "Indenture" between the Company and First Union National Bank,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"___% Notes due _____" (collectively, the "Notes"), and</w:t>
      </w:r>
    </w:p>
    <w:p>
      <w:pPr>
        <w:spacing w:after="0" w:line="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aggregate principal amount of the Notes to be issued under such series is limited to $________ (except for Notes authenticated and delivered upon transfer</w:t>
      </w:r>
    </w:p>
    <w:p>
      <w:pPr>
        <w:spacing w:after="0" w:line="1"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of, or in exchange for, or in lieu of other Notes). All terms used in this Note which are defined in the Indenture shall have the meanings assigned to them in the Indenture.</w:t>
      </w:r>
    </w:p>
    <w:p>
      <w:pPr>
        <w:spacing w:after="0" w:line="174" w:lineRule="exact"/>
        <w:rPr>
          <w:sz w:val="20"/>
          <w:szCs w:val="20"/>
          <w:color w:val="auto"/>
        </w:rPr>
      </w:pPr>
    </w:p>
    <w:p>
      <w:pPr>
        <w:jc w:val="both"/>
        <w:ind w:right="3399" w:firstLine="875"/>
        <w:spacing w:after="0" w:line="258" w:lineRule="auto"/>
        <w:rPr>
          <w:sz w:val="20"/>
          <w:szCs w:val="20"/>
          <w:color w:val="auto"/>
        </w:rPr>
      </w:pPr>
      <w:r>
        <w:rPr>
          <w:rFonts w:ascii="Courier New" w:cs="Courier New" w:eastAsia="Courier New" w:hAnsi="Courier New"/>
          <w:sz w:val="14"/>
          <w:szCs w:val="14"/>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61"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[If applicable, insert -- The Notes may not be redeemed prior to the Stated Maturity Date.]</w:t>
      </w:r>
    </w:p>
    <w:p>
      <w:pPr>
        <w:spacing w:after="0" w:line="341"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[If applicable, insert -- The Notes are subject to redemption [(1)] [If applicable, insert -- on __________ in any year commencing with the year ____</w:t>
      </w:r>
    </w:p>
    <w:p>
      <w:pPr>
        <w:spacing w:after="0" w:line="231" w:lineRule="auto"/>
        <w:rPr>
          <w:sz w:val="20"/>
          <w:szCs w:val="20"/>
          <w:color w:val="auto"/>
        </w:rPr>
      </w:pPr>
      <w:r>
        <w:rPr>
          <w:rFonts w:ascii="Courier New" w:cs="Courier New" w:eastAsia="Courier New" w:hAnsi="Courier New"/>
          <w:sz w:val="15"/>
          <w:szCs w:val="15"/>
          <w:color w:val="auto"/>
        </w:rPr>
        <w:t>and ending with the year ____ through operation of the sinking fund for this</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series at a Redemption Price equal to 100% of the principal amount, [and] [(2)] [If applicable, insert -- at any time [on or after _________], as a whole or in</w:t>
      </w:r>
    </w:p>
    <w:p>
      <w:pPr>
        <w:spacing w:after="0" w:line="1" w:lineRule="exact"/>
        <w:rPr>
          <w:sz w:val="20"/>
          <w:szCs w:val="20"/>
          <w:color w:val="auto"/>
        </w:rPr>
      </w:pPr>
    </w:p>
    <w:p>
      <w:pPr>
        <w:ind w:right="3579"/>
        <w:spacing w:after="0" w:line="254" w:lineRule="auto"/>
        <w:rPr>
          <w:sz w:val="20"/>
          <w:szCs w:val="20"/>
          <w:color w:val="auto"/>
        </w:rPr>
      </w:pPr>
      <w:r>
        <w:rPr>
          <w:rFonts w:ascii="Courier New" w:cs="Courier New" w:eastAsia="Courier New" w:hAnsi="Courier New"/>
          <w:sz w:val="14"/>
          <w:szCs w:val="14"/>
          <w:color w:val="auto"/>
        </w:rPr>
        <w:t>part, at the election of the Company, at the following Redemption Prices (expressed as percentages of the principal amount): If redeemed on or before</w:t>
      </w:r>
    </w:p>
    <w:p>
      <w:pPr>
        <w:spacing w:after="0" w:line="231" w:lineRule="auto"/>
        <w:rPr>
          <w:sz w:val="20"/>
          <w:szCs w:val="20"/>
          <w:color w:val="auto"/>
        </w:rPr>
      </w:pPr>
      <w:r>
        <w:rPr>
          <w:rFonts w:ascii="Courier New" w:cs="Courier New" w:eastAsia="Courier New" w:hAnsi="Courier New"/>
          <w:sz w:val="15"/>
          <w:szCs w:val="15"/>
          <w:color w:val="auto"/>
        </w:rPr>
        <w:t>__________, ____%, and if redeemed] during the 12-month period beginning</w:t>
      </w:r>
    </w:p>
    <w:p>
      <w:pPr>
        <w:spacing w:after="0" w:line="238" w:lineRule="auto"/>
        <w:rPr>
          <w:sz w:val="20"/>
          <w:szCs w:val="20"/>
          <w:color w:val="auto"/>
        </w:rPr>
      </w:pPr>
      <w:r>
        <w:rPr>
          <w:rFonts w:ascii="Courier New" w:cs="Courier New" w:eastAsia="Courier New" w:hAnsi="Courier New"/>
          <w:sz w:val="15"/>
          <w:szCs w:val="15"/>
          <w:color w:val="auto"/>
        </w:rPr>
        <w:t>________ of the years indicated.</w:t>
      </w:r>
    </w:p>
    <w:p>
      <w:pPr>
        <w:sectPr>
          <w:pgSz w:w="11900" w:h="16838" w:orient="portrait"/>
          <w:cols w:equalWidth="0" w:num="1">
            <w:col w:w="10239"/>
          </w:cols>
          <w:pgMar w:left="220" w:top="617"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Price</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Year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Price</w:t>
      </w:r>
    </w:p>
    <w:p>
      <w:pPr>
        <w:spacing w:after="0" w:line="200" w:lineRule="exact"/>
        <w:rPr>
          <w:sz w:val="20"/>
          <w:szCs w:val="20"/>
          <w:color w:val="auto"/>
        </w:rPr>
      </w:pPr>
    </w:p>
    <w:p>
      <w:pPr>
        <w:sectPr>
          <w:pgSz w:w="11900" w:h="16838" w:orient="portrait"/>
          <w:cols w:equalWidth="0" w:num="4">
            <w:col w:w="360" w:space="700"/>
            <w:col w:w="940" w:space="720"/>
            <w:col w:w="420" w:space="720"/>
            <w:col w:w="6379"/>
          </w:cols>
          <w:pgMar w:left="220" w:top="617"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thereafter at a Redemption Price equal to ____% of the principal amount,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together in the case of any such redemption [If applicable, insert -- (whether through operation of the sinking fund or otherwise)] with accrued interest to the Redemption Date; provided, however, that installments of interest on this Note whose Stated Maturity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[If applicable, insert -- The Notes are subject to redemption (1)</w:t>
      </w:r>
    </w:p>
    <w:p>
      <w:pPr>
        <w:sectPr>
          <w:pgSz w:w="11900" w:h="16838" w:orient="portrait"/>
          <w:cols w:equalWidth="0" w:num="1">
            <w:col w:w="10239"/>
          </w:cols>
          <w:pgMar w:left="220" w:top="617" w:right="1440" w:bottom="1440" w:gutter="0" w:footer="0" w:header="0"/>
          <w:type w:val="continuous"/>
        </w:sectPr>
      </w:pPr>
    </w:p>
    <w:bookmarkStart w:id="202" w:name="page203"/>
    <w:bookmarkEnd w:id="202"/>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on ______ in</w:t>
            </w: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w w:val="98"/>
              </w:rPr>
              <w:t>any year commencing with the year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____</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w w:val="96"/>
              </w:rPr>
              <w:t>and ending with the year</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____ through</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operation of the sinking fund for</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this</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series at the Redemption</w:t>
            </w:r>
          </w:p>
        </w:tc>
      </w:tr>
      <w:tr>
        <w:trPr>
          <w:trHeight w:val="168"/>
        </w:trPr>
        <w:tc>
          <w:tcPr>
            <w:tcW w:w="4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Prices for redemption through operation of the</w:t>
            </w:r>
          </w:p>
        </w:tc>
        <w:tc>
          <w:tcPr>
            <w:tcW w:w="2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sinking fund (expressed as</w:t>
            </w:r>
          </w:p>
        </w:tc>
      </w:tr>
    </w:tbl>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percentages of the principal amount) set forth in the table below, and (2) at any time [on or after _________], as a whole or in part, at the election of the</w:t>
      </w:r>
    </w:p>
    <w:p>
      <w:pPr>
        <w:spacing w:after="0" w:line="1" w:lineRule="exact"/>
        <w:rPr>
          <w:sz w:val="20"/>
          <w:szCs w:val="20"/>
          <w:color w:val="auto"/>
        </w:rPr>
      </w:pPr>
    </w:p>
    <w:p>
      <w:pPr>
        <w:ind w:right="3239"/>
        <w:spacing w:after="0" w:line="636" w:lineRule="auto"/>
        <w:rPr>
          <w:sz w:val="20"/>
          <w:szCs w:val="20"/>
          <w:color w:val="auto"/>
        </w:rPr>
      </w:pPr>
      <w:r>
        <w:rPr>
          <w:rFonts w:ascii="Courier New" w:cs="Courier New" w:eastAsia="Courier New" w:hAnsi="Courier New"/>
          <w:sz w:val="14"/>
          <w:szCs w:val="14"/>
          <w:color w:val="auto"/>
        </w:rPr>
        <w:t>Company, at the Redemption Prices for redemption otherwise than through operation of the sinking fund (expressed as percentages of the principal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set forth in the table below: If redeemed during the 12-month period beginning ________ of the years indicated,</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Price</w:t>
      </w:r>
    </w:p>
    <w:p>
      <w:pPr>
        <w:ind w:left="80"/>
        <w:spacing w:after="0" w:line="237" w:lineRule="auto"/>
        <w:rPr>
          <w:sz w:val="20"/>
          <w:szCs w:val="20"/>
          <w:color w:val="auto"/>
        </w:rPr>
      </w:pPr>
      <w:r>
        <w:rPr>
          <w:rFonts w:ascii="Courier New" w:cs="Courier New" w:eastAsia="Courier New" w:hAnsi="Courier New"/>
          <w:sz w:val="15"/>
          <w:szCs w:val="15"/>
          <w:color w:val="auto"/>
        </w:rPr>
        <w:t>for Redemption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 Operation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 the</w:t>
      </w:r>
    </w:p>
    <w:p>
      <w:pPr>
        <w:ind w:left="80"/>
        <w:spacing w:after="0" w:line="237" w:lineRule="auto"/>
        <w:rPr>
          <w:sz w:val="20"/>
          <w:szCs w:val="20"/>
          <w:color w:val="auto"/>
        </w:rPr>
      </w:pPr>
      <w:r>
        <w:rPr>
          <w:rFonts w:ascii="Courier New" w:cs="Courier New" w:eastAsia="Courier New" w:hAnsi="Courier New"/>
          <w:sz w:val="15"/>
          <w:szCs w:val="15"/>
          <w:color w:val="auto"/>
        </w:rPr>
        <w:t>Sinking Fund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Price for</w:t>
      </w:r>
    </w:p>
    <w:p>
      <w:pPr>
        <w:spacing w:after="0" w:line="237" w:lineRule="auto"/>
        <w:rPr>
          <w:sz w:val="20"/>
          <w:szCs w:val="20"/>
          <w:color w:val="auto"/>
        </w:rPr>
      </w:pPr>
      <w:r>
        <w:rPr>
          <w:rFonts w:ascii="Courier New" w:cs="Courier New" w:eastAsia="Courier New" w:hAnsi="Courier New"/>
          <w:sz w:val="15"/>
          <w:szCs w:val="15"/>
          <w:color w:val="auto"/>
        </w:rPr>
        <w:t>Redemption Otherwise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Through Operation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Sinking Fund</w:t>
      </w:r>
    </w:p>
    <w:p>
      <w:pPr>
        <w:spacing w:after="0" w:line="200" w:lineRule="exact"/>
        <w:rPr>
          <w:sz w:val="20"/>
          <w:szCs w:val="20"/>
          <w:color w:val="auto"/>
        </w:rPr>
      </w:pPr>
    </w:p>
    <w:p>
      <w:pPr>
        <w:sectPr>
          <w:pgSz w:w="11900" w:h="16838" w:orient="portrait"/>
          <w:cols w:equalWidth="0" w:num="3">
            <w:col w:w="600" w:space="720"/>
            <w:col w:w="1820" w:space="720"/>
            <w:col w:w="6379"/>
          </w:cols>
          <w:pgMar w:left="220" w:top="617" w:right="1440" w:bottom="1440" w:gutter="0" w:footer="0" w:header="0"/>
          <w:type w:val="continuous"/>
        </w:sectPr>
      </w:pPr>
    </w:p>
    <w:p>
      <w:pPr>
        <w:spacing w:after="0" w:line="1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and thereafter at a Redemption Price equal to ___% of the principal amount, together in the case of any such redemption (whether through operation of the sinking fund or otherwise) with accrued interest to the Redemption Date; provided, however, that installments of interest on this Note whose Stated Maturity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[Notwithstanding the foregoing, the Company may not, prior to</w:t>
      </w:r>
    </w:p>
    <w:p>
      <w:pPr>
        <w:spacing w:after="0" w:line="237" w:lineRule="auto"/>
        <w:rPr>
          <w:sz w:val="20"/>
          <w:szCs w:val="20"/>
          <w:color w:val="auto"/>
        </w:rPr>
      </w:pPr>
      <w:r>
        <w:rPr>
          <w:rFonts w:ascii="Courier New" w:cs="Courier New" w:eastAsia="Courier New" w:hAnsi="Courier New"/>
          <w:sz w:val="15"/>
          <w:szCs w:val="15"/>
          <w:color w:val="auto"/>
        </w:rPr>
        <w:t>________, redeem any Notes as contemplated by [Clause (2) of] the preceding</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paragraph as a part of, or in anticipation of, any refunding operation by the application, directly or indirectly, of moneys borrowed having an interest cost to the Company (calculated in accordance with generally accepted financial practice) of less than ___% per annum.]</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[The sinking fund for the Notes provides for the redemption on 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each year, beginning with the year ____ and ending with the year ___,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less than] $_______ [("mandatory sinking fund") and not more than $_______]</w:t>
      </w:r>
    </w:p>
    <w:p>
      <w:pPr>
        <w:spacing w:after="0" w:line="1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aggregate principal amount of the Notes. [The Notes acquired or redeemed by the Company otherwise than through [mandatory] sinking fund payments may be credited against subsequent [mandatory] sinking fund payments otherwise required to be made in the [describe order] order in which they become due.]]</w:t>
      </w:r>
    </w:p>
    <w:p>
      <w:pPr>
        <w:spacing w:after="0" w:line="175"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[Notice of redemption will be given by mail to Holders of Securities, not less than 30 nor more than 60 days prior to the Redemption Date, all as provided in the Indenture.]</w:t>
      </w:r>
    </w:p>
    <w:p>
      <w:pPr>
        <w:spacing w:after="0" w:line="174"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[In the event of redemption of this Note in part only, a new Note or Notes for the unredeemed portion hereof shall be issued in the name of the Holder hereof upon the cancellation hereof.]</w:t>
      </w:r>
    </w:p>
    <w:p>
      <w:pPr>
        <w:spacing w:after="0" w:line="174" w:lineRule="exact"/>
        <w:rPr>
          <w:sz w:val="20"/>
          <w:szCs w:val="20"/>
          <w:color w:val="auto"/>
        </w:rPr>
      </w:pPr>
    </w:p>
    <w:p>
      <w:pPr>
        <w:ind w:right="3319" w:firstLine="875"/>
        <w:spacing w:after="0" w:line="234" w:lineRule="auto"/>
        <w:rPr>
          <w:sz w:val="20"/>
          <w:szCs w:val="20"/>
          <w:color w:val="auto"/>
        </w:rPr>
      </w:pPr>
      <w:r>
        <w:rPr>
          <w:rFonts w:ascii="Courier New" w:cs="Courier New" w:eastAsia="Courier New" w:hAnsi="Courier New"/>
          <w:sz w:val="15"/>
          <w:szCs w:val="15"/>
          <w:color w:val="auto"/>
        </w:rPr>
        <w:t>[If applicable, insert conversions conversion provisions set forth in any Board Resolution or indenture supplemental to the Indenture.]</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w:t>
      </w:r>
    </w:p>
    <w:p>
      <w:pPr>
        <w:sectPr>
          <w:pgSz w:w="11900" w:h="16838" w:orient="portrait"/>
          <w:cols w:equalWidth="0" w:num="1">
            <w:col w:w="10239"/>
          </w:cols>
          <w:pgMar w:left="220" w:top="617" w:right="1440" w:bottom="1440" w:gutter="0" w:footer="0" w:header="0"/>
          <w:type w:val="continuous"/>
        </w:sectPr>
      </w:pPr>
    </w:p>
    <w:bookmarkStart w:id="203" w:name="page204"/>
    <w:bookmarkEnd w:id="203"/>
    <w:p>
      <w:pPr>
        <w:ind w:right="3319"/>
        <w:spacing w:after="0" w:line="236" w:lineRule="auto"/>
        <w:rPr>
          <w:sz w:val="20"/>
          <w:szCs w:val="20"/>
          <w:color w:val="auto"/>
        </w:rPr>
      </w:pPr>
      <w:r>
        <w:rPr>
          <w:rFonts w:ascii="Courier New" w:cs="Courier New" w:eastAsia="Courier New" w:hAnsi="Courier New"/>
          <w:sz w:val="15"/>
          <w:szCs w:val="15"/>
          <w:color w:val="auto"/>
        </w:rPr>
        <w:t>their consequences. Any such consent or waiver by the Holder of this Note shall be conclusive and binding upon such Holder and upon all future Holders of this Note and other Notes issued upon the registration of transfer hereof or in exchange herefor hereof or in lieu hereof, whether or not notation of such consent or waiver is made upon this Note.</w:t>
      </w:r>
    </w:p>
    <w:p>
      <w:pPr>
        <w:spacing w:after="0" w:line="174"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74"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65"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74"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The Securities of this series are issuable only in registered form without coupons in denominations of $______________ and any integral multiple thereof.</w:t>
      </w:r>
    </w:p>
    <w:p>
      <w:pPr>
        <w:spacing w:after="0" w:line="174" w:lineRule="exact"/>
        <w:rPr>
          <w:sz w:val="20"/>
          <w:szCs w:val="20"/>
          <w:color w:val="auto"/>
        </w:rPr>
      </w:pPr>
    </w:p>
    <w:p>
      <w:pPr>
        <w:ind w:right="3319" w:firstLine="875"/>
        <w:spacing w:after="0" w:line="258" w:lineRule="auto"/>
        <w:rPr>
          <w:sz w:val="20"/>
          <w:szCs w:val="20"/>
          <w:color w:val="auto"/>
        </w:rPr>
      </w:pPr>
      <w:r>
        <w:rPr>
          <w:rFonts w:ascii="Courier New" w:cs="Courier New" w:eastAsia="Courier New" w:hAnsi="Courier New"/>
          <w:sz w:val="14"/>
          <w:szCs w:val="14"/>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1" w:lineRule="exact"/>
        <w:rPr>
          <w:sz w:val="20"/>
          <w:szCs w:val="20"/>
          <w:color w:val="auto"/>
        </w:rPr>
      </w:pPr>
    </w:p>
    <w:p>
      <w:pPr>
        <w:ind w:right="3399" w:firstLine="875"/>
        <w:spacing w:after="0" w:line="256" w:lineRule="auto"/>
        <w:rPr>
          <w:sz w:val="20"/>
          <w:szCs w:val="20"/>
          <w:color w:val="auto"/>
        </w:rPr>
      </w:pPr>
      <w:r>
        <w:rPr>
          <w:rFonts w:ascii="Courier New" w:cs="Courier New" w:eastAsia="Courier New" w:hAnsi="Courier New"/>
          <w:sz w:val="14"/>
          <w:szCs w:val="14"/>
          <w:color w:val="auto"/>
        </w:rPr>
        <w:t>Prior to due presentment of this Note for registration of transfer, the Company, the Trustee and any agent of the Company of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6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The Indenture and the Notes shall be governed by and construed in accordance with the laws of the State of New York applicable to agreements made and to be performed entirely in such State.</w:t>
      </w:r>
    </w:p>
    <w:p>
      <w:pPr>
        <w:sectPr>
          <w:pgSz w:w="11900" w:h="16838" w:orient="portrait"/>
          <w:cols w:equalWidth="0" w:num="1">
            <w:col w:w="10239"/>
          </w:cols>
          <w:pgMar w:left="220" w:top="623" w:right="1440" w:bottom="1440" w:gutter="0" w:footer="0" w:header="0"/>
        </w:sectPr>
      </w:pPr>
    </w:p>
    <w:bookmarkStart w:id="204" w:name="page205"/>
    <w:bookmarkEnd w:id="204"/>
    <w:p>
      <w:pPr>
        <w:jc w:val="right"/>
        <w:ind w:right="3239"/>
        <w:spacing w:after="0"/>
        <w:rPr>
          <w:sz w:val="20"/>
          <w:szCs w:val="20"/>
          <w:color w:val="auto"/>
        </w:rPr>
      </w:pPr>
      <w:r>
        <w:rPr>
          <w:rFonts w:ascii="Courier New" w:cs="Courier New" w:eastAsia="Courier New" w:hAnsi="Courier New"/>
          <w:sz w:val="15"/>
          <w:szCs w:val="15"/>
          <w:color w:val="auto"/>
        </w:rPr>
        <w:t>EXHIBIT 5</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September 17, 1998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1626 East Jefferson Street</w:t>
      </w:r>
    </w:p>
    <w:p>
      <w:pPr>
        <w:spacing w:after="0"/>
        <w:tabs>
          <w:tab w:leader="none" w:pos="1920" w:val="left"/>
        </w:tabs>
        <w:rPr>
          <w:sz w:val="20"/>
          <w:szCs w:val="20"/>
          <w:color w:val="auto"/>
        </w:rPr>
      </w:pPr>
      <w:r>
        <w:rPr>
          <w:rFonts w:ascii="Courier New" w:cs="Courier New" w:eastAsia="Courier New" w:hAnsi="Courier New"/>
          <w:sz w:val="15"/>
          <w:szCs w:val="15"/>
          <w:color w:val="auto"/>
        </w:rPr>
        <w:t>Rockville, Maryland</w:t>
      </w:r>
      <w:r>
        <w:rPr>
          <w:sz w:val="20"/>
          <w:szCs w:val="20"/>
          <w:color w:val="auto"/>
        </w:rPr>
        <w:tab/>
      </w:r>
      <w:r>
        <w:rPr>
          <w:rFonts w:ascii="Courier New" w:cs="Courier New" w:eastAsia="Courier New" w:hAnsi="Courier New"/>
          <w:sz w:val="14"/>
          <w:szCs w:val="14"/>
          <w:color w:val="auto"/>
        </w:rPr>
        <w:t>20852-4041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You have requested our opinion as counsel to Federal Realty Investment Trust, a business trust organized under the laws of the District of Columbia with its headquarters located in Bethesda, Maryland ("Trust"), in connection with a combined registration statement on Form S-3 and Post-Effective Amendment No. 1 to registration statement no. 33-63687 (collectively, "Registration Statement"), both being filed by you with the Securities and Exchange Commission ("Commission") under the Securities Act of 1933, as amended ("Act"), relating to the offering from time to time, as set forth in the combined prospectus pursuant to Rule 429 under the Act contained in such Registration Statement ("Prospectus") and as to be set forth in one or more supplements to the Prospectus (each, a "Prospectus Supplement") of up to $500,000,000 aggregate offering price of (i) one or more series of debt securities ("Debt Securities"),</w:t>
      </w:r>
    </w:p>
    <w:p>
      <w:pPr>
        <w:spacing w:after="0" w:line="4" w:lineRule="exact"/>
        <w:rPr>
          <w:sz w:val="20"/>
          <w:szCs w:val="20"/>
          <w:color w:val="auto"/>
        </w:rPr>
      </w:pPr>
    </w:p>
    <w:p>
      <w:pPr>
        <w:ind w:right="3679" w:firstLine="10"/>
        <w:spacing w:after="0" w:line="235" w:lineRule="auto"/>
        <w:tabs>
          <w:tab w:leader="none" w:pos="43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series of preferred shares ("Preferred Shares"), and (iii) common shares of beneficial interest ("Common Shares) (collectively, "Securities").</w:t>
      </w:r>
    </w:p>
    <w:p>
      <w:pPr>
        <w:spacing w:after="0" w:line="174"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Debt Securities will be direct unsecured obligations of the Trust and may be either senior Debt Securities ("Senior Securities") or subordinated Debt Securities ("Subordinated Securities"). The Senior Securities will be issued pursuant to an Indenture dated December 1, 1993 ("Senior Indenture") between the Trust and First Union National Bank of North Carolina ("Senior Trustee"). The Subordinated Securities will be issued pursuant to an indenture dated December 1, 1993 ("Subordinated Indenture") between the Trust and First Union National Bank of North Carolina ("Subordinated Trustee").</w:t>
      </w:r>
    </w:p>
    <w:p>
      <w:pPr>
        <w:spacing w:after="0" w:line="177"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We have participated in the preparation of the Registration Statement and the Prospectus included therein,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and issuance of the Securities and have made such inquiries of such officers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ectPr>
          <w:pgSz w:w="11900" w:h="16838" w:orient="portrait"/>
          <w:cols w:equalWidth="0" w:num="1">
            <w:col w:w="10239"/>
          </w:cols>
          <w:pgMar w:left="220" w:top="471"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Septembe 17, 1998</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1"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As to any other facts material to the opinion expressed herein that were not independently established or verified, we have relied upon statements and representations of officers and employees of the Trust.</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Based upon the foregoing and subject to the qualifications set forth below, we are of the opinion that:</w:t>
      </w:r>
    </w:p>
    <w:p>
      <w:pPr>
        <w:spacing w:after="0" w:line="167" w:lineRule="exact"/>
        <w:rPr>
          <w:sz w:val="20"/>
          <w:szCs w:val="20"/>
          <w:color w:val="auto"/>
        </w:rPr>
      </w:pPr>
    </w:p>
    <w:p>
      <w:pPr>
        <w:ind w:left="540" w:hanging="355"/>
        <w:spacing w:after="0"/>
        <w:tabs>
          <w:tab w:leader="none" w:pos="54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Senior Indenture and the Subordinated Indenture have been duly</w:t>
      </w:r>
    </w:p>
    <w:p>
      <w:pPr>
        <w:spacing w:after="0" w:line="4" w:lineRule="exact"/>
        <w:rPr>
          <w:rFonts w:ascii="Courier New" w:cs="Courier New" w:eastAsia="Courier New" w:hAnsi="Courier New"/>
          <w:sz w:val="15"/>
          <w:szCs w:val="15"/>
          <w:color w:val="auto"/>
        </w:rPr>
      </w:pPr>
    </w:p>
    <w:p>
      <w:pPr>
        <w:ind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duly executed and delivered by the Trust and are legally valid and binding agreements of the Trust, enforceable against the Trust in accordance with the terms of each such Indenture.</w:t>
      </w:r>
    </w:p>
    <w:p>
      <w:pPr>
        <w:spacing w:after="0" w:line="173" w:lineRule="exact"/>
        <w:rPr>
          <w:rFonts w:ascii="Courier New" w:cs="Courier New" w:eastAsia="Courier New" w:hAnsi="Courier New"/>
          <w:sz w:val="15"/>
          <w:szCs w:val="15"/>
          <w:color w:val="auto"/>
        </w:rPr>
      </w:pPr>
    </w:p>
    <w:p>
      <w:pPr>
        <w:ind w:right="3239" w:firstLine="185"/>
        <w:spacing w:after="0" w:line="236" w:lineRule="auto"/>
        <w:tabs>
          <w:tab w:leader="none" w:pos="52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Senior Debt Securities have been duly authorized by the Trust and when the Senior Debt Securities have been duly established by the Senior Indenture, duly authenticated by the Senior Trustee and duly executed and delivered on behalf of the Trust against payment therefor in accordance with the terms and provisions of the Senior Indenture and as contemplated by the Registration Statement and/or the applicable Prospectus Supplement, the Senior Debt Securities will constitute legally valid and binding obligations of the Trust, enforceable against the Trust in accordance with their terms.</w:t>
      </w:r>
    </w:p>
    <w:p>
      <w:pPr>
        <w:spacing w:after="0" w:line="177" w:lineRule="exact"/>
        <w:rPr>
          <w:rFonts w:ascii="Courier New" w:cs="Courier New" w:eastAsia="Courier New" w:hAnsi="Courier New"/>
          <w:sz w:val="15"/>
          <w:szCs w:val="15"/>
          <w:color w:val="auto"/>
        </w:rPr>
      </w:pPr>
    </w:p>
    <w:p>
      <w:pPr>
        <w:ind w:right="3319" w:firstLine="185"/>
        <w:spacing w:after="0" w:line="236" w:lineRule="auto"/>
        <w:tabs>
          <w:tab w:leader="none" w:pos="52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Subordinated Debt Securities have been duly authorized by the Trust and when the Subordinated Debt Securities have been duly established by the Subordinated Indenture, duly authenticated by the Subordinated Trustee and duly executed and delivered on behalf of the Trust against payment therefor in accordance with the terms and provisions of the Subordinated Indenture and as contemplated by the Registration Statement and/or the applicable Prospectus Supplement, the Subordinated Debt Securities will constitute legally valid and binding obligations of the Trust, enforceable against the Trust in accordance with their terms.</w:t>
      </w:r>
    </w:p>
    <w:p>
      <w:pPr>
        <w:spacing w:after="0" w:line="178" w:lineRule="exact"/>
        <w:rPr>
          <w:rFonts w:ascii="Courier New" w:cs="Courier New" w:eastAsia="Courier New" w:hAnsi="Courier New"/>
          <w:sz w:val="15"/>
          <w:szCs w:val="15"/>
          <w:color w:val="auto"/>
        </w:rPr>
      </w:pPr>
    </w:p>
    <w:p>
      <w:pPr>
        <w:ind w:right="3319" w:firstLine="185"/>
        <w:spacing w:after="0" w:line="236" w:lineRule="auto"/>
        <w:tabs>
          <w:tab w:leader="none" w:pos="52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Preferred Shares have been duly authorized by the Trust and when the Preferred Shares have been duly established in accordance with the terms of the Declaration of Trust, and, upon issuance, delivery and payment therefor in the manner contemplated by the Registration Statement and/or the applicable Prospectus Supplement, the Preferred Shares will be validly issued, fully paid and nonassessable and, except as hereinafter set forth, no personal liability will attach to the ownership of the Preferred Shares.</w:t>
      </w:r>
    </w:p>
    <w:p>
      <w:pPr>
        <w:spacing w:after="0" w:line="175" w:lineRule="exact"/>
        <w:rPr>
          <w:rFonts w:ascii="Courier New" w:cs="Courier New" w:eastAsia="Courier New" w:hAnsi="Courier New"/>
          <w:sz w:val="15"/>
          <w:szCs w:val="15"/>
          <w:color w:val="auto"/>
        </w:rPr>
      </w:pPr>
    </w:p>
    <w:p>
      <w:pPr>
        <w:ind w:right="3399" w:firstLine="185"/>
        <w:spacing w:after="0" w:line="236" w:lineRule="auto"/>
        <w:tabs>
          <w:tab w:leader="none" w:pos="52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has been duly organized and is validly existing under the laws of the District of Columbia as a voluntary business association of the type commonly known as a business trust and the Trust has authority to issue an unlimited number of Common Shares, each without par value. It also is our opinion that the Common Shares referred to in the Registration Statement, when issued and sold as contemplated in the Registration Statement and/or the applicable Prospectus Supplement, will be legally issued, fully paid and non-assessable and, except as hereinafter set forth, no personal liability will attach to the ownership of such Common Shares.</w:t>
      </w:r>
    </w:p>
    <w:p>
      <w:pPr>
        <w:spacing w:after="0" w:line="178" w:lineRule="exact"/>
        <w:rPr>
          <w:rFonts w:ascii="Courier New" w:cs="Courier New" w:eastAsia="Courier New" w:hAnsi="Courier New"/>
          <w:sz w:val="15"/>
          <w:szCs w:val="15"/>
          <w:color w:val="auto"/>
        </w:rPr>
      </w:pPr>
    </w:p>
    <w:p>
      <w:pPr>
        <w:ind w:right="3399" w:firstLine="185"/>
        <w:spacing w:after="0" w:line="235" w:lineRule="auto"/>
        <w:tabs>
          <w:tab w:leader="none" w:pos="52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of Trust provides that the holders of the Common Shares and the Preferred Shares shall not be subject to any liability for the acts or obligations of the Trust and that the funds and property of the Trust shall be solely liable for such acts or obligations. The</w:t>
      </w:r>
    </w:p>
    <w:p>
      <w:pPr>
        <w:sectPr>
          <w:pgSz w:w="11900" w:h="16838" w:orient="portrait"/>
          <w:cols w:equalWidth="0" w:num="1">
            <w:col w:w="10239"/>
          </w:cols>
          <w:pgMar w:left="220" w:top="617"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Septembe 17, 1998</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Declaration of Trust requires that, as far as practicable, each written instrument creating an obligation of the Trust shall contain a provision to such effect. We are of the opinion that no personal liability will attach to holders of the Common Shares and the Preferred Shares in most jurisdictions for claims under any written instrument containing such a provision, where adequate notice is given of such provision. However, with respect to tort claims and contract claims where shareholder liability is not so negated, claims for taxes and certain statutory liabilities, a shareholder may, in some jurisdictions, be held liable to the extent that claims are not satisfied by the Trust out of its assets or insurance.</w:t>
      </w:r>
    </w:p>
    <w:p>
      <w:pPr>
        <w:spacing w:after="0" w:line="179"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To the extent that the obligations of the Trust under the Senior Indenture and Subordinated Indenture may be dependent upon such matters, we assume for purposes of this opinion that the Senior Trustee and Subordinated Trustee are duly organized, validly existing and in good standing under the applicable laws of the jurisdiction of organization of each such Trustee; that the Senior Trustee and the Subordinated Trustee each are in compliance generally with respect to acting as a trustee under the applicable Indenture, and with all applicable laws and regulations; and that the Senior Trustee and the Subordinated Trustee have the requisite organizational and legal power and authority to perform their respective obligations under such applicable Indenture.</w:t>
      </w:r>
    </w:p>
    <w:p>
      <w:pPr>
        <w:spacing w:after="0" w:line="180"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and we consent to the reference to our firm under the caption "Legal Opinions" in the Prospectus.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KIRKPATRICK &amp; LOCKHART LLP</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By:___________________________________</w:t>
      </w:r>
    </w:p>
    <w:p>
      <w:pPr>
        <w:jc w:val="center"/>
        <w:ind w:right="339"/>
        <w:spacing w:after="0" w:line="237" w:lineRule="auto"/>
        <w:rPr>
          <w:sz w:val="20"/>
          <w:szCs w:val="20"/>
          <w:color w:val="auto"/>
        </w:rPr>
      </w:pPr>
      <w:r>
        <w:rPr>
          <w:rFonts w:ascii="Courier New" w:cs="Courier New" w:eastAsia="Courier New" w:hAnsi="Courier New"/>
          <w:sz w:val="15"/>
          <w:szCs w:val="15"/>
          <w:color w:val="auto"/>
        </w:rPr>
        <w:t>Thomas F. Cooney, III</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TFC:bak</w:t>
      </w:r>
    </w:p>
    <w:p>
      <w:pPr>
        <w:sectPr>
          <w:pgSz w:w="11900" w:h="16838" w:orient="portrait"/>
          <w:cols w:equalWidth="0" w:num="1">
            <w:col w:w="10239"/>
          </w:cols>
          <w:pgMar w:left="220" w:top="617" w:right="1440" w:bottom="1440" w:gutter="0" w:footer="0" w:header="0"/>
        </w:sectPr>
      </w:pPr>
    </w:p>
    <w:bookmarkStart w:id="207" w:name="page208"/>
    <w:bookmarkEnd w:id="207"/>
    <w:p>
      <w:pPr>
        <w:jc w:val="right"/>
        <w:ind w:right="3239"/>
        <w:spacing w:after="0"/>
        <w:rPr>
          <w:sz w:val="20"/>
          <w:szCs w:val="20"/>
          <w:color w:val="auto"/>
        </w:rPr>
      </w:pPr>
      <w:r>
        <w:rPr>
          <w:rFonts w:ascii="Courier New" w:cs="Courier New" w:eastAsia="Courier New" w:hAnsi="Courier New"/>
          <w:sz w:val="15"/>
          <w:szCs w:val="15"/>
          <w:color w:val="auto"/>
        </w:rPr>
        <w:t>Exhibit 8</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[LETTERHEAD OF GOODWIN, PROCTER &amp; HOAR LLP APPEARS HERE]</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As of September 16, 1998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1626 East Jefferson Street</w:t>
      </w:r>
    </w:p>
    <w:p>
      <w:pPr>
        <w:spacing w:after="0" w:line="238" w:lineRule="auto"/>
        <w:rPr>
          <w:sz w:val="20"/>
          <w:szCs w:val="20"/>
          <w:color w:val="auto"/>
        </w:rPr>
      </w:pPr>
      <w:r>
        <w:rPr>
          <w:rFonts w:ascii="Courier New" w:cs="Courier New" w:eastAsia="Courier New" w:hAnsi="Courier New"/>
          <w:sz w:val="15"/>
          <w:szCs w:val="15"/>
          <w:color w:val="auto"/>
        </w:rPr>
        <w:t>Rockville, MD 20852-4041</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Re:</w:t>
        <w:tab/>
        <w:t>Federal Tax Matters</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opinion is delivered to you in our capacity as special tax counsel to Federal Realty Investment Trust (the "Trust") in connection with the Trust's Registration Statement filed with the Securities and Exchange Commission on Form S-3 relating to up to $500,000,000 of debt securities, preferred shares and common shares that may be issued by the Trust from time to time. This opinion relates to the Trust's qualification for federal income tax purposes as a real estate investment trust ("REIT") under the Internal Revenue Code of 1986, as amended (the "Code").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rendering this opinion, we have reviewed and relied upon copies of the Trust's federal income tax returns on Form 1120-REIT for the taxable years of the Trust ending on December 31, 1987 through December 31, 1997. We assume that each of the foregoing returns was timely filed following timely filing of application for automatic extension in each year.</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reviewed and relied upon the description of the Trust, its investments and its operations contained or incorporated by reference in the Registration Statement and have had discussions with management of the Trust concerning the investments and operations of the Trust. We have also reviewed certain documents of the Trust relating to the ownership and operation of selected real estate properties, leasehold interests, and other investments owned by the Trust, including management agreements relating to such properties and leasehold interests and forms of leases relating to the Trust's properties and leasehold interests, and we rely upon representations made to us that such documents, forms of leases and management agreements are representative of those existing and in effect for the other properties and investments of the Trust.</w:t>
      </w:r>
    </w:p>
    <w:p>
      <w:pPr>
        <w:spacing w:after="0" w:line="16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Representations we have received from management of the Trust, have also focused upon the number and holdings of shareholders of the Trust; the past and present distribution policy of the Trust; various record keeping requirements; and other matters which we deem</w:t>
      </w:r>
    </w:p>
    <w:p>
      <w:pPr>
        <w:sectPr>
          <w:pgSz w:w="11900" w:h="16838" w:orient="portrait"/>
          <w:cols w:equalWidth="0" w:num="1">
            <w:col w:w="10239"/>
          </w:cols>
          <w:pgMar w:left="220" w:top="472" w:right="1440" w:bottom="1440" w:gutter="0" w:footer="0" w:header="0"/>
        </w:sectPr>
      </w:pPr>
    </w:p>
    <w:bookmarkStart w:id="208" w:name="page209"/>
    <w:bookmarkEnd w:id="208"/>
    <w:p>
      <w:pPr>
        <w:ind w:left="2280"/>
        <w:spacing w:after="0"/>
        <w:rPr>
          <w:sz w:val="20"/>
          <w:szCs w:val="20"/>
          <w:color w:val="auto"/>
        </w:rPr>
      </w:pPr>
      <w:r>
        <w:rPr>
          <w:rFonts w:ascii="Courier New" w:cs="Courier New" w:eastAsia="Courier New" w:hAnsi="Courier New"/>
          <w:sz w:val="15"/>
          <w:szCs w:val="15"/>
          <w:color w:val="auto"/>
        </w:rPr>
        <w:t>GOODWIN, PROCTER &amp; HOAR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As of September 16, 1998</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relevant and upon which we rely for purposes of rendering this opinion, including without limitation the Trust's quarterly REIT compliance workpapers for each quarter of the Trust commencing January 1, 1987 as prepared by Grant Thornton LLP, independent auditors for the Trust. Except as specifically noted herein, we have not made an independent investigation of any of the facts set forth in such representations or workpapers, and have assumed that the statements contained in the representation of the Trust that, to the best of its knowledge, at no time has the Trust been closely held within the meaning of Sections 542(a)(2) and 856(h) of the Code, are, in fact, true. We have also assumed, without investigation, that all documents, certificates, warranties and covenants on which we have relied in rendering the opinion set forth below and that were given and dated earlier than the date of this letter continue to remain accurate, insofar as relevant to the opinion set forth herein, from such earlier date through and including the date of this letter.</w:t>
      </w:r>
    </w:p>
    <w:p>
      <w:pPr>
        <w:spacing w:after="0" w:line="16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conclusions set forth below are based upon the Code, the Income Tax Regulations and Procedure and Administration Regulations promulgated thereunder and existing administrative and judicial interpretations thereof, all of which are subject to change. No assurance can therefore be given that the federal income tax consequences described below will not be altered in the future.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Based upon and subject to the foregoing, we are of the opinion that</w:t>
      </w:r>
    </w:p>
    <w:p>
      <w:pPr>
        <w:spacing w:after="0" w:line="173" w:lineRule="exact"/>
        <w:rPr>
          <w:sz w:val="20"/>
          <w:szCs w:val="20"/>
          <w:color w:val="auto"/>
        </w:rPr>
      </w:pPr>
    </w:p>
    <w:p>
      <w:pPr>
        <w:ind w:left="700" w:right="3239" w:hanging="253"/>
        <w:spacing w:after="0" w:line="255" w:lineRule="auto"/>
        <w:tabs>
          <w:tab w:leader="none" w:pos="70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has qualified as a REIT for the taxable years ended December 31, 1987 through December 31, 1997; that the form of organization of the Trust and its current operations, assets and contemplated income are such that the Trust is in a position under present law to so qualify for the taxable year ending December 31, 1998; and that the Trust should so qualify for the taxable year ending December 31, 1998 and thereafter provided that the Trust continues to meet the asset composition, source of income, shareholder diversification, distribution and other requirements of the Code necessary for the Trust to qualify as a REIT.</w:t>
      </w:r>
    </w:p>
    <w:p>
      <w:pPr>
        <w:spacing w:after="0" w:line="165" w:lineRule="exact"/>
        <w:rPr>
          <w:rFonts w:ascii="Courier New" w:cs="Courier New" w:eastAsia="Courier New" w:hAnsi="Courier New"/>
          <w:sz w:val="14"/>
          <w:szCs w:val="14"/>
          <w:color w:val="auto"/>
        </w:rPr>
      </w:pPr>
    </w:p>
    <w:p>
      <w:pPr>
        <w:ind w:left="700" w:right="3239" w:hanging="253"/>
        <w:spacing w:after="0" w:line="236" w:lineRule="auto"/>
        <w:tabs>
          <w:tab w:leader="none" w:pos="70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in the Registration Statement set forth under the caption "Federal Income Tax Considerations," to the extent such information constitutes matters of law, summaries of legal matters, or legal conclusions, have been reviewed by us and are accurate in all material respects.</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express no opinion with respect to the transactions described in the Registration Statement other than those expressly set forth herein. Moreover, as indicated above, the</w:t>
      </w:r>
    </w:p>
    <w:p>
      <w:pPr>
        <w:sectPr>
          <w:pgSz w:w="11900" w:h="16838" w:orient="portrait"/>
          <w:cols w:equalWidth="0" w:num="1">
            <w:col w:w="10239"/>
          </w:cols>
          <w:pgMar w:left="220" w:top="617" w:right="1440" w:bottom="1440" w:gutter="0" w:footer="0" w:header="0"/>
        </w:sectPr>
      </w:pPr>
    </w:p>
    <w:bookmarkStart w:id="209" w:name="page210"/>
    <w:bookmarkEnd w:id="209"/>
    <w:p>
      <w:pPr>
        <w:ind w:left="2280"/>
        <w:spacing w:after="0"/>
        <w:rPr>
          <w:sz w:val="20"/>
          <w:szCs w:val="20"/>
          <w:color w:val="auto"/>
        </w:rPr>
      </w:pPr>
      <w:r>
        <w:rPr>
          <w:rFonts w:ascii="Courier New" w:cs="Courier New" w:eastAsia="Courier New" w:hAnsi="Courier New"/>
          <w:sz w:val="15"/>
          <w:szCs w:val="15"/>
          <w:color w:val="auto"/>
        </w:rPr>
        <w:t>GOODWIN, PROCTER &amp; HOAR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As of September 16, 1998</w:t>
      </w:r>
    </w:p>
    <w:p>
      <w:pPr>
        <w:spacing w:after="0" w:line="238" w:lineRule="auto"/>
        <w:rPr>
          <w:sz w:val="20"/>
          <w:szCs w:val="20"/>
          <w:color w:val="auto"/>
        </w:rPr>
      </w:pPr>
      <w:r>
        <w:rPr>
          <w:rFonts w:ascii="Courier New" w:cs="Courier New" w:eastAsia="Courier New" w:hAnsi="Courier New"/>
          <w:sz w:val="15"/>
          <w:szCs w:val="15"/>
          <w:color w:val="auto"/>
        </w:rPr>
        <w:t>Page 3</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Trust's qualification and taxation as a REIT depends upon the Trust's ability to meet, through actual annual operating results, distribution levels, diversity of stock ownership and the various qualification tests imposed under the Code, the results of which will not be reviewed by us. Accordingly, no assurance can be given that the actual results of the Trust's operations for any one taxable year will satisfy such requirements. You should recognize that our opinion is not binding on the IRS and that the IRS may disagree with the opinion contained herein. Although we believe that our opinion will be sustained if challenged, there can be no assurance that this will be the case. Except as specifically discussed above, the opinion expressed herein is based upon the law as it currently exists. Consequently, future changes in the law may cause the federal income tax treatment of the transactions described herein to be materially and adversely different from that described above.</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consent to being named as counsel to the Trust in the Registration Statement, to the references in the Registration Statement to our firm and to the inclusion of a copy of this opinion letter as an exhibit to the Registration Statement.</w:t>
      </w:r>
    </w:p>
    <w:p>
      <w:pPr>
        <w:spacing w:after="0" w:line="200" w:lineRule="exact"/>
        <w:rPr>
          <w:sz w:val="20"/>
          <w:szCs w:val="20"/>
          <w:color w:val="auto"/>
        </w:rPr>
      </w:pPr>
    </w:p>
    <w:p>
      <w:pPr>
        <w:spacing w:after="0" w:line="30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2640"/>
        <w:spacing w:after="0"/>
        <w:tabs>
          <w:tab w:leader="none" w:pos="5160" w:val="left"/>
        </w:tabs>
        <w:rPr>
          <w:sz w:val="20"/>
          <w:szCs w:val="20"/>
          <w:color w:val="auto"/>
        </w:rPr>
      </w:pPr>
      <w:r>
        <w:rPr>
          <w:rFonts w:ascii="Courier New" w:cs="Courier New" w:eastAsia="Courier New" w:hAnsi="Courier New"/>
          <w:sz w:val="15"/>
          <w:szCs w:val="15"/>
          <w:color w:val="auto"/>
        </w:rPr>
        <w:t>/s/ GOODWIN, PROCTER &amp; HOAR</w:t>
      </w:r>
      <w:r>
        <w:rPr>
          <w:sz w:val="20"/>
          <w:szCs w:val="20"/>
          <w:color w:val="auto"/>
        </w:rPr>
        <w:tab/>
      </w:r>
      <w:r>
        <w:rPr>
          <w:rFonts w:ascii="Courier New" w:cs="Courier New" w:eastAsia="Courier New" w:hAnsi="Courier New"/>
          <w:sz w:val="14"/>
          <w:szCs w:val="14"/>
          <w:color w:val="auto"/>
        </w:rPr>
        <w:t>LLP</w:t>
      </w:r>
    </w:p>
    <w:p>
      <w:pPr>
        <w:sectPr>
          <w:pgSz w:w="11900" w:h="16838" w:orient="portrait"/>
          <w:cols w:equalWidth="0" w:num="1">
            <w:col w:w="10239"/>
          </w:cols>
          <w:pgMar w:left="220" w:top="617" w:right="1440" w:bottom="1440" w:gutter="0" w:footer="0" w:header="0"/>
        </w:sectPr>
      </w:pPr>
    </w:p>
    <w:bookmarkStart w:id="210" w:name="page211"/>
    <w:bookmarkEnd w:id="210"/>
    <w:p>
      <w:pPr>
        <w:ind w:left="6140"/>
        <w:spacing w:after="0"/>
        <w:rPr>
          <w:sz w:val="20"/>
          <w:szCs w:val="20"/>
          <w:color w:val="auto"/>
        </w:rPr>
      </w:pPr>
      <w:r>
        <w:rPr>
          <w:rFonts w:ascii="Courier New" w:cs="Courier New" w:eastAsia="Courier New" w:hAnsi="Courier New"/>
          <w:sz w:val="15"/>
          <w:szCs w:val="15"/>
          <w:color w:val="auto"/>
        </w:rPr>
        <w:t>Exhibit 12</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Statement Regarding</w:t>
      </w:r>
    </w:p>
    <w:p>
      <w:pPr>
        <w:ind w:left="1060"/>
        <w:spacing w:after="0" w:line="237" w:lineRule="auto"/>
        <w:rPr>
          <w:sz w:val="20"/>
          <w:szCs w:val="20"/>
          <w:color w:val="auto"/>
        </w:rPr>
      </w:pPr>
      <w:r>
        <w:rPr>
          <w:rFonts w:ascii="Courier New" w:cs="Courier New" w:eastAsia="Courier New" w:hAnsi="Courier New"/>
          <w:sz w:val="15"/>
          <w:szCs w:val="15"/>
          <w:color w:val="auto"/>
        </w:rPr>
        <w:t>Computation of Ratios of Earnings to Fixed Charges and</w:t>
      </w:r>
    </w:p>
    <w:p>
      <w:pPr>
        <w:ind w:left="360"/>
        <w:spacing w:after="0" w:line="238" w:lineRule="auto"/>
        <w:rPr>
          <w:sz w:val="20"/>
          <w:szCs w:val="20"/>
          <w:color w:val="auto"/>
        </w:rPr>
      </w:pPr>
      <w:r>
        <w:rPr>
          <w:rFonts w:ascii="Courier New" w:cs="Courier New" w:eastAsia="Courier New" w:hAnsi="Courier New"/>
          <w:sz w:val="15"/>
          <w:szCs w:val="15"/>
          <w:color w:val="auto"/>
        </w:rPr>
        <w:t>of Ratios of Earnings to Combined Fixed Charges and Preferred Dividends</w:t>
      </w:r>
    </w:p>
    <w:p>
      <w:pPr>
        <w:ind w:left="280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Six months</w:t>
            </w:r>
          </w:p>
        </w:tc>
      </w:tr>
      <w:tr>
        <w:trPr>
          <w:trHeight w:val="168"/>
        </w:trPr>
        <w:tc>
          <w:tcPr>
            <w:tcW w:w="4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ended June 30,</w:t>
            </w:r>
          </w:p>
        </w:tc>
      </w:tr>
      <w:tr>
        <w:trPr>
          <w:trHeight w:val="168"/>
        </w:trPr>
        <w:tc>
          <w:tcPr>
            <w:tcW w:w="426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26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before gain on sale of real estate</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extraordinary item</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16,114</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20,466</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23,655</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28,764</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40,129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19,287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24,657</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Portion of rents representing interest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325</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1,047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1,183</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1,119</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on indebtedness, including</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 of debt costs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31,550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31,462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39,268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45,555</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47,288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23,988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26,097</w:t>
            </w:r>
          </w:p>
        </w:tc>
      </w:tr>
      <w:tr>
        <w:trPr>
          <w:trHeight w:val="168"/>
        </w:trPr>
        <w:tc>
          <w:tcPr>
            <w:tcW w:w="426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Income as adjusted</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47,989</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52,975</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64,106</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75,428</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88,365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43,761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51,253</w:t>
            </w:r>
          </w:p>
        </w:tc>
      </w:tr>
      <w:tr>
        <w:trPr>
          <w:trHeight w:val="168"/>
        </w:trPr>
        <w:tc>
          <w:tcPr>
            <w:tcW w:w="426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6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Portion of rents representing interest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325</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1,047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1,183</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1,119</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on indebtedness, including</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 of debt costs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31,550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31,462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39,268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45,555</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47,288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23,988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26,097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Capitalized Interest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975</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871</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3,649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2,801</w:t>
            </w:r>
          </w:p>
        </w:tc>
      </w:tr>
      <w:tr>
        <w:trPr>
          <w:trHeight w:val="168"/>
        </w:trPr>
        <w:tc>
          <w:tcPr>
            <w:tcW w:w="426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Fixed charges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32,091</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32,857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41,426</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47,545</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51,885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25,661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29,397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dividend</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3,975</w:t>
            </w:r>
          </w:p>
        </w:tc>
      </w:tr>
      <w:tr>
        <w:trPr>
          <w:trHeight w:val="168"/>
        </w:trPr>
        <w:tc>
          <w:tcPr>
            <w:tcW w:w="426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Combined fixed charges and</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2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preferred dividends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32,091</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32,857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41,426</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47,545</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53,762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25,661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33,372</w:t>
            </w:r>
          </w:p>
        </w:tc>
      </w:tr>
      <w:tr>
        <w:trPr>
          <w:trHeight w:val="168"/>
        </w:trPr>
        <w:tc>
          <w:tcPr>
            <w:tcW w:w="426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1.50x</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1.61x</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1.55x</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1.59x</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1.70x</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1.70x</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1.74x</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Ratio of earnings to combined fixed charges</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preferred dividend</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1.64x</w:t>
            </w:r>
          </w:p>
        </w:tc>
        <w:tc>
          <w:tcPr>
            <w:tcW w:w="9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N/A</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1.54x</w:t>
            </w:r>
          </w:p>
        </w:tc>
      </w:tr>
    </w:tbl>
    <w:p>
      <w:pPr>
        <w:sectPr>
          <w:pgSz w:w="11900" w:h="16838" w:orient="portrait"/>
          <w:cols w:equalWidth="0" w:num="1">
            <w:col w:w="11200"/>
          </w:cols>
          <w:pgMar w:left="220" w:top="471" w:right="479" w:bottom="1440" w:gutter="0" w:footer="0" w:header="0"/>
        </w:sectPr>
      </w:pPr>
    </w:p>
    <w:bookmarkStart w:id="211" w:name="page212"/>
    <w:bookmarkEnd w:id="211"/>
    <w:p>
      <w:pPr>
        <w:jc w:val="right"/>
        <w:ind w:right="3239"/>
        <w:spacing w:after="0"/>
        <w:rPr>
          <w:sz w:val="20"/>
          <w:szCs w:val="20"/>
          <w:color w:val="auto"/>
        </w:rPr>
      </w:pPr>
      <w:r>
        <w:rPr>
          <w:rFonts w:ascii="Courier New" w:cs="Courier New" w:eastAsia="Courier New" w:hAnsi="Courier New"/>
          <w:sz w:val="15"/>
          <w:szCs w:val="15"/>
          <w:color w:val="auto"/>
        </w:rPr>
        <w:t>Exhibit 25(a)</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T-1</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STATEMENT OF ELIGIBILITY AND QUALIFICATION</w:t>
      </w:r>
    </w:p>
    <w:p>
      <w:pPr>
        <w:ind w:left="1060"/>
        <w:spacing w:after="0" w:line="237" w:lineRule="auto"/>
        <w:rPr>
          <w:sz w:val="20"/>
          <w:szCs w:val="20"/>
          <w:color w:val="auto"/>
        </w:rPr>
      </w:pPr>
      <w:r>
        <w:rPr>
          <w:rFonts w:ascii="Courier New" w:cs="Courier New" w:eastAsia="Courier New" w:hAnsi="Courier New"/>
          <w:sz w:val="15"/>
          <w:szCs w:val="15"/>
          <w:color w:val="auto"/>
        </w:rPr>
        <w:t>UNDER THE TRUST INDENTURE ACT OF 1939, AS AMENDED, OF A</w:t>
      </w:r>
    </w:p>
    <w:p>
      <w:pPr>
        <w:ind w:left="1760"/>
        <w:spacing w:after="0" w:line="238" w:lineRule="auto"/>
        <w:rPr>
          <w:sz w:val="20"/>
          <w:szCs w:val="20"/>
          <w:color w:val="auto"/>
        </w:rPr>
      </w:pPr>
      <w:r>
        <w:rPr>
          <w:rFonts w:ascii="Courier New" w:cs="Courier New" w:eastAsia="Courier New" w:hAnsi="Courier New"/>
          <w:sz w:val="15"/>
          <w:szCs w:val="15"/>
          <w:color w:val="auto"/>
        </w:rPr>
        <w:t>CORPORATION DESIGNATED TO ACT AS TRUSTEE</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FIRST UNION NATIONAL BANK</w:t>
      </w:r>
    </w:p>
    <w:p>
      <w:pPr>
        <w:jc w:val="center"/>
        <w:ind w:right="3319"/>
        <w:spacing w:after="0" w:line="237" w:lineRule="auto"/>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39"/>
          </w:cols>
          <w:pgMar w:left="220" w:top="471" w:right="1440" w:bottom="1440" w:gutter="0" w:footer="0" w:header="0"/>
        </w:sectPr>
      </w:pPr>
    </w:p>
    <w:p>
      <w:pPr>
        <w:spacing w:after="0" w:line="173" w:lineRule="exact"/>
        <w:rPr>
          <w:sz w:val="20"/>
          <w:szCs w:val="20"/>
          <w:color w:val="auto"/>
        </w:rPr>
      </w:pPr>
    </w:p>
    <w:p>
      <w:pPr>
        <w:jc w:val="both"/>
        <w:ind w:right="680"/>
        <w:spacing w:after="0" w:line="258" w:lineRule="auto"/>
        <w:rPr>
          <w:sz w:val="20"/>
          <w:szCs w:val="20"/>
          <w:color w:val="auto"/>
        </w:rPr>
      </w:pPr>
      <w:r>
        <w:rPr>
          <w:rFonts w:ascii="Courier New" w:cs="Courier New" w:eastAsia="Courier New" w:hAnsi="Courier New"/>
          <w:sz w:val="14"/>
          <w:szCs w:val="14"/>
          <w:color w:val="auto"/>
        </w:rPr>
        <w:t>United States National Bank (State of incorporation if not a national bank)</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22-1147033</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1" w:lineRule="exact"/>
        <w:rPr>
          <w:sz w:val="20"/>
          <w:szCs w:val="20"/>
          <w:color w:val="auto"/>
        </w:rPr>
      </w:pPr>
    </w:p>
    <w:p>
      <w:pPr>
        <w:sectPr>
          <w:pgSz w:w="11900" w:h="16838" w:orient="portrait"/>
          <w:cols w:equalWidth="0" w:num="2">
            <w:col w:w="3060" w:space="720"/>
            <w:col w:w="645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First Union National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230 South Tryon Street, 9th Floor</w:t>
      </w:r>
    </w:p>
    <w:p>
      <w:pPr>
        <w:sectPr>
          <w:pgSz w:w="11900" w:h="16838" w:orient="portrait"/>
          <w:cols w:equalWidth="0" w:num="1">
            <w:col w:w="10239"/>
          </w:cols>
          <w:pgMar w:left="220" w:top="471" w:right="1440" w:bottom="1440" w:gutter="0" w:footer="0" w:header="0"/>
          <w:type w:val="continuous"/>
        </w:sectPr>
      </w:pPr>
    </w:p>
    <w:p>
      <w:pPr>
        <w:spacing w:after="0" w:line="10" w:lineRule="exact"/>
        <w:rPr>
          <w:sz w:val="20"/>
          <w:szCs w:val="20"/>
          <w:color w:val="auto"/>
        </w:rPr>
      </w:pPr>
    </w:p>
    <w:p>
      <w:pPr>
        <w:ind w:right="860"/>
        <w:spacing w:after="0" w:line="258" w:lineRule="auto"/>
        <w:rPr>
          <w:sz w:val="20"/>
          <w:szCs w:val="20"/>
          <w:color w:val="auto"/>
        </w:rPr>
      </w:pPr>
      <w:r>
        <w:rPr>
          <w:rFonts w:ascii="Courier New" w:cs="Courier New" w:eastAsia="Courier New" w:hAnsi="Courier New"/>
          <w:sz w:val="14"/>
          <w:szCs w:val="14"/>
          <w:color w:val="auto"/>
        </w:rPr>
        <w:t>Charlotte, North Carolina (Address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28288-1179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45" w:lineRule="exact"/>
        <w:rPr>
          <w:sz w:val="20"/>
          <w:szCs w:val="20"/>
          <w:color w:val="auto"/>
        </w:rPr>
      </w:pPr>
    </w:p>
    <w:p>
      <w:pPr>
        <w:sectPr>
          <w:pgSz w:w="11900" w:h="16838" w:orient="portrait"/>
          <w:cols w:equalWidth="0" w:num="2">
            <w:col w:w="3060" w:space="720"/>
            <w:col w:w="6459"/>
          </w:cols>
          <w:pgMar w:left="220" w:top="471" w:right="1440" w:bottom="1440" w:gutter="0" w:footer="0" w:header="0"/>
          <w:type w:val="continuous"/>
        </w:sectPr>
      </w:pPr>
    </w:p>
    <w:p>
      <w:pPr>
        <w:ind w:left="2900"/>
        <w:spacing w:after="0"/>
        <w:rPr>
          <w:sz w:val="20"/>
          <w:szCs w:val="20"/>
          <w:color w:val="auto"/>
        </w:rPr>
      </w:pPr>
      <w:r>
        <w:rPr>
          <w:rFonts w:ascii="Courier New" w:cs="Courier New" w:eastAsia="Courier New" w:hAnsi="Courier New"/>
          <w:sz w:val="14"/>
          <w:szCs w:val="14"/>
          <w:color w:val="auto"/>
        </w:rPr>
        <w:t>Same as above</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71" w:right="1440" w:bottom="1440" w:gutter="0" w:footer="0" w:header="0"/>
          <w:type w:val="continuous"/>
        </w:sectPr>
      </w:pP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(Name, address and telephone number, including</w:t>
      </w:r>
    </w:p>
    <w:p>
      <w:pPr>
        <w:jc w:val="center"/>
        <w:ind w:right="3219"/>
        <w:spacing w:after="0" w:line="237" w:lineRule="auto"/>
        <w:rPr>
          <w:sz w:val="20"/>
          <w:szCs w:val="20"/>
          <w:color w:val="auto"/>
        </w:rPr>
      </w:pPr>
      <w:r>
        <w:rPr>
          <w:rFonts w:ascii="Courier New" w:cs="Courier New" w:eastAsia="Courier New" w:hAnsi="Courier New"/>
          <w:sz w:val="15"/>
          <w:szCs w:val="15"/>
          <w:color w:val="auto"/>
        </w:rPr>
        <w:t>area code, of trustee's agent for service)</w:t>
      </w:r>
    </w:p>
    <w:p>
      <w:pPr>
        <w:spacing w:after="0" w:line="167"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3299"/>
        <w:spacing w:after="0" w:line="237" w:lineRule="auto"/>
        <w:rPr>
          <w:sz w:val="20"/>
          <w:szCs w:val="20"/>
          <w:color w:val="auto"/>
        </w:rPr>
      </w:pPr>
      <w:r>
        <w:rPr>
          <w:rFonts w:ascii="Courier New" w:cs="Courier New" w:eastAsia="Courier New" w:hAnsi="Courier New"/>
          <w:sz w:val="15"/>
          <w:szCs w:val="15"/>
          <w:color w:val="auto"/>
        </w:rPr>
        <w:t>(Exact name of obliger as specified in its charter)</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District of Columbia</w:t>
      </w:r>
    </w:p>
    <w:p>
      <w:pPr>
        <w:spacing w:after="0" w:line="17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52-0782497</w:t>
      </w:r>
    </w:p>
    <w:p>
      <w:pPr>
        <w:jc w:val="center"/>
        <w:ind w:right="3219"/>
        <w:spacing w:after="0" w:line="237" w:lineRule="auto"/>
        <w:rPr>
          <w:sz w:val="20"/>
          <w:szCs w:val="20"/>
          <w:color w:val="auto"/>
        </w:rPr>
      </w:pPr>
      <w:r>
        <w:rPr>
          <w:rFonts w:ascii="Courier New" w:cs="Courier New" w:eastAsia="Courier New" w:hAnsi="Courier New"/>
          <w:sz w:val="15"/>
          <w:szCs w:val="15"/>
          <w:color w:val="auto"/>
        </w:rPr>
        <w:t>(I.R.S. employer identification no.)</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Steven J. Guttman</w:t>
      </w:r>
    </w:p>
    <w:p>
      <w:pPr>
        <w:ind w:left="2540"/>
        <w:spacing w:after="0" w:line="237" w:lineRule="auto"/>
        <w:rPr>
          <w:sz w:val="20"/>
          <w:szCs w:val="20"/>
          <w:color w:val="auto"/>
        </w:rPr>
      </w:pPr>
      <w:r>
        <w:rPr>
          <w:rFonts w:ascii="Courier New" w:cs="Courier New" w:eastAsia="Courier New" w:hAnsi="Courier New"/>
          <w:sz w:val="15"/>
          <w:szCs w:val="15"/>
          <w:color w:val="auto"/>
        </w:rPr>
        <w:t>President and Trustee</w:t>
      </w:r>
    </w:p>
    <w:p>
      <w:pPr>
        <w:ind w:left="2380"/>
        <w:spacing w:after="0" w:line="238" w:lineRule="auto"/>
        <w:rPr>
          <w:sz w:val="20"/>
          <w:szCs w:val="20"/>
          <w:color w:val="auto"/>
        </w:rPr>
      </w:pPr>
      <w:r>
        <w:rPr>
          <w:rFonts w:ascii="Courier New" w:cs="Courier New" w:eastAsia="Courier New" w:hAnsi="Courier New"/>
          <w:sz w:val="15"/>
          <w:szCs w:val="15"/>
          <w:color w:val="auto"/>
        </w:rPr>
        <w:t>1626 East Jefferson Street</w:t>
      </w:r>
    </w:p>
    <w:p>
      <w:pPr>
        <w:ind w:left="2200"/>
        <w:spacing w:after="0" w:line="237" w:lineRule="auto"/>
        <w:rPr>
          <w:sz w:val="20"/>
          <w:szCs w:val="20"/>
          <w:color w:val="auto"/>
        </w:rPr>
      </w:pPr>
      <w:r>
        <w:rPr>
          <w:rFonts w:ascii="Courier New" w:cs="Courier New" w:eastAsia="Courier New" w:hAnsi="Courier New"/>
          <w:sz w:val="15"/>
          <w:szCs w:val="15"/>
          <w:color w:val="auto"/>
        </w:rPr>
        <w:t>Rockville, Maryland 20852-4041</w:t>
      </w:r>
    </w:p>
    <w:p>
      <w:pPr>
        <w:ind w:left="2900"/>
        <w:spacing w:after="0" w:line="238" w:lineRule="auto"/>
        <w:rPr>
          <w:sz w:val="20"/>
          <w:szCs w:val="20"/>
          <w:color w:val="auto"/>
        </w:rPr>
      </w:pPr>
      <w:r>
        <w:rPr>
          <w:rFonts w:ascii="Courier New" w:cs="Courier New" w:eastAsia="Courier New" w:hAnsi="Courier New"/>
          <w:sz w:val="15"/>
          <w:szCs w:val="15"/>
          <w:color w:val="auto"/>
        </w:rPr>
        <w:t>(301)998-8100</w:t>
      </w:r>
    </w:p>
    <w:p>
      <w:pPr>
        <w:spacing w:after="0" w:line="17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(Address, including zip code, of principal executive offices)</w:t>
      </w:r>
    </w:p>
    <w:p>
      <w:pPr>
        <w:spacing w:after="0" w:line="1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Senior &amp; Subordinated Debt Securities</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(Title of the indenture securities)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71" w:right="1440" w:bottom="1440" w:gutter="0" w:footer="0" w:header="0"/>
          <w:type w:val="continuous"/>
        </w:sectPr>
      </w:pPr>
    </w:p>
    <w:bookmarkStart w:id="212" w:name="page213"/>
    <w:bookmarkEnd w:id="212"/>
    <w:p>
      <w:pPr>
        <w:ind w:left="440" w:hanging="430"/>
        <w:spacing w:after="0"/>
        <w:tabs>
          <w:tab w:leader="none" w:pos="44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information.  Furnish the following information as to the trustee:</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tabs>
          <w:tab w:leader="none" w:pos="38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Address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7"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Reserve Bank of Richmond, VA</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Richmond, VA</w:t>
      </w:r>
    </w:p>
    <w:p>
      <w:pPr>
        <w:spacing w:after="0" w:line="178" w:lineRule="exact"/>
        <w:rPr>
          <w:sz w:val="20"/>
          <w:szCs w:val="20"/>
          <w:color w:val="auto"/>
        </w:rPr>
      </w:pPr>
    </w:p>
    <w:p>
      <w:pPr>
        <w:sectPr>
          <w:pgSz w:w="11900" w:h="16838" w:orient="portrait"/>
          <w:cols w:equalWidth="0" w:num="2">
            <w:col w:w="3160" w:space="440"/>
            <w:col w:w="66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Comptroller of the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Washington, D.C.</w:t>
      </w:r>
    </w:p>
    <w:p>
      <w:pPr>
        <w:spacing w:after="0" w:line="178" w:lineRule="exact"/>
        <w:rPr>
          <w:sz w:val="20"/>
          <w:szCs w:val="20"/>
          <w:color w:val="auto"/>
        </w:rPr>
      </w:pPr>
    </w:p>
    <w:p>
      <w:pPr>
        <w:sectPr>
          <w:pgSz w:w="11900" w:h="16838" w:orient="portrait"/>
          <w:cols w:equalWidth="0" w:num="2">
            <w:col w:w="2880" w:space="720"/>
            <w:col w:w="6639"/>
          </w:cols>
          <w:pgMar w:left="220" w:top="617" w:right="1440" w:bottom="144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Securities and Exchange Commission Division of Market Regulation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178" w:lineRule="exact"/>
        <w:rPr>
          <w:sz w:val="20"/>
          <w:szCs w:val="20"/>
          <w:color w:val="auto"/>
        </w:rPr>
      </w:pPr>
    </w:p>
    <w:p>
      <w:pPr>
        <w:sectPr>
          <w:pgSz w:w="11900" w:h="16838" w:orient="portrait"/>
          <w:cols w:equalWidth="0" w:num="2">
            <w:col w:w="2980" w:space="620"/>
            <w:col w:w="66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Federal Deposit Insurance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Washington, D.C.</w:t>
      </w:r>
    </w:p>
    <w:p>
      <w:pPr>
        <w:spacing w:after="0" w:line="178" w:lineRule="exact"/>
        <w:rPr>
          <w:sz w:val="20"/>
          <w:szCs w:val="20"/>
          <w:color w:val="auto"/>
        </w:rPr>
      </w:pPr>
    </w:p>
    <w:p>
      <w:pPr>
        <w:sectPr>
          <w:pgSz w:w="11900" w:h="16838" w:orient="portrait"/>
          <w:cols w:equalWidth="0" w:num="2">
            <w:col w:w="3240" w:space="360"/>
            <w:col w:w="6639"/>
          </w:cols>
          <w:pgMar w:left="220" w:top="617" w:right="1440" w:bottom="1440" w:gutter="0" w:footer="0" w:header="0"/>
          <w:type w:val="continuous"/>
        </w:sectPr>
      </w:pPr>
    </w:p>
    <w:p>
      <w:pPr>
        <w:ind w:left="880" w:right="4019" w:hanging="433"/>
        <w:spacing w:after="0" w:line="509" w:lineRule="auto"/>
        <w:tabs>
          <w:tab w:leader="none" w:pos="880"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it is authorized to exercise corporate trust powers. The trustee is authorized to exercise corporate trust powers.</w:t>
      </w:r>
    </w:p>
    <w:p>
      <w:pPr>
        <w:ind w:left="440" w:hanging="430"/>
        <w:spacing w:after="0"/>
        <w:tabs>
          <w:tab w:leader="none" w:pos="44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Affiliations with obligor and underwriters.  If the obligor or any</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4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underwriter for the obligor is an affiliate of the trustee, describe each such affiliation.</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 on Page 4.)</w:t>
      </w:r>
    </w:p>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Because the obligor is not in default on any securities issued under indentures under which the applicant is trustee, Items 3 through 15 are not required herein.</w:t>
      </w:r>
    </w:p>
    <w:p>
      <w:pPr>
        <w:spacing w:after="0" w:line="167" w:lineRule="exact"/>
        <w:rPr>
          <w:sz w:val="20"/>
          <w:szCs w:val="20"/>
          <w:color w:val="auto"/>
        </w:rPr>
      </w:pPr>
    </w:p>
    <w:p>
      <w:pPr>
        <w:ind w:left="440" w:hanging="430"/>
        <w:spacing w:after="0"/>
        <w:tabs>
          <w:tab w:leader="none" w:pos="44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Exhibits.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4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exhibits identified below are filed as a part of this statement of eligibility.</w:t>
      </w:r>
    </w:p>
    <w:p>
      <w:pPr>
        <w:spacing w:after="0" w:line="173" w:lineRule="exact"/>
        <w:rPr>
          <w:rFonts w:ascii="Courier New" w:cs="Courier New" w:eastAsia="Courier New" w:hAnsi="Courier New"/>
          <w:sz w:val="15"/>
          <w:szCs w:val="15"/>
          <w:color w:val="auto"/>
        </w:rPr>
      </w:pPr>
    </w:p>
    <w:p>
      <w:pPr>
        <w:jc w:val="both"/>
        <w:ind w:left="880" w:right="3319" w:hanging="433"/>
        <w:spacing w:after="0" w:line="235" w:lineRule="auto"/>
        <w:tabs>
          <w:tab w:leader="none" w:pos="880"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Association of First Union National Bank as now in effect, which contain the authority to commence business and a grant of powers to exercise corporate trust powers.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type w:val="continuous"/>
        </w:sectPr>
      </w:pPr>
    </w:p>
    <w:bookmarkStart w:id="213" w:name="page214"/>
    <w:bookmarkEnd w:id="213"/>
    <w:p>
      <w:pPr>
        <w:ind w:left="433" w:right="3679" w:hanging="433"/>
        <w:spacing w:after="0" w:line="261" w:lineRule="auto"/>
        <w:tabs>
          <w:tab w:leader="none" w:pos="433"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certificate of authority of the trustee to commence business, if not contained in the Articles of Association.</w:t>
      </w:r>
    </w:p>
    <w:p>
      <w:pPr>
        <w:spacing w:after="0" w:line="159" w:lineRule="exact"/>
        <w:rPr>
          <w:rFonts w:ascii="Courier New" w:cs="Courier New" w:eastAsia="Courier New" w:hAnsi="Courier New"/>
          <w:sz w:val="14"/>
          <w:szCs w:val="14"/>
          <w:color w:val="auto"/>
        </w:rPr>
      </w:pPr>
    </w:p>
    <w:p>
      <w:pPr>
        <w:ind w:left="433" w:right="3239" w:hanging="433"/>
        <w:spacing w:after="0" w:line="235" w:lineRule="auto"/>
        <w:tabs>
          <w:tab w:leader="none" w:pos="43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authorization of the trustee to exercise corporate trust powers, if such authorization is not contained in the documents specified in exhibits (1) or (2) above.</w:t>
      </w:r>
    </w:p>
    <w:p>
      <w:pPr>
        <w:spacing w:after="0" w:line="173" w:lineRule="exact"/>
        <w:rPr>
          <w:rFonts w:ascii="Courier New" w:cs="Courier New" w:eastAsia="Courier New" w:hAnsi="Courier New"/>
          <w:sz w:val="15"/>
          <w:szCs w:val="15"/>
          <w:color w:val="auto"/>
        </w:rPr>
      </w:pPr>
    </w:p>
    <w:p>
      <w:pPr>
        <w:ind w:left="433" w:right="3839" w:hanging="433"/>
        <w:spacing w:after="0" w:line="234" w:lineRule="auto"/>
        <w:tabs>
          <w:tab w:leader="none" w:pos="43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First Union National Bank, or instruments corresponding thereto.</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Inapplicable.</w:t>
      </w:r>
    </w:p>
    <w:p>
      <w:pPr>
        <w:spacing w:after="0" w:line="172" w:lineRule="exact"/>
        <w:rPr>
          <w:rFonts w:ascii="Courier New" w:cs="Courier New" w:eastAsia="Courier New" w:hAnsi="Courier New"/>
          <w:sz w:val="15"/>
          <w:szCs w:val="15"/>
          <w:color w:val="auto"/>
        </w:rPr>
      </w:pPr>
    </w:p>
    <w:p>
      <w:pPr>
        <w:ind w:left="433" w:right="3579" w:hanging="433"/>
        <w:spacing w:after="0" w:line="235" w:lineRule="auto"/>
        <w:tabs>
          <w:tab w:leader="none" w:pos="43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trustee required by Section 321(b) of the Trust Indenture Act of 1939 is included at Page 4 of this Form T-1 Statement.</w:t>
      </w:r>
    </w:p>
    <w:p>
      <w:pPr>
        <w:spacing w:after="0" w:line="173" w:lineRule="exact"/>
        <w:rPr>
          <w:rFonts w:ascii="Courier New" w:cs="Courier New" w:eastAsia="Courier New" w:hAnsi="Courier New"/>
          <w:sz w:val="15"/>
          <w:szCs w:val="15"/>
          <w:color w:val="auto"/>
        </w:rPr>
      </w:pPr>
    </w:p>
    <w:p>
      <w:pPr>
        <w:ind w:left="433" w:right="3239" w:hanging="433"/>
        <w:spacing w:after="0" w:line="235" w:lineRule="auto"/>
        <w:tabs>
          <w:tab w:leader="none" w:pos="43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to the requirements of its supervising or examining authority is attached hereto.</w:t>
      </w:r>
    </w:p>
    <w:p>
      <w:pPr>
        <w:spacing w:after="0" w:line="167"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Inapplicable.</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Inapplicable.</w:t>
      </w:r>
    </w:p>
    <w:p>
      <w:pPr>
        <w:spacing w:after="0" w:line="166"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2"/>
          </w:cols>
          <w:pgMar w:left="667" w:top="624" w:right="1440" w:bottom="1440" w:gutter="0" w:footer="0" w:header="0"/>
        </w:sectPr>
      </w:pPr>
    </w:p>
    <w:bookmarkStart w:id="214" w:name="page215"/>
    <w:bookmarkEnd w:id="214"/>
    <w:p>
      <w:pPr>
        <w:jc w:val="center"/>
        <w:ind w:right="3399"/>
        <w:spacing w:after="0"/>
        <w:rPr>
          <w:sz w:val="20"/>
          <w:szCs w:val="20"/>
          <w:color w:val="auto"/>
        </w:rPr>
      </w:pPr>
      <w:r>
        <w:rPr>
          <w:rFonts w:ascii="Courier New" w:cs="Courier New" w:eastAsia="Courier New" w:hAnsi="Courier New"/>
          <w:sz w:val="15"/>
          <w:szCs w:val="15"/>
          <w:color w:val="auto"/>
        </w:rPr>
        <w:t>NOTE</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Note 1: Inasmuch as this Form T-1 is filed prior to the ascertainment by the Trustee of all facts on which to base a responsive answer to Item 2, the answer to said Item is based on incomplete information. Item 2 may, however, be considered correct unless amended by an amendment to this Form T-1.</w:t>
      </w:r>
    </w:p>
    <w:p>
      <w:pPr>
        <w:spacing w:after="0" w:line="33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the requirements of the Trust Indenture Act of 1939, as amended, the trustee, First Union National Bank, a national association organized and existing under the laws of the United States of America, has duly caused this statement of eligibility and qualification to be signed on its behalf by the undersigned, thereunto duly authorized, all in the City of Charlotte, and State of North Carolina, on the _____ day of September, 1998.</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FIRST UNION NATIONAL BANK</w:t>
      </w:r>
    </w:p>
    <w:p>
      <w:pPr>
        <w:ind w:left="2640"/>
        <w:spacing w:after="0" w:line="237" w:lineRule="auto"/>
        <w:rPr>
          <w:sz w:val="20"/>
          <w:szCs w:val="20"/>
          <w:color w:val="auto"/>
        </w:rPr>
      </w:pPr>
      <w:r>
        <w:rPr>
          <w:rFonts w:ascii="Courier New" w:cs="Courier New" w:eastAsia="Courier New" w:hAnsi="Courier New"/>
          <w:sz w:val="15"/>
          <w:szCs w:val="15"/>
          <w:color w:val="auto"/>
        </w:rPr>
        <w:t>(trustee)</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Shannon Schwartz</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rPr>
          <w:sz w:val="20"/>
          <w:szCs w:val="20"/>
          <w:color w:val="auto"/>
        </w:rPr>
      </w:pPr>
      <w:r>
        <w:rPr>
          <w:rFonts w:ascii="Courier New" w:cs="Courier New" w:eastAsia="Courier New" w:hAnsi="Courier New"/>
          <w:sz w:val="15"/>
          <w:szCs w:val="15"/>
          <w:color w:val="auto"/>
        </w:rPr>
        <w:t>Its: Asst. Vice President</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CONSENT OF TRUSTEE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section 321(b) of the Trust Indenture Act of 1939, as amended, and in connection with the proposed issuance by Federal Realty Investment Trust Senior and Subordinated Debt Securities, First Union National Bank as the trustee herein named, hereby consents that reports of examinations of said Trustee by Federal, State, Territorial or District authorities may be furnished by such authorities to the Securities and Exchange Commission upon requests therefor.</w:t>
      </w:r>
    </w:p>
    <w:p>
      <w:pPr>
        <w:spacing w:after="0" w:line="16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FIRST UNION NATIONAL BANK</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Shannon Schwartz</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rPr>
          <w:sz w:val="20"/>
          <w:szCs w:val="20"/>
          <w:color w:val="auto"/>
        </w:rPr>
      </w:pPr>
      <w:r>
        <w:rPr>
          <w:rFonts w:ascii="Courier New" w:cs="Courier New" w:eastAsia="Courier New" w:hAnsi="Courier New"/>
          <w:sz w:val="15"/>
          <w:szCs w:val="15"/>
          <w:color w:val="auto"/>
        </w:rPr>
        <w:t>Name: Shannon Schwartz</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rPr>
          <w:sz w:val="20"/>
          <w:szCs w:val="20"/>
          <w:color w:val="auto"/>
        </w:rPr>
      </w:pPr>
      <w:r>
        <w:rPr>
          <w:rFonts w:ascii="Courier New" w:cs="Courier New" w:eastAsia="Courier New" w:hAnsi="Courier New"/>
          <w:sz w:val="15"/>
          <w:szCs w:val="15"/>
          <w:color w:val="auto"/>
        </w:rPr>
        <w:t>Title: Asst. Vice President</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September 17, 1998</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Legal Title of Bank:</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First Union National Bank</w:t>
            </w:r>
          </w:p>
        </w:tc>
        <w:tc>
          <w:tcPr>
            <w:tcW w:w="2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Call Date: 6/30/98</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Two First Union Center</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ST-BK: 37-0351   FFIEC 031</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 Zip:</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Charlotte, NC  28288-0201</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Page RC-1</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FDIC Certificate #:</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33869</w:t>
            </w:r>
          </w:p>
        </w:tc>
        <w:tc>
          <w:tcPr>
            <w:tcW w:w="262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Report of Condition for Insured Commercial</w:t>
      </w:r>
    </w:p>
    <w:p>
      <w:pPr>
        <w:spacing w:after="0" w:line="237" w:lineRule="auto"/>
        <w:rPr>
          <w:sz w:val="20"/>
          <w:szCs w:val="20"/>
          <w:color w:val="auto"/>
        </w:rPr>
      </w:pPr>
      <w:r>
        <w:rPr>
          <w:rFonts w:ascii="Courier New" w:cs="Courier New" w:eastAsia="Courier New" w:hAnsi="Courier New"/>
          <w:sz w:val="15"/>
          <w:szCs w:val="15"/>
          <w:color w:val="auto"/>
        </w:rPr>
        <w:t>and State-Chartered Savings Banks for June 30, 1998</w:t>
      </w:r>
    </w:p>
    <w:p>
      <w:pPr>
        <w:spacing w:after="0" w:line="173" w:lineRule="exact"/>
        <w:rPr>
          <w:sz w:val="20"/>
          <w:szCs w:val="20"/>
          <w:color w:val="auto"/>
        </w:rPr>
      </w:pPr>
    </w:p>
    <w:p>
      <w:pPr>
        <w:jc w:val="both"/>
        <w:ind w:right="4380"/>
        <w:spacing w:after="0" w:line="235" w:lineRule="auto"/>
        <w:rPr>
          <w:sz w:val="20"/>
          <w:szCs w:val="20"/>
          <w:color w:val="auto"/>
        </w:rPr>
      </w:pPr>
      <w:r>
        <w:rPr>
          <w:rFonts w:ascii="Courier New" w:cs="Courier New" w:eastAsia="Courier New" w:hAnsi="Courier New"/>
          <w:sz w:val="15"/>
          <w:szCs w:val="15"/>
          <w:color w:val="auto"/>
        </w:rPr>
        <w:t>All schedules are to be reported in thousands of dollars. Unless otherwise indicated, report the amount outstanding as of the last business day of the quarter.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gridSpan w:val="2"/>
          </w:tcPr>
          <w:p>
            <w:pPr>
              <w:spacing w:after="0"/>
              <w:rPr>
                <w:sz w:val="20"/>
                <w:szCs w:val="20"/>
                <w:color w:val="auto"/>
              </w:rPr>
            </w:pPr>
            <w:r>
              <w:rPr>
                <w:rFonts w:ascii="Courier New" w:cs="Courier New" w:eastAsia="Courier New" w:hAnsi="Courier New"/>
                <w:sz w:val="15"/>
                <w:szCs w:val="15"/>
                <w:color w:val="auto"/>
              </w:rPr>
              <w:t>Schedule RC--Balance Sheet</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73"/>
        </w:trPr>
        <w:tc>
          <w:tcPr>
            <w:tcW w:w="3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C400</w:t>
            </w:r>
          </w:p>
        </w:tc>
        <w:tc>
          <w:tcPr>
            <w:tcW w:w="44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7700" w:type="dxa"/>
            <w:vAlign w:val="bottom"/>
            <w:gridSpan w:val="3"/>
          </w:tcPr>
          <w:p>
            <w:pPr>
              <w:ind w:left="5340"/>
              <w:spacing w:after="0" w:line="168" w:lineRule="exact"/>
              <w:rPr>
                <w:sz w:val="20"/>
                <w:szCs w:val="20"/>
                <w:color w:val="auto"/>
              </w:rPr>
            </w:pPr>
            <w:r>
              <w:rPr>
                <w:rFonts w:ascii="Courier New" w:cs="Courier New" w:eastAsia="Courier New" w:hAnsi="Courier New"/>
                <w:sz w:val="15"/>
                <w:szCs w:val="15"/>
                <w:color w:val="auto"/>
                <w:w w:val="99"/>
              </w:rPr>
              <w:t>Dollar Amount in Thousands</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RCFD</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Bil   Mil   Thou</w:t>
            </w:r>
          </w:p>
        </w:tc>
        <w:tc>
          <w:tcPr>
            <w:tcW w:w="440" w:type="dxa"/>
            <w:vAlign w:val="bottom"/>
          </w:tcPr>
          <w:p>
            <w:pPr>
              <w:spacing w:after="0"/>
              <w:rPr>
                <w:sz w:val="14"/>
                <w:szCs w:val="14"/>
                <w:color w:val="auto"/>
              </w:rPr>
            </w:pPr>
          </w:p>
        </w:tc>
      </w:tr>
      <w:tr>
        <w:trPr>
          <w:trHeight w:val="168"/>
        </w:trPr>
        <w:tc>
          <w:tcPr>
            <w:tcW w:w="105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440" w:type="dxa"/>
            <w:vAlign w:val="bottom"/>
          </w:tcPr>
          <w:p>
            <w:pPr>
              <w:spacing w:after="0"/>
              <w:rPr>
                <w:sz w:val="14"/>
                <w:szCs w:val="14"/>
                <w:color w:val="auto"/>
              </w:rPr>
            </w:pPr>
          </w:p>
        </w:tc>
      </w:tr>
      <w:tr>
        <w:trPr>
          <w:trHeight w:val="336"/>
        </w:trPr>
        <w:tc>
          <w:tcPr>
            <w:tcW w:w="6140" w:type="dxa"/>
            <w:vAlign w:val="bottom"/>
            <w:gridSpan w:val="2"/>
          </w:tcPr>
          <w:p>
            <w:pPr>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6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Cash and balances due from depository institutions (from Schedule RC-A):</w:t>
            </w:r>
          </w:p>
        </w:tc>
        <w:tc>
          <w:tcPr>
            <w:tcW w:w="880" w:type="dxa"/>
            <w:vAlign w:val="bottom"/>
          </w:tcPr>
          <w:p>
            <w:pPr>
              <w:spacing w:after="0"/>
              <w:rPr>
                <w:sz w:val="14"/>
                <w:szCs w:val="14"/>
                <w:color w:val="auto"/>
              </w:rPr>
            </w:pPr>
          </w:p>
        </w:tc>
        <w:tc>
          <w:tcPr>
            <w:tcW w:w="2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8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6"/>
              </w:rPr>
              <w:t>a. Noninterest-bearing balances and currency and coin (1)............................</w:t>
            </w:r>
          </w:p>
        </w:tc>
        <w:tc>
          <w:tcPr>
            <w:tcW w:w="88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0081</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9,898,292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1.a.</w:t>
            </w:r>
          </w:p>
        </w:tc>
      </w:tr>
      <w:tr>
        <w:trPr>
          <w:trHeight w:val="168"/>
        </w:trPr>
        <w:tc>
          <w:tcPr>
            <w:tcW w:w="360" w:type="dxa"/>
            <w:vAlign w:val="bottom"/>
          </w:tcPr>
          <w:p>
            <w:pPr>
              <w:spacing w:after="0"/>
              <w:rPr>
                <w:sz w:val="14"/>
                <w:szCs w:val="14"/>
                <w:color w:val="auto"/>
              </w:rPr>
            </w:pPr>
          </w:p>
        </w:tc>
        <w:tc>
          <w:tcPr>
            <w:tcW w:w="68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6"/>
              </w:rPr>
              <w:t>b. Interest-bearing balances (2).....................................................</w:t>
            </w:r>
          </w:p>
        </w:tc>
        <w:tc>
          <w:tcPr>
            <w:tcW w:w="88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0071</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1,785,499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1.b.</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5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Securities:</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8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6"/>
              </w:rPr>
              <w:t>a. Held-to-maturity securities (from Schedule RC-B, column A)........................</w:t>
            </w:r>
          </w:p>
        </w:tc>
        <w:tc>
          <w:tcPr>
            <w:tcW w:w="88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1754</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2,105,131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2.a.</w:t>
            </w:r>
          </w:p>
        </w:tc>
      </w:tr>
      <w:tr>
        <w:trPr>
          <w:trHeight w:val="168"/>
        </w:trPr>
        <w:tc>
          <w:tcPr>
            <w:tcW w:w="360" w:type="dxa"/>
            <w:vAlign w:val="bottom"/>
          </w:tcPr>
          <w:p>
            <w:pPr>
              <w:spacing w:after="0"/>
              <w:rPr>
                <w:sz w:val="14"/>
                <w:szCs w:val="14"/>
                <w:color w:val="auto"/>
              </w:rPr>
            </w:pPr>
          </w:p>
        </w:tc>
        <w:tc>
          <w:tcPr>
            <w:tcW w:w="68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6"/>
              </w:rPr>
              <w:t>b. Available-for-sale securities (from Schedule RC-B, column D)......................</w:t>
            </w:r>
          </w:p>
        </w:tc>
        <w:tc>
          <w:tcPr>
            <w:tcW w:w="88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1773</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36,130,513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2.b.</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7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Federal funds sold and securities purchased under agreements to resell................</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1350</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4,551,009</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5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Loans and lease financing receivables</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a. Loans and leases, net of unearned income (from Schedule RC-C)RCFD 2122 136,146,290</w:t>
            </w:r>
          </w:p>
        </w:tc>
        <w:tc>
          <w:tcPr>
            <w:tcW w:w="2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4.a.</w:t>
            </w:r>
          </w:p>
        </w:tc>
      </w:tr>
      <w:tr>
        <w:trPr>
          <w:trHeight w:val="168"/>
        </w:trPr>
        <w:tc>
          <w:tcPr>
            <w:tcW w:w="360" w:type="dxa"/>
            <w:vAlign w:val="bottom"/>
          </w:tcPr>
          <w:p>
            <w:pPr>
              <w:spacing w:after="0"/>
              <w:rPr>
                <w:sz w:val="14"/>
                <w:szCs w:val="14"/>
                <w:color w:val="auto"/>
              </w:rPr>
            </w:pPr>
          </w:p>
        </w:tc>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 LESS: Allowance for loan and lease losses..................</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RCFD 3123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1,814,169</w:t>
            </w:r>
          </w:p>
        </w:tc>
        <w:tc>
          <w:tcPr>
            <w:tcW w:w="2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4.b.</w:t>
            </w:r>
          </w:p>
        </w:tc>
      </w:tr>
      <w:tr>
        <w:trPr>
          <w:trHeight w:val="168"/>
        </w:trPr>
        <w:tc>
          <w:tcPr>
            <w:tcW w:w="360" w:type="dxa"/>
            <w:vAlign w:val="bottom"/>
          </w:tcPr>
          <w:p>
            <w:pPr>
              <w:spacing w:after="0"/>
              <w:rPr>
                <w:sz w:val="14"/>
                <w:szCs w:val="14"/>
                <w:color w:val="auto"/>
              </w:rPr>
            </w:pPr>
          </w:p>
        </w:tc>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 LESS: Allocated transfer risk reserve......................</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RCFD 3128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2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4.c.</w:t>
            </w:r>
          </w:p>
        </w:tc>
      </w:tr>
      <w:tr>
        <w:trPr>
          <w:trHeight w:val="168"/>
        </w:trPr>
        <w:tc>
          <w:tcPr>
            <w:tcW w:w="360" w:type="dxa"/>
            <w:vAlign w:val="bottom"/>
          </w:tcPr>
          <w:p>
            <w:pPr>
              <w:spacing w:after="0"/>
              <w:rPr>
                <w:sz w:val="14"/>
                <w:szCs w:val="14"/>
                <w:color w:val="auto"/>
              </w:rPr>
            </w:pPr>
          </w:p>
        </w:tc>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 Loans and leases, net of unearned income,</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8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6"/>
              </w:rPr>
              <w:t>allowance, and reserve (item 4.a minus 4.b and 4.c)...............................</w:t>
            </w:r>
          </w:p>
        </w:tc>
        <w:tc>
          <w:tcPr>
            <w:tcW w:w="88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2126</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134,332,111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4.d.</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6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86"/>
              </w:rPr>
              <w:t>Trading assets (from Schedule RC-D)...................................................</w:t>
            </w:r>
          </w:p>
        </w:tc>
        <w:tc>
          <w:tcPr>
            <w:tcW w:w="88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3545</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5,786,208</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6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86"/>
              </w:rPr>
              <w:t>Premises and fixed assets (including capitalized leases)..............................</w:t>
            </w:r>
          </w:p>
        </w:tc>
        <w:tc>
          <w:tcPr>
            <w:tcW w:w="88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2145</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3,278,523</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c>
          <w:tcPr>
            <w:tcW w:w="6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86"/>
              </w:rPr>
              <w:t>Other real estate owned (from Schedule RC-M)..........................................</w:t>
            </w:r>
          </w:p>
        </w:tc>
        <w:tc>
          <w:tcPr>
            <w:tcW w:w="88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2150</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125,154</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6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Investments in unconsolidated subsidiaries and associated companies</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86"/>
              </w:rPr>
              <w:t>(from Schedule RC-M)..................................................................</w:t>
            </w:r>
          </w:p>
        </w:tc>
        <w:tc>
          <w:tcPr>
            <w:tcW w:w="88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2180</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345,634</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c>
          <w:tcPr>
            <w:tcW w:w="6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86"/>
              </w:rPr>
              <w:t>Customers' liability to this bank on acceptances outstanding..........................</w:t>
            </w:r>
          </w:p>
        </w:tc>
        <w:tc>
          <w:tcPr>
            <w:tcW w:w="88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2155</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1,091,060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10.</w:t>
            </w:r>
          </w:p>
        </w:tc>
        <w:tc>
          <w:tcPr>
            <w:tcW w:w="6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86"/>
              </w:rPr>
              <w:t>Intangible assets (from Schedule RC-M)................................................</w:t>
            </w:r>
          </w:p>
        </w:tc>
        <w:tc>
          <w:tcPr>
            <w:tcW w:w="88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2143</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5,221,760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10.</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11.</w:t>
            </w:r>
          </w:p>
        </w:tc>
        <w:tc>
          <w:tcPr>
            <w:tcW w:w="6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86"/>
              </w:rPr>
              <w:t>Other assets (from Schedule RC-F).....................................................</w:t>
            </w:r>
          </w:p>
        </w:tc>
        <w:tc>
          <w:tcPr>
            <w:tcW w:w="88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2160</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8,649,274</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11.</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12.</w:t>
            </w:r>
          </w:p>
        </w:tc>
        <w:tc>
          <w:tcPr>
            <w:tcW w:w="6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86"/>
              </w:rPr>
              <w:t>Total assets (sum of items 1 through 11)..............................................</w:t>
            </w:r>
          </w:p>
        </w:tc>
        <w:tc>
          <w:tcPr>
            <w:tcW w:w="88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2170</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213,300,168</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cash items in process of collection and unposted debits.</w:t>
      </w:r>
    </w:p>
    <w:p>
      <w:pPr>
        <w:ind w:left="360" w:hanging="350"/>
        <w:spacing w:after="0" w:line="237" w:lineRule="auto"/>
        <w:tabs>
          <w:tab w:leader="none" w:pos="36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time certificates of deposit not held for trading.</w:t>
      </w:r>
    </w:p>
    <w:p>
      <w:pPr>
        <w:sectPr>
          <w:pgSz w:w="11900" w:h="16838" w:orient="portrait"/>
          <w:cols w:equalWidth="0" w:num="1">
            <w:col w:w="10940"/>
          </w:cols>
          <w:pgMar w:left="220" w:top="617" w:right="7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Legal Title of Bank:</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First Union National Bank</w:t>
            </w:r>
          </w:p>
        </w:tc>
        <w:tc>
          <w:tcPr>
            <w:tcW w:w="2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Call Date: 6/30/98</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Two First Union Center</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ST-BK:  37-0351  FFIEC 031</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 Zip:</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Charlotte, NC  28288-0201</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Page RC-1</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FDIC Certificate #:</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33869</w:t>
            </w:r>
          </w:p>
        </w:tc>
        <w:tc>
          <w:tcPr>
            <w:tcW w:w="262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tcPr>
          <w:p>
            <w:pPr>
              <w:spacing w:after="0"/>
              <w:rPr>
                <w:sz w:val="14"/>
                <w:szCs w:val="14"/>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gridSpan w:val="3"/>
          </w:tcPr>
          <w:p>
            <w:pPr>
              <w:spacing w:after="0"/>
              <w:rPr>
                <w:sz w:val="20"/>
                <w:szCs w:val="20"/>
                <w:color w:val="auto"/>
              </w:rPr>
            </w:pPr>
            <w:r>
              <w:rPr>
                <w:rFonts w:ascii="Courier New" w:cs="Courier New" w:eastAsia="Courier New" w:hAnsi="Courier New"/>
                <w:sz w:val="15"/>
                <w:szCs w:val="15"/>
                <w:color w:val="auto"/>
              </w:rPr>
              <w:t>Schedule RC--Continued</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Dollar Amount in Thousands</w:t>
            </w:r>
          </w:p>
        </w:tc>
        <w:tc>
          <w:tcPr>
            <w:tcW w:w="900" w:type="dxa"/>
            <w:vAlign w:val="bottom"/>
          </w:tcPr>
          <w:p>
            <w:pPr>
              <w:spacing w:after="0"/>
              <w:rPr>
                <w:sz w:val="24"/>
                <w:szCs w:val="2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9"/>
              </w:rPr>
              <w:t>Bil Mil Thou</w:t>
            </w:r>
          </w:p>
        </w:tc>
        <w:tc>
          <w:tcPr>
            <w:tcW w:w="780" w:type="dxa"/>
            <w:vAlign w:val="bottom"/>
          </w:tcPr>
          <w:p>
            <w:pPr>
              <w:spacing w:after="0"/>
              <w:rPr>
                <w:sz w:val="24"/>
                <w:szCs w:val="24"/>
                <w:color w:val="auto"/>
              </w:rPr>
            </w:pPr>
          </w:p>
        </w:tc>
      </w:tr>
      <w:tr>
        <w:trPr>
          <w:trHeight w:val="168"/>
        </w:trPr>
        <w:tc>
          <w:tcPr>
            <w:tcW w:w="1076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rPr>
                <w:sz w:val="14"/>
                <w:szCs w:val="14"/>
                <w:color w:val="auto"/>
              </w:rPr>
            </w:pPr>
          </w:p>
        </w:tc>
      </w:tr>
      <w:tr>
        <w:trPr>
          <w:trHeight w:val="336"/>
        </w:trPr>
        <w:tc>
          <w:tcPr>
            <w:tcW w:w="5780" w:type="dxa"/>
            <w:vAlign w:val="bottom"/>
            <w:gridSpan w:val="3"/>
          </w:tcPr>
          <w:p>
            <w:pPr>
              <w:spacing w:after="0"/>
              <w:rPr>
                <w:sz w:val="20"/>
                <w:szCs w:val="20"/>
                <w:color w:val="auto"/>
              </w:rPr>
            </w:pPr>
            <w:r>
              <w:rPr>
                <w:rFonts w:ascii="Courier New" w:cs="Courier New" w:eastAsia="Courier New" w:hAnsi="Courier New"/>
                <w:sz w:val="15"/>
                <w:szCs w:val="15"/>
                <w:color w:val="auto"/>
              </w:rPr>
              <w:t>LIABILITIES</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24"/>
                <w:szCs w:val="24"/>
                <w:color w:val="auto"/>
              </w:rPr>
            </w:pP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13.</w:t>
            </w:r>
          </w:p>
        </w:tc>
        <w:tc>
          <w:tcPr>
            <w:tcW w:w="54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Deposits:</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8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6"/>
              </w:rPr>
              <w:t>a. In domestic offices (sum of totals of columns A and C from Schedule RC-E,</w:t>
            </w:r>
          </w:p>
        </w:tc>
        <w:tc>
          <w:tcPr>
            <w:tcW w:w="1060" w:type="dxa"/>
            <w:vAlign w:val="bottom"/>
          </w:tcPr>
          <w:p>
            <w:pPr>
              <w:spacing w:after="0"/>
              <w:rPr>
                <w:sz w:val="14"/>
                <w:szCs w:val="14"/>
                <w:color w:val="auto"/>
              </w:rPr>
            </w:pPr>
          </w:p>
        </w:tc>
        <w:tc>
          <w:tcPr>
            <w:tcW w:w="2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9"/>
              </w:rPr>
              <w:t>part I)............................................................................</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RCON 2200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133,606,970</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13.a.</w:t>
            </w:r>
          </w:p>
        </w:tc>
      </w:tr>
      <w:tr>
        <w:trPr>
          <w:trHeight w:val="168"/>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1"/>
              </w:rPr>
              <w:t>(1) Noninterest-bearing (1).................................</w:t>
            </w:r>
          </w:p>
        </w:tc>
        <w:tc>
          <w:tcPr>
            <w:tcW w:w="8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RCON</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6631</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26,221,093</w:t>
            </w:r>
          </w:p>
        </w:tc>
        <w:tc>
          <w:tcPr>
            <w:tcW w:w="2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1"/>
              </w:rPr>
              <w:t>13.a.(1)</w:t>
            </w:r>
          </w:p>
        </w:tc>
      </w:tr>
      <w:tr>
        <w:trPr>
          <w:trHeight w:val="168"/>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1"/>
              </w:rPr>
              <w:t>(2) Interest-bearing........................................</w:t>
            </w:r>
          </w:p>
        </w:tc>
        <w:tc>
          <w:tcPr>
            <w:tcW w:w="8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RCON</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6636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107,385,877</w:t>
            </w:r>
          </w:p>
        </w:tc>
        <w:tc>
          <w:tcPr>
            <w:tcW w:w="2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1"/>
              </w:rPr>
              <w:t>13.a.(2)</w:t>
            </w:r>
          </w:p>
        </w:tc>
      </w:tr>
      <w:tr>
        <w:trPr>
          <w:trHeight w:val="168"/>
        </w:trPr>
        <w:tc>
          <w:tcPr>
            <w:tcW w:w="360" w:type="dxa"/>
            <w:vAlign w:val="bottom"/>
          </w:tcPr>
          <w:p>
            <w:pPr>
              <w:spacing w:after="0"/>
              <w:rPr>
                <w:sz w:val="14"/>
                <w:szCs w:val="14"/>
                <w:color w:val="auto"/>
              </w:rPr>
            </w:pPr>
          </w:p>
        </w:tc>
        <w:tc>
          <w:tcPr>
            <w:tcW w:w="788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b. In foreign offices, Edge and Agreement subsidiaries, and IBFs (from Schedule RC-E,</w:t>
            </w:r>
          </w:p>
        </w:tc>
        <w:tc>
          <w:tcPr>
            <w:tcW w:w="2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8"/>
              </w:rPr>
              <w:t>part II)............................................................................</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RCFN 2200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9,377,311</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13.b.</w:t>
            </w:r>
          </w:p>
        </w:tc>
      </w:tr>
      <w:tr>
        <w:trPr>
          <w:trHeight w:val="168"/>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1"/>
              </w:rPr>
              <w:t>(1) Noninterest-bearing.....................................</w:t>
            </w:r>
          </w:p>
        </w:tc>
        <w:tc>
          <w:tcPr>
            <w:tcW w:w="8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RCFN</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6631</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581,219</w:t>
            </w:r>
          </w:p>
        </w:tc>
        <w:tc>
          <w:tcPr>
            <w:tcW w:w="2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1"/>
              </w:rPr>
              <w:t>13.b.(1)</w:t>
            </w:r>
          </w:p>
        </w:tc>
      </w:tr>
      <w:tr>
        <w:trPr>
          <w:trHeight w:val="168"/>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1"/>
              </w:rPr>
              <w:t>(2) Interest-bearing........................................</w:t>
            </w:r>
          </w:p>
        </w:tc>
        <w:tc>
          <w:tcPr>
            <w:tcW w:w="8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RCFN</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6636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8,796,092</w:t>
            </w:r>
          </w:p>
        </w:tc>
        <w:tc>
          <w:tcPr>
            <w:tcW w:w="2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1"/>
              </w:rPr>
              <w:t>13.b.(2)</w:t>
            </w:r>
          </w:p>
        </w:tc>
      </w:tr>
      <w:tr>
        <w:trPr>
          <w:trHeight w:val="336"/>
        </w:trPr>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14.</w:t>
            </w:r>
          </w:p>
        </w:tc>
        <w:tc>
          <w:tcPr>
            <w:tcW w:w="788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8"/>
              </w:rPr>
              <w:t>Federal funds purchased and securities sold under agreements to repurchase..............</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RCFD 2800</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22,988,933</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14.</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15.</w:t>
            </w: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80"/>
              </w:rPr>
              <w:t>a. Demand notes issued to the U.S. Treasury............................................</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RCON 2840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850,539</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15.a.</w:t>
            </w:r>
          </w:p>
        </w:tc>
      </w:tr>
      <w:tr>
        <w:trPr>
          <w:trHeight w:val="168"/>
        </w:trPr>
        <w:tc>
          <w:tcPr>
            <w:tcW w:w="360" w:type="dxa"/>
            <w:vAlign w:val="bottom"/>
          </w:tcPr>
          <w:p>
            <w:pPr>
              <w:spacing w:after="0"/>
              <w:rPr>
                <w:sz w:val="14"/>
                <w:szCs w:val="14"/>
                <w:color w:val="auto"/>
              </w:rPr>
            </w:pP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80"/>
              </w:rPr>
              <w:t>b. Trading liabilities (from Schedule RC-D)............................................</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3548</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4,824,321</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15.b.</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16.</w:t>
            </w:r>
          </w:p>
        </w:tc>
        <w:tc>
          <w:tcPr>
            <w:tcW w:w="682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Other borrowed money (includes mortgage indebtedness and obligations under</w:t>
            </w:r>
          </w:p>
        </w:tc>
        <w:tc>
          <w:tcPr>
            <w:tcW w:w="1060" w:type="dxa"/>
            <w:vAlign w:val="bottom"/>
          </w:tcPr>
          <w:p>
            <w:pPr>
              <w:spacing w:after="0"/>
              <w:rPr>
                <w:sz w:val="14"/>
                <w:szCs w:val="14"/>
                <w:color w:val="auto"/>
              </w:rPr>
            </w:pPr>
          </w:p>
        </w:tc>
        <w:tc>
          <w:tcPr>
            <w:tcW w:w="2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9"/>
              </w:rPr>
              <w:t>capitalized leases):....................................................................</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80"/>
              </w:rPr>
              <w:t>a. With a remaining maturity of one year or less.......................................</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2332</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11,459,244</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16.a.</w:t>
            </w:r>
          </w:p>
        </w:tc>
      </w:tr>
      <w:tr>
        <w:trPr>
          <w:trHeight w:val="168"/>
        </w:trPr>
        <w:tc>
          <w:tcPr>
            <w:tcW w:w="360" w:type="dxa"/>
            <w:vAlign w:val="bottom"/>
          </w:tcPr>
          <w:p>
            <w:pPr>
              <w:spacing w:after="0"/>
              <w:rPr>
                <w:sz w:val="14"/>
                <w:szCs w:val="14"/>
                <w:color w:val="auto"/>
              </w:rPr>
            </w:pP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b. With a remaining maturity of more than one year through three years</w:t>
            </w: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A547</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590,270</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16.b.</w:t>
            </w:r>
          </w:p>
        </w:tc>
      </w:tr>
      <w:tr>
        <w:trPr>
          <w:trHeight w:val="168"/>
        </w:trPr>
        <w:tc>
          <w:tcPr>
            <w:tcW w:w="360" w:type="dxa"/>
            <w:vAlign w:val="bottom"/>
          </w:tcPr>
          <w:p>
            <w:pPr>
              <w:spacing w:after="0"/>
              <w:rPr>
                <w:sz w:val="14"/>
                <w:szCs w:val="14"/>
                <w:color w:val="auto"/>
              </w:rPr>
            </w:pP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80"/>
              </w:rPr>
              <w:t>c. With a remaining maturity of more than three years..................................</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A548</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437,360</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16.c.</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17.</w:t>
            </w: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9"/>
              </w:rPr>
              <w:t>Not applicable..........................................................................</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4"/>
                <w:szCs w:val="14"/>
                <w:color w:val="auto"/>
              </w:rPr>
            </w:pP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18.</w:t>
            </w: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9"/>
              </w:rPr>
              <w:t>Bank's liability on acceptances executed and outstanding................................</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2920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1,5106,327</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19.</w:t>
            </w: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9"/>
              </w:rPr>
              <w:t>Subordinated notes and debentures (2)...................................................</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3200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3,512,216</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w:t>
            </w: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9"/>
              </w:rPr>
              <w:t>Other liabilities (from Schedule RC-G)..................................................</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2930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7,361,602</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21.</w:t>
            </w: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9"/>
              </w:rPr>
              <w:t>Total liabilities (sum of items 13 through 20)..........................................</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2948</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196,115,093</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22.</w:t>
            </w: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9"/>
              </w:rPr>
              <w:t>Not applicable..........................................................................</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4"/>
                <w:szCs w:val="14"/>
                <w:color w:val="auto"/>
              </w:rPr>
            </w:pPr>
          </w:p>
        </w:tc>
      </w:tr>
      <w:tr>
        <w:trPr>
          <w:trHeight w:val="168"/>
        </w:trPr>
        <w:tc>
          <w:tcPr>
            <w:tcW w:w="57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EQUITY CAPITAL</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4"/>
                <w:szCs w:val="14"/>
                <w:color w:val="auto"/>
              </w:rPr>
            </w:pP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23.</w:t>
            </w: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9"/>
              </w:rPr>
              <w:t>Perpetual preferred stock and related surplus...........................................</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3838</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160,540</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24.</w:t>
            </w: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9"/>
              </w:rPr>
              <w:t>Common stock............................................................................</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3230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454,543</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25.</w:t>
            </w: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9"/>
              </w:rPr>
              <w:t>Surplus (exclude all surplus related to preferred stock)................................</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3839</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13,225,076</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26.</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w:t>
            </w:r>
          </w:p>
        </w:tc>
        <w:tc>
          <w:tcPr>
            <w:tcW w:w="5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8"/>
              </w:rPr>
              <w:t>Undivided profits and capital reserves..............................................</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3632</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3,015,429</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26.a.</w:t>
            </w:r>
          </w:p>
        </w:tc>
      </w:tr>
      <w:tr>
        <w:trPr>
          <w:trHeight w:val="168"/>
        </w:trPr>
        <w:tc>
          <w:tcPr>
            <w:tcW w:w="36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w:t>
            </w:r>
          </w:p>
        </w:tc>
        <w:tc>
          <w:tcPr>
            <w:tcW w:w="754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8"/>
              </w:rPr>
              <w:t>Net unrealized holding gains (losses) on available-for-sale securities..............</w:t>
            </w: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8434</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330,722</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26.b.</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27.</w:t>
            </w: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9"/>
              </w:rPr>
              <w:t>Cumulative foreign currency translation adjustments.....................................</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3284</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(1,235)</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28.</w:t>
            </w: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9"/>
              </w:rPr>
              <w:t>Total equity capital (sum of items 23 through 27).......................................</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3210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17,185,075</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29.</w:t>
            </w:r>
          </w:p>
        </w:tc>
        <w:tc>
          <w:tcPr>
            <w:tcW w:w="54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Total liabilities and equity capital (sum of items 21 and 28)</w:t>
            </w:r>
          </w:p>
        </w:tc>
        <w:tc>
          <w:tcPr>
            <w:tcW w:w="1400" w:type="dxa"/>
            <w:vAlign w:val="bottom"/>
            <w:gridSpan w:val="2"/>
          </w:tcPr>
          <w:p>
            <w:pPr>
              <w:spacing w:after="0"/>
              <w:rPr>
                <w:sz w:val="20"/>
                <w:szCs w:val="20"/>
                <w:color w:val="auto"/>
              </w:rPr>
            </w:pPr>
            <w:r>
              <w:rPr>
                <w:rFonts w:ascii="Courier New" w:cs="Courier New" w:eastAsia="Courier New" w:hAnsi="Courier New"/>
                <w:sz w:val="12"/>
                <w:szCs w:val="12"/>
                <w:color w:val="auto"/>
                <w:w w:val="70"/>
              </w:rPr>
              <w:t>...........................</w:t>
            </w: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3300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213,300,168</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29.</w:t>
            </w:r>
          </w:p>
        </w:tc>
      </w:tr>
      <w:tr>
        <w:trPr>
          <w:trHeight w:val="336"/>
        </w:trPr>
        <w:tc>
          <w:tcPr>
            <w:tcW w:w="5780" w:type="dxa"/>
            <w:vAlign w:val="bottom"/>
            <w:gridSpan w:val="3"/>
          </w:tcPr>
          <w:p>
            <w:pPr>
              <w:spacing w:after="0"/>
              <w:rPr>
                <w:sz w:val="20"/>
                <w:szCs w:val="20"/>
                <w:color w:val="auto"/>
              </w:rPr>
            </w:pPr>
            <w:r>
              <w:rPr>
                <w:rFonts w:ascii="Courier New" w:cs="Courier New" w:eastAsia="Courier New" w:hAnsi="Courier New"/>
                <w:sz w:val="15"/>
                <w:szCs w:val="15"/>
                <w:color w:val="auto"/>
              </w:rPr>
              <w:t>Memorandum</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7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 be reported only with the March Report of Condition.</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682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8"/>
              </w:rPr>
              <w:t>Indicate in the box at the right the number of the statement below that best</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8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describes the most comprehensive level of auditing work performed for the bank by</w:t>
            </w:r>
          </w:p>
        </w:tc>
        <w:tc>
          <w:tcPr>
            <w:tcW w:w="900" w:type="dxa"/>
            <w:vAlign w:val="bottom"/>
          </w:tcPr>
          <w:p>
            <w:pPr>
              <w:spacing w:after="0"/>
              <w:rPr>
                <w:sz w:val="14"/>
                <w:szCs w:val="14"/>
                <w:color w:val="auto"/>
              </w:rPr>
            </w:pP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Number</w:t>
            </w:r>
          </w:p>
        </w:tc>
        <w:tc>
          <w:tcPr>
            <w:tcW w:w="7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9"/>
              </w:rPr>
              <w:t>independent external auditors as of any date during 1996................................</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RCFD 6724</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N/A   M.1.</w:t>
            </w:r>
          </w:p>
        </w:tc>
        <w:tc>
          <w:tcPr>
            <w:tcW w:w="78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ind w:left="280" w:hanging="270"/>
        <w:spacing w:after="0"/>
        <w:tabs>
          <w:tab w:leader="none" w:pos="28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Independent audit of the bank conducted in accordance with generally</w:t>
      </w:r>
    </w:p>
    <w:p>
      <w:pPr>
        <w:spacing w:after="0" w:line="5" w:lineRule="exact"/>
        <w:rPr>
          <w:sz w:val="20"/>
          <w:szCs w:val="20"/>
          <w:color w:val="auto"/>
        </w:rPr>
      </w:pPr>
    </w:p>
    <w:p>
      <w:pPr>
        <w:ind w:left="440" w:right="4880"/>
        <w:spacing w:after="0" w:line="234" w:lineRule="auto"/>
        <w:rPr>
          <w:sz w:val="20"/>
          <w:szCs w:val="20"/>
          <w:color w:val="auto"/>
        </w:rPr>
      </w:pPr>
      <w:r>
        <w:rPr>
          <w:rFonts w:ascii="Courier New" w:cs="Courier New" w:eastAsia="Courier New" w:hAnsi="Courier New"/>
          <w:sz w:val="15"/>
          <w:szCs w:val="15"/>
          <w:color w:val="auto"/>
        </w:rPr>
        <w:t>accepted auditing standards by a certified public accounting firm which submits a report on the bank</w:t>
      </w:r>
    </w:p>
    <w:p>
      <w:pPr>
        <w:spacing w:after="0" w:line="5" w:lineRule="exact"/>
        <w:rPr>
          <w:sz w:val="20"/>
          <w:szCs w:val="20"/>
          <w:color w:val="auto"/>
        </w:rPr>
      </w:pPr>
    </w:p>
    <w:p>
      <w:pPr>
        <w:ind w:left="440" w:right="4540" w:hanging="430"/>
        <w:spacing w:after="0" w:line="254" w:lineRule="auto"/>
        <w:tabs>
          <w:tab w:leader="none" w:pos="265"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Independent audit of the bank's parent holding company conducted in accordance with generally accepted auditing standards by a certified public</w:t>
      </w:r>
    </w:p>
    <w:p>
      <w:pPr>
        <w:spacing w:after="0" w:line="1" w:lineRule="exact"/>
        <w:rPr>
          <w:sz w:val="20"/>
          <w:szCs w:val="20"/>
          <w:color w:val="auto"/>
        </w:rPr>
      </w:pPr>
    </w:p>
    <w:p>
      <w:pPr>
        <w:ind w:left="440" w:right="4620"/>
        <w:spacing w:after="0" w:line="234" w:lineRule="auto"/>
        <w:rPr>
          <w:sz w:val="20"/>
          <w:szCs w:val="20"/>
          <w:color w:val="auto"/>
        </w:rPr>
      </w:pPr>
      <w:r>
        <w:rPr>
          <w:rFonts w:ascii="Courier New" w:cs="Courier New" w:eastAsia="Courier New" w:hAnsi="Courier New"/>
          <w:sz w:val="15"/>
          <w:szCs w:val="15"/>
          <w:color w:val="auto"/>
        </w:rPr>
        <w:t>accounting firm which submits a report on the consolidated holding company (but not on the bank separately)</w:t>
      </w:r>
    </w:p>
    <w:p>
      <w:pPr>
        <w:spacing w:after="0" w:line="5" w:lineRule="exact"/>
        <w:rPr>
          <w:sz w:val="20"/>
          <w:szCs w:val="20"/>
          <w:color w:val="auto"/>
        </w:rPr>
      </w:pPr>
    </w:p>
    <w:p>
      <w:pPr>
        <w:ind w:left="440" w:right="4700" w:hanging="430"/>
        <w:spacing w:after="0" w:line="235" w:lineRule="auto"/>
        <w:tabs>
          <w:tab w:leader="none" w:pos="265"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Directors' examination of the bank conducted in accordance with generally accepted auditing standards by a certified public accounting firm (may be required by state chartering authority)</w:t>
      </w:r>
    </w:p>
    <w:p>
      <w:pPr>
        <w:spacing w:after="0" w:line="5" w:lineRule="exact"/>
        <w:rPr>
          <w:sz w:val="20"/>
          <w:szCs w:val="20"/>
          <w:color w:val="auto"/>
        </w:rPr>
      </w:pPr>
    </w:p>
    <w:p>
      <w:pPr>
        <w:ind w:left="440" w:right="4880" w:hanging="430"/>
        <w:spacing w:after="0" w:line="234" w:lineRule="auto"/>
        <w:tabs>
          <w:tab w:leader="none" w:pos="265"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Directors' examination of the bank performed by other external auditors (may be required by state chartering authority)</w:t>
      </w:r>
    </w:p>
    <w:p>
      <w:pPr>
        <w:ind w:left="280" w:hanging="270"/>
        <w:spacing w:after="0" w:line="237" w:lineRule="auto"/>
        <w:tabs>
          <w:tab w:leader="none" w:pos="28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Review of the bank's financial statements by external auditors</w:t>
      </w:r>
    </w:p>
    <w:p>
      <w:pPr>
        <w:spacing w:after="0" w:line="5" w:lineRule="exact"/>
        <w:rPr>
          <w:rFonts w:ascii="Courier New" w:cs="Courier New" w:eastAsia="Courier New" w:hAnsi="Courier New"/>
          <w:sz w:val="15"/>
          <w:szCs w:val="15"/>
          <w:color w:val="auto"/>
        </w:rPr>
      </w:pPr>
    </w:p>
    <w:p>
      <w:pPr>
        <w:ind w:left="440" w:right="6020"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 = Compilation of the bank's financial statements by external auditors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  = Other audit procedures (excluding tax preparation work)</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  = No external audit work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4980" w:hanging="350"/>
        <w:spacing w:after="0" w:line="234" w:lineRule="auto"/>
        <w:tabs>
          <w:tab w:leader="none" w:pos="36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total demand deposits and noninterest-bearing time and savings deposit.</w:t>
      </w:r>
    </w:p>
    <w:p>
      <w:pPr>
        <w:ind w:left="360" w:hanging="350"/>
        <w:spacing w:after="0" w:line="237" w:lineRule="auto"/>
        <w:tabs>
          <w:tab w:leader="none" w:pos="36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limited-life preferred stock and related surplus.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40"/>
          </w:cols>
          <w:pgMar w:left="220" w:top="617" w:right="139" w:bottom="1440" w:gutter="0" w:footer="0" w:header="0"/>
        </w:sectPr>
      </w:pPr>
    </w:p>
    <w:bookmarkStart w:id="217" w:name="page218"/>
    <w:bookmarkEnd w:id="217"/>
    <w:p>
      <w:pPr>
        <w:jc w:val="right"/>
        <w:ind w:right="3239"/>
        <w:spacing w:after="0"/>
        <w:rPr>
          <w:sz w:val="20"/>
          <w:szCs w:val="20"/>
          <w:color w:val="auto"/>
        </w:rPr>
      </w:pPr>
      <w:r>
        <w:rPr>
          <w:rFonts w:ascii="Courier New" w:cs="Courier New" w:eastAsia="Courier New" w:hAnsi="Courier New"/>
          <w:sz w:val="15"/>
          <w:szCs w:val="15"/>
          <w:color w:val="auto"/>
        </w:rPr>
        <w:t>Charter No. 22693</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FIRST UNION NATIONAL BANK</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ARTICLES OF ASSOCIATION</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line="238" w:lineRule="auto"/>
        <w:rPr>
          <w:sz w:val="20"/>
          <w:szCs w:val="20"/>
          <w:color w:val="auto"/>
        </w:rPr>
      </w:pPr>
      <w:r>
        <w:rPr>
          <w:rFonts w:ascii="Courier New" w:cs="Courier New" w:eastAsia="Courier New" w:hAnsi="Courier New"/>
          <w:sz w:val="15"/>
          <w:szCs w:val="15"/>
          <w:color w:val="auto"/>
        </w:rPr>
        <w:t>(as restated effective February 26, 1998)</w:t>
      </w:r>
    </w:p>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For the purpose of organizing an Association to carry on the business of banking under the laws of the United States, the undersigned do enter into the following Articles of Association:</w:t>
      </w:r>
    </w:p>
    <w:p>
      <w:pPr>
        <w:spacing w:after="0" w:line="167" w:lineRule="exact"/>
        <w:rPr>
          <w:sz w:val="20"/>
          <w:szCs w:val="20"/>
          <w:color w:val="auto"/>
        </w:rPr>
      </w:pPr>
    </w:p>
    <w:p>
      <w:pPr>
        <w:ind w:left="180"/>
        <w:spacing w:after="0"/>
        <w:tabs>
          <w:tab w:leader="none" w:pos="860" w:val="left"/>
        </w:tabs>
        <w:rPr>
          <w:sz w:val="20"/>
          <w:szCs w:val="20"/>
          <w:color w:val="auto"/>
        </w:rPr>
      </w:pPr>
      <w:r>
        <w:rPr>
          <w:rFonts w:ascii="Courier New" w:cs="Courier New" w:eastAsia="Courier New" w:hAnsi="Courier New"/>
          <w:sz w:val="15"/>
          <w:szCs w:val="15"/>
          <w:color w:val="auto"/>
        </w:rPr>
        <w:t>FIRST.</w:t>
        <w:tab/>
        <w:t>The title of this Association shall be FIRST UNION NATIONAL BANK.</w:t>
      </w:r>
    </w:p>
    <w:p>
      <w:pPr>
        <w:ind w:left="1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80"/>
        <w:spacing w:after="0"/>
        <w:tabs>
          <w:tab w:leader="none" w:pos="960" w:val="left"/>
        </w:tabs>
        <w:rPr>
          <w:sz w:val="20"/>
          <w:szCs w:val="20"/>
          <w:color w:val="auto"/>
        </w:rPr>
      </w:pPr>
      <w:r>
        <w:rPr>
          <w:rFonts w:ascii="Courier New" w:cs="Courier New" w:eastAsia="Courier New" w:hAnsi="Courier New"/>
          <w:sz w:val="14"/>
          <w:szCs w:val="14"/>
          <w:color w:val="auto"/>
        </w:rPr>
        <w:t>SECOND.</w:t>
        <w:tab/>
        <w:t>The main office of the Association shall be in Charlotte, County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Mecklenburg, State of North Carolina. The general business of the Association shall be conducted at its main office and its branches.</w:t>
      </w:r>
    </w:p>
    <w:p>
      <w:pPr>
        <w:spacing w:after="0" w:line="173" w:lineRule="exact"/>
        <w:rPr>
          <w:sz w:val="20"/>
          <w:szCs w:val="20"/>
          <w:color w:val="auto"/>
        </w:rPr>
      </w:pPr>
    </w:p>
    <w:p>
      <w:pPr>
        <w:ind w:left="180"/>
        <w:spacing w:after="0"/>
        <w:tabs>
          <w:tab w:leader="none" w:pos="860" w:val="left"/>
        </w:tabs>
        <w:rPr>
          <w:sz w:val="20"/>
          <w:szCs w:val="20"/>
          <w:color w:val="auto"/>
        </w:rPr>
      </w:pPr>
      <w:r>
        <w:rPr>
          <w:rFonts w:ascii="Courier New" w:cs="Courier New" w:eastAsia="Courier New" w:hAnsi="Courier New"/>
          <w:sz w:val="14"/>
          <w:szCs w:val="14"/>
          <w:color w:val="auto"/>
        </w:rPr>
        <w:t>THIRD.</w:t>
        <w:tab/>
        <w:t>The Board of Directors of this Association shall consist of not less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than five nor more than twenty-five directors, the exact number of directors within such minimum and maximum limits to be fixed and determined from time to time by resolution of a majority of the full Board of Directors or by resolution of the shareholders at any annual or special meeting thereof. Unless otherwise provided by the laws of the United States, any vacancy in the Board of Directors for any reason, including an increase in the number thereof, may be filled by action of the Board of Directors.</w:t>
      </w:r>
    </w:p>
    <w:p>
      <w:pPr>
        <w:spacing w:after="0" w:line="176" w:lineRule="exact"/>
        <w:rPr>
          <w:sz w:val="20"/>
          <w:szCs w:val="20"/>
          <w:color w:val="auto"/>
        </w:rPr>
      </w:pPr>
    </w:p>
    <w:p>
      <w:pPr>
        <w:ind w:left="180"/>
        <w:spacing w:after="0"/>
        <w:tabs>
          <w:tab w:leader="none" w:pos="960" w:val="left"/>
        </w:tabs>
        <w:rPr>
          <w:sz w:val="20"/>
          <w:szCs w:val="20"/>
          <w:color w:val="auto"/>
        </w:rPr>
      </w:pPr>
      <w:r>
        <w:rPr>
          <w:rFonts w:ascii="Courier New" w:cs="Courier New" w:eastAsia="Courier New" w:hAnsi="Courier New"/>
          <w:sz w:val="14"/>
          <w:szCs w:val="14"/>
          <w:color w:val="auto"/>
        </w:rPr>
        <w:t>FOURTH.</w:t>
        <w:tab/>
        <w:t>The annual meeting of the shareholders for the election of directors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and the transaction of whatever other business may be brought before said meeting shall be held at the main office or such other place as the Board of Directors may designate, on the day of each year specified therefor in the By-Laws, but if no election is held on that day, it may be held on any subsequent day according to the provisions of law; and all elections shall be held according to such lawful regulations as may be prescribed by the Board of Directors.</w:t>
      </w:r>
    </w:p>
    <w:p>
      <w:pPr>
        <w:spacing w:after="0" w:line="176"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Nominations for election to the Board of Directors may be made by the Board of Directors or by any stockholder of any outstanding class of capital stock of the bank entitled to vote for election of directors. Nominations, other than those made by or on behalf of the existing management of the bank, shall be made in writing and shall be delivered or mailed to the President of the bank and to the Comptroller of the Currency, Washington, D.C., not less than 14</w:t>
      </w:r>
    </w:p>
    <w:p>
      <w:pPr>
        <w:sectPr>
          <w:pgSz w:w="11900" w:h="16838" w:orient="portrait"/>
          <w:cols w:equalWidth="0" w:num="1">
            <w:col w:w="10239"/>
          </w:cols>
          <w:pgMar w:left="220" w:top="617" w:right="1440" w:bottom="1440" w:gutter="0" w:footer="0" w:header="0"/>
        </w:sectPr>
      </w:pPr>
    </w:p>
    <w:bookmarkStart w:id="218" w:name="page219"/>
    <w:bookmarkEnd w:id="218"/>
    <w:p>
      <w:pPr>
        <w:ind w:right="3399"/>
        <w:spacing w:after="0" w:line="254" w:lineRule="auto"/>
        <w:rPr>
          <w:sz w:val="20"/>
          <w:szCs w:val="20"/>
          <w:color w:val="auto"/>
        </w:rPr>
      </w:pPr>
      <w:r>
        <w:rPr>
          <w:rFonts w:ascii="Courier New" w:cs="Courier New" w:eastAsia="Courier New" w:hAnsi="Courier New"/>
          <w:sz w:val="14"/>
          <w:szCs w:val="14"/>
          <w:color w:val="auto"/>
        </w:rPr>
        <w:t>days nor more than 50 days prior to any meeting of stockholders called for the election of directors, provided, however, that if less than 21 days' notice of</w:t>
      </w:r>
    </w:p>
    <w:p>
      <w:pPr>
        <w:ind w:left="2020"/>
        <w:spacing w:after="0" w:line="231" w:lineRule="auto"/>
        <w:tabs>
          <w:tab w:leader="none" w:pos="28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meeting is given to shareholders, such nomination shall be mailed or delivered to the President of the Bank and to the Comptroller of the Currency not later than the close of business on the seventh day following the day on which the notice of meeting was mailed. Such notification shall contain the following information to the extent known to the notifying shareholder: (a) the name and address of each proposed nominee; (b) the principal occupation of each proposed nominee; (c) the total number of shares of capital stock of the bank that will be voted for each proposed nominee; (d) the name and residence address of the notifying shareholder; and (e) the number of shares of capital stock of the bank owned by the notifying shareholder. Nominations not made in accordance herewith may, in his discretion, be disregarded by the Chairman of the meeting, and upon his instructions, the vote tellers may disregard all votes cast for each such nominee.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FIFTH.</w:t>
      </w:r>
    </w:p>
    <w:p>
      <w:pPr>
        <w:ind w:left="1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700" w:hanging="515"/>
        <w:spacing w:after="0"/>
        <w:tabs>
          <w:tab w:leader="none" w:pos="70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The amount of capital stock of this Association shall be (I)</w:t>
      </w:r>
    </w:p>
    <w:p>
      <w:pPr>
        <w:spacing w:after="0" w:line="4" w:lineRule="exact"/>
        <w:rPr>
          <w:rFonts w:ascii="Courier New" w:cs="Courier New" w:eastAsia="Courier New" w:hAnsi="Courier New"/>
          <w:sz w:val="14"/>
          <w:szCs w:val="14"/>
          <w:color w:val="auto"/>
        </w:rPr>
      </w:pPr>
    </w:p>
    <w:p>
      <w:pPr>
        <w:ind w:left="7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25,000,000 shares of common stock of the par value of twenty dollars ($20.00) each (the "Common Stock") and (ii) 160,540 shares of preferred stock of the par value of one dollar ($ 1. 00) each (the "Non-Cumulative Preferred Stock"), having the rights, privileges and preferences set forth below, but said capital stock may be increased or decreased from time to time in accordance with the provisions of the laws of the United States.</w:t>
      </w:r>
    </w:p>
    <w:p>
      <w:pPr>
        <w:spacing w:after="0" w:line="168" w:lineRule="exact"/>
        <w:rPr>
          <w:sz w:val="20"/>
          <w:szCs w:val="20"/>
          <w:color w:val="auto"/>
        </w:rPr>
      </w:pPr>
    </w:p>
    <w:p>
      <w:pPr>
        <w:ind w:left="620" w:hanging="435"/>
        <w:spacing w:after="0"/>
        <w:tabs>
          <w:tab w:leader="none" w:pos="6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the Non-Cumulative Preferred Stock.</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540" w:hanging="355"/>
        <w:spacing w:after="0"/>
        <w:tabs>
          <w:tab w:leader="none" w:pos="54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Each share of Non-Cumulative Preferred Stock shall be identical</w:t>
      </w:r>
    </w:p>
    <w:p>
      <w:pPr>
        <w:spacing w:after="0" w:line="4" w:lineRule="exact"/>
        <w:rPr>
          <w:rFonts w:ascii="Courier New" w:cs="Courier New" w:eastAsia="Courier New" w:hAnsi="Courier New"/>
          <w:sz w:val="14"/>
          <w:szCs w:val="14"/>
          <w:color w:val="auto"/>
        </w:rPr>
      </w:pPr>
    </w:p>
    <w:p>
      <w:pPr>
        <w:ind w:left="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180" w:right="3239"/>
        <w:spacing w:after="0" w:line="236" w:lineRule="auto"/>
        <w:rPr>
          <w:sz w:val="20"/>
          <w:szCs w:val="20"/>
          <w:color w:val="auto"/>
        </w:rPr>
      </w:pPr>
      <w:r>
        <w:rPr>
          <w:rFonts w:ascii="Courier New" w:cs="Courier New" w:eastAsia="Courier New" w:hAnsi="Courier New"/>
          <w:sz w:val="15"/>
          <w:szCs w:val="15"/>
          <w:color w:val="auto"/>
        </w:rPr>
        <w:t>in all respects with the other shares of Non-Cumulative Preferred Stock. The authorized number of shares of Non-Cumulative Preferred Stock may from time to time be increased or decreased (but not below the number then outstanding) by the Board of Directors. Shares of Non-Cumulative Preferred Stock redeemed by the Association shall be canceled and shall revert to authorized but unissued shares of Non-Cumulative Preferred Stock.</w:t>
      </w:r>
    </w:p>
    <w:p>
      <w:pPr>
        <w:spacing w:after="0" w:line="168" w:lineRule="exact"/>
        <w:rPr>
          <w:sz w:val="20"/>
          <w:szCs w:val="20"/>
          <w:color w:val="auto"/>
        </w:rPr>
      </w:pPr>
    </w:p>
    <w:p>
      <w:pPr>
        <w:ind w:left="540" w:hanging="355"/>
        <w:spacing w:after="0"/>
        <w:tabs>
          <w:tab w:leader="none" w:pos="5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980" w:hanging="446"/>
        <w:spacing w:after="0"/>
        <w:tabs>
          <w:tab w:leader="none" w:pos="980"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The holders of Non-Cumulative Preferred Stock shall be</w:t>
      </w:r>
    </w:p>
    <w:p>
      <w:pPr>
        <w:ind w:left="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right="3399"/>
        <w:spacing w:after="0" w:line="236" w:lineRule="auto"/>
        <w:rPr>
          <w:sz w:val="20"/>
          <w:szCs w:val="20"/>
          <w:color w:val="auto"/>
        </w:rPr>
      </w:pPr>
      <w:r>
        <w:rPr>
          <w:rFonts w:ascii="Courier New" w:cs="Courier New" w:eastAsia="Courier New" w:hAnsi="Courier New"/>
          <w:sz w:val="15"/>
          <w:szCs w:val="15"/>
          <w:color w:val="auto"/>
        </w:rPr>
        <w:t>entitled to receive, when, as and if declared by the Board of Directors, but only out of funds legally available therefor, non-cumulative cash dividends at the annual rate of $83.75 per share, and no more, payable quarterly on the first days of December, March, June and September, respectively, in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219" w:name="page220"/>
    <w:bookmarkEnd w:id="219"/>
    <w:p>
      <w:pPr>
        <w:ind w:left="6" w:right="3239"/>
        <w:spacing w:after="0" w:line="255" w:lineRule="auto"/>
        <w:rPr>
          <w:sz w:val="20"/>
          <w:szCs w:val="20"/>
          <w:color w:val="auto"/>
        </w:rPr>
      </w:pPr>
      <w:r>
        <w:rPr>
          <w:rFonts w:ascii="Courier New" w:cs="Courier New" w:eastAsia="Courier New" w:hAnsi="Courier New"/>
          <w:sz w:val="14"/>
          <w:szCs w:val="14"/>
          <w:color w:val="auto"/>
        </w:rPr>
        <w:t>each year with respect to the quarterly dividend period (or portion thereof) ending on the day preceding such respective dividend payment date, to shareholders of record on the respective date, not exceeding fifty days preceding such dividend payment date, fixed for that purpose by the Board of Directors in advance of payment of each particular dividend. Notwithstanding the foregoing, the cash dividend to be paid on the first dividend payment date after the initial issuance of Non-Cumulative Preferred Stock and on any dividend payment date with respect to a partial dividend period shall be $83.75 per share multiplied by the fraction produced by dividing the number of days since such initial issuance or in such partial dividend period, as the case may be, by 360.</w:t>
      </w:r>
    </w:p>
    <w:p>
      <w:pPr>
        <w:spacing w:after="0" w:line="326" w:lineRule="exact"/>
        <w:rPr>
          <w:sz w:val="20"/>
          <w:szCs w:val="20"/>
          <w:color w:val="auto"/>
        </w:rPr>
      </w:pPr>
    </w:p>
    <w:p>
      <w:pPr>
        <w:ind w:left="346" w:hanging="346"/>
        <w:spacing w:after="0"/>
        <w:tabs>
          <w:tab w:leader="none" w:pos="346"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Non-cumulative Dividends. Dividends on the shares of Non-cumulative</w:t>
      </w:r>
    </w:p>
    <w:p>
      <w:pPr>
        <w:ind w:left="34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 w:right="3239"/>
        <w:spacing w:after="0" w:line="255" w:lineRule="auto"/>
        <w:rPr>
          <w:sz w:val="20"/>
          <w:szCs w:val="20"/>
          <w:color w:val="auto"/>
        </w:rPr>
      </w:pPr>
      <w:r>
        <w:rPr>
          <w:rFonts w:ascii="Courier New" w:cs="Courier New" w:eastAsia="Courier New" w:hAnsi="Courier New"/>
          <w:sz w:val="14"/>
          <w:szCs w:val="14"/>
          <w:color w:val="auto"/>
        </w:rPr>
        <w:t>Stock shall not be cumulative and no rights shall accrue to the holders of shares of Non-Cumulative Preferred Stock by reason of the fact that the Association may fail to declare or pay dividends on the shares of Non-Cumulative Preferred Stock in any amount in any quarterly dividend period, whether or not the earnings of the Association in any quarterly dividend period were sufficient to pay such dividends in whole or in part, and the Association shall have no obligation at any time to pay any such dividend.</w:t>
      </w:r>
    </w:p>
    <w:p>
      <w:pPr>
        <w:spacing w:after="0" w:line="160" w:lineRule="exact"/>
        <w:rPr>
          <w:sz w:val="20"/>
          <w:szCs w:val="20"/>
          <w:color w:val="auto"/>
        </w:rPr>
      </w:pPr>
    </w:p>
    <w:p>
      <w:pPr>
        <w:ind w:left="446" w:hanging="446"/>
        <w:spacing w:after="0"/>
        <w:tabs>
          <w:tab w:leader="none" w:pos="446"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Dividends. So long as any share of Non-Cumulative</w:t>
      </w:r>
    </w:p>
    <w:p>
      <w:pPr>
        <w:ind w:left="446"/>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 w:right="3239"/>
        <w:spacing w:after="0" w:line="237" w:lineRule="auto"/>
        <w:rPr>
          <w:sz w:val="20"/>
          <w:szCs w:val="20"/>
          <w:color w:val="auto"/>
        </w:rPr>
      </w:pPr>
      <w:r>
        <w:rPr>
          <w:rFonts w:ascii="Courier New" w:cs="Courier New" w:eastAsia="Courier New" w:hAnsi="Courier New"/>
          <w:sz w:val="15"/>
          <w:szCs w:val="15"/>
          <w:color w:val="auto"/>
        </w:rPr>
        <w:t>Preferred Stock remains outstanding, no dividend whatsoever shall be paid or declared and no distribution made on any junior stock other than a dividend payable in junior stock, and no shares of junior stock shall be purchased, redeemed or otherwise acquired for consideration by the Association, directly or indirectly (other than as a result of a reclassification of junior stock, or the exchange or conversion of one junior stock for or into another junior stock, or other than through the use of the proceeds of a substantially contemporaneous sale of other junior stock), unless all dividends on all shares of non-cumulative Preferred Stock and non-cumulative Preferred Stock ranking on a parity as to dividends with the shares of Non-Cumulative Preferred Stock for the most recent dividend period ended prior to the date of such payment or declaration shall have been paid in full and all dividends on all shares of cumulative Preferred Stock ranking on a parity as to dividends with the shares of Non-Cumulative Stock (notwithstanding that dividends on such stock are cumulative) for all past dividend periods shall have been paid in full. Subject to the foregoing, and not otherwise, such dividends (payable in cash, stock or otherwise) as may be determined by the Board of Directors may be declared and paid on any junior stock from time to time out of any funds legally available therefor, and the Non-Cumulative Preferred</w:t>
      </w:r>
    </w:p>
    <w:p>
      <w:pPr>
        <w:spacing w:after="0" w:line="170"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05"/>
          </w:cols>
          <w:pgMar w:left="754" w:top="624" w:right="1440" w:bottom="1440" w:gutter="0" w:footer="0" w:header="0"/>
        </w:sectPr>
      </w:pPr>
    </w:p>
    <w:bookmarkStart w:id="220" w:name="page221"/>
    <w:bookmarkEnd w:id="220"/>
    <w:p>
      <w:pPr>
        <w:ind w:left="355" w:right="3239"/>
        <w:spacing w:after="0" w:line="254" w:lineRule="auto"/>
        <w:rPr>
          <w:sz w:val="20"/>
          <w:szCs w:val="20"/>
          <w:color w:val="auto"/>
        </w:rPr>
      </w:pPr>
      <w:r>
        <w:rPr>
          <w:rFonts w:ascii="Courier New" w:cs="Courier New" w:eastAsia="Courier New" w:hAnsi="Courier New"/>
          <w:sz w:val="14"/>
          <w:szCs w:val="14"/>
          <w:color w:val="auto"/>
        </w:rPr>
        <w:t>Stock shall not be entitled to participate in any such dividends, whether payable in cash, stock or otherwise. No dividends shall be paid or declared upon any shares of any class or series of stock of the Association ranking on a parity (whether dividends on such stock are cumulative or non-cumulative) with the Non-Cumulative Preferred Stock in the payment of dividends for any period unless at or prior to the time of such payment or declaration all dividends payable on the Non-cumulative Preferred Stock for the most recent dividend period ended prior to the date of such payment or declaration shall have been paid in full. When dividends are not paid in full, as aforesaid, upon the Non-Cumulative Preferred Stock and any other series of Preferred Stock ranking on a parity as to dividends (whether dividends on such stock are cumulative or non-cumulative) with the Non-Cumulative Preferred Stock, all dividends declared upon the Non-Cumulative Preferred Stock and any other series of Preferred Stock ranking on a parity as to dividends with the Non-Cumulative Preferred Stock shall be declared pro rata so that the amount of dividends declared per share on the Non-cumulative Preferred Stock and such other Preferred Stock shall in all cases bear to each other the same ratio that accrued dividends per share on the Non-Cumulative Preferred Stock (but without any accumulation in respect of any unpaid dividends for prior dividend periods on the shares of Non-Cumulative Stock) and such other Preferred Stock bear to each other. No interest, or sum of money in lieu of interest, shall be payable in respect of any dividend payment or payments on the Non-Cumulative Preferred Stock which may be in arrears.</w:t>
      </w:r>
    </w:p>
    <w:p>
      <w:pPr>
        <w:spacing w:after="0" w:line="177" w:lineRule="exact"/>
        <w:rPr>
          <w:sz w:val="20"/>
          <w:szCs w:val="20"/>
          <w:color w:val="auto"/>
        </w:rPr>
      </w:pPr>
    </w:p>
    <w:p>
      <w:pPr>
        <w:ind w:left="355" w:hanging="355"/>
        <w:spacing w:after="0"/>
        <w:tabs>
          <w:tab w:leader="none" w:pos="355"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The holders of Non-Cumulative Preferred Stock shall not have any</w:t>
      </w:r>
    </w:p>
    <w:p>
      <w:pPr>
        <w:spacing w:after="0" w:line="4" w:lineRule="exact"/>
        <w:rPr>
          <w:rFonts w:ascii="Courier New" w:cs="Courier New" w:eastAsia="Courier New" w:hAnsi="Courier New"/>
          <w:sz w:val="14"/>
          <w:szCs w:val="14"/>
          <w:color w:val="auto"/>
        </w:rPr>
      </w:pPr>
    </w:p>
    <w:p>
      <w:pPr>
        <w:ind w:left="355"/>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355"/>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right to vote for the election of directors or for any other purpose.</w:t>
      </w:r>
    </w:p>
    <w:p>
      <w:pPr>
        <w:spacing w:after="0" w:line="166" w:lineRule="exact"/>
        <w:rPr>
          <w:rFonts w:ascii="Courier New" w:cs="Courier New" w:eastAsia="Courier New" w:hAnsi="Courier New"/>
          <w:sz w:val="14"/>
          <w:szCs w:val="14"/>
          <w:color w:val="auto"/>
        </w:rPr>
      </w:pPr>
    </w:p>
    <w:p>
      <w:pPr>
        <w:ind w:left="355" w:hanging="355"/>
        <w:spacing w:after="0"/>
        <w:tabs>
          <w:tab w:leader="none" w:pos="355"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w:t>
      </w:r>
    </w:p>
    <w:p>
      <w:pPr>
        <w:ind w:left="355"/>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795" w:hanging="446"/>
        <w:spacing w:after="0"/>
        <w:tabs>
          <w:tab w:leader="none" w:pos="795"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Redemption.  The Association, at the option of the Board of</w:t>
      </w:r>
    </w:p>
    <w:p>
      <w:pPr>
        <w:spacing w:after="0" w:line="4" w:lineRule="exact"/>
        <w:rPr>
          <w:rFonts w:ascii="Courier New" w:cs="Courier New" w:eastAsia="Courier New" w:hAnsi="Courier New"/>
          <w:sz w:val="14"/>
          <w:szCs w:val="14"/>
          <w:color w:val="auto"/>
        </w:rPr>
      </w:pPr>
    </w:p>
    <w:p>
      <w:pPr>
        <w:ind w:left="795"/>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5" w:right="3319"/>
        <w:spacing w:after="0" w:line="255" w:lineRule="auto"/>
        <w:rPr>
          <w:sz w:val="20"/>
          <w:szCs w:val="20"/>
          <w:color w:val="auto"/>
        </w:rPr>
      </w:pPr>
      <w:r>
        <w:rPr>
          <w:rFonts w:ascii="Courier New" w:cs="Courier New" w:eastAsia="Courier New" w:hAnsi="Courier New"/>
          <w:sz w:val="14"/>
          <w:szCs w:val="14"/>
          <w:color w:val="auto"/>
        </w:rPr>
        <w:t>Directors, may redeem the whole or any part of the shares of Non-Cumulative Preferred Stock at the time outstanding, at any time or from time to time after the fifth anniversary of the date of original issuance of the Non-Cumulative Preferred Stock, upon notice given as hereinafter specified, at the redemption price per share equal to $1,000 plus an amount equal to the amount of accrued and unpaid dividends from the immediately preceding dividend payment date (but without any accumulation for unpaid dividends for prior dividend periods on the shares of Non-Cumulative Preferred Stock) to the redemption date.</w:t>
      </w:r>
    </w:p>
    <w:p>
      <w:pPr>
        <w:spacing w:after="0" w:line="165" w:lineRule="exact"/>
        <w:rPr>
          <w:sz w:val="20"/>
          <w:szCs w:val="20"/>
          <w:color w:val="auto"/>
        </w:rPr>
      </w:pPr>
    </w:p>
    <w:p>
      <w:pPr>
        <w:ind w:left="355" w:right="3499" w:hanging="6"/>
        <w:spacing w:after="0" w:line="261" w:lineRule="auto"/>
        <w:tabs>
          <w:tab w:leader="none" w:pos="793"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Procedures. Notice of every redemption of shares of Non-Cumulative Preferred Stock shall be mailed by first class mail, postage prepaid,</w:t>
      </w:r>
    </w:p>
    <w:p>
      <w:pPr>
        <w:spacing w:after="0" w:line="153" w:lineRule="exact"/>
        <w:rPr>
          <w:sz w:val="20"/>
          <w:szCs w:val="20"/>
          <w:color w:val="auto"/>
        </w:rPr>
      </w:pPr>
    </w:p>
    <w:p>
      <w:pPr>
        <w:ind w:left="323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055"/>
          </w:cols>
          <w:pgMar w:left="405" w:top="624" w:right="1440" w:bottom="1440" w:gutter="0" w:footer="0" w:header="0"/>
        </w:sectPr>
      </w:pPr>
    </w:p>
    <w:bookmarkStart w:id="221" w:name="page222"/>
    <w:bookmarkEnd w:id="221"/>
    <w:p>
      <w:pPr>
        <w:ind w:right="3239"/>
        <w:spacing w:after="0" w:line="255" w:lineRule="auto"/>
        <w:rPr>
          <w:sz w:val="20"/>
          <w:szCs w:val="20"/>
          <w:color w:val="auto"/>
        </w:rPr>
      </w:pPr>
      <w:r>
        <w:rPr>
          <w:rFonts w:ascii="Courier New" w:cs="Courier New" w:eastAsia="Courier New" w:hAnsi="Courier New"/>
          <w:sz w:val="14"/>
          <w:szCs w:val="14"/>
          <w:color w:val="auto"/>
        </w:rPr>
        <w:t>addressed to the holders of record of the shares to be redeemed at their respective last addresses as they shall appear on the books of the Association. Such mailing shall be at least 10 days and not more than 60 days prior to the date fixed for redemption. Any notice which is mailed in the manner herein provided shall be conclusively presumed to have been duly given, whether or not the shareholder receives such notice, and failure duly to give such notice by mail, or any defect in such notice, to any holder of shares of Non-Cumulative Preferred Stock designated for redemption shall not affect the validity of the proceedings for the redemption of any other shares of Non-Cumulative Preferred Stock.</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case of redemption of a part only of the shares of Non-Cumulative Preferred Stock at the time outstanding the redemption may be either pro rata or by lot or by such other means as the Board of Directors of the Association in its discretion shall determine. The Board of Directors shall have full power and authority, subject to the provisions herein contained, to prescribe the terms and conditions upon which shares of the Non-Cumulative Preferred Stock shall be redeemed from time to time.</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If notice of redemption shall have been duly given, and, if on or before the redemption date specified therein, all funds necessary for such redemption shall have been set aside by the Association, separate and apart from its other funds, in trust for the pro rata benefit of the holders of the shares called for redemption, so as to be and continue to be available therefor, then, notwithstanding that any certificate for shares so called for redemption shall not have been surrendered for cancellation, all shares so called for redemption shall no longer be deemed outstanding on and after such redemption date, and all rights with respect to such shares shall forthwith on such redemption date cease and terminate, except only the right of the holders thereof to, receive the amount payable on redemption thereof, without interest.</w:t>
      </w:r>
    </w:p>
    <w:p>
      <w:pPr>
        <w:spacing w:after="0" w:line="16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If such notice of redemption shall have been duly given or if the Association shall have given to the bank or trust company hereinafter referred to irrevocable authorization promptly to give such notice, and, if on or before the redemption date specified therein, the funds necessary for such redemption shall have been deposited by the Association with such bank or trust company in trust for the pro rata benefit of the holders of the shares called for redemption, then, notwithstanding that any certificate for shares so called for redemption shall not have been surrendered for cancellation, from and after the time of such deposit, all shares so called for redemption shall no longer be deemed to be outstanding and all rights with respect to such shares shall forthwith cease and terminate, except</w:t>
      </w: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699"/>
          </w:cols>
          <w:pgMar w:left="760" w:top="623" w:right="1440" w:bottom="1440" w:gutter="0" w:footer="0" w:header="0"/>
        </w:sectPr>
      </w:pPr>
    </w:p>
    <w:bookmarkStart w:id="222" w:name="page223"/>
    <w:bookmarkEnd w:id="222"/>
    <w:p>
      <w:pPr>
        <w:ind w:left="355" w:right="3239"/>
        <w:spacing w:after="0" w:line="237" w:lineRule="auto"/>
        <w:rPr>
          <w:sz w:val="20"/>
          <w:szCs w:val="20"/>
          <w:color w:val="auto"/>
        </w:rPr>
      </w:pPr>
      <w:r>
        <w:rPr>
          <w:rFonts w:ascii="Courier New" w:cs="Courier New" w:eastAsia="Courier New" w:hAnsi="Courier New"/>
          <w:sz w:val="15"/>
          <w:szCs w:val="15"/>
          <w:color w:val="auto"/>
        </w:rPr>
        <w:t>only the right of the holders thereof to receive from such bank or trust company at any time after the time of such deposit the funds so deposited, without interest. The aforesaid bank or trust company shall be organized and in good standing under the laws of the United States of America or any state thereof, shall have capital, surplus and undivided profits aggregating at least $50,000,000 according to its last published statement of condition, and shall be identified in the notice of redemption. Any interest accrued on such funds shall be paid to the Association from time to time. In case fewer than all the shares of Non-Cumulative Preferred Stock represented by a stock certificate are redeemed, a new certificate shall be issued representing the unredeemed shares without cost to the holder thereof.</w:t>
      </w:r>
    </w:p>
    <w:p>
      <w:pPr>
        <w:spacing w:after="0" w:line="173" w:lineRule="exact"/>
        <w:rPr>
          <w:sz w:val="20"/>
          <w:szCs w:val="20"/>
          <w:color w:val="auto"/>
        </w:rPr>
      </w:pPr>
    </w:p>
    <w:p>
      <w:pPr>
        <w:ind w:left="355" w:right="3239"/>
        <w:spacing w:after="0" w:line="236" w:lineRule="auto"/>
        <w:rPr>
          <w:sz w:val="20"/>
          <w:szCs w:val="20"/>
          <w:color w:val="auto"/>
        </w:rPr>
      </w:pPr>
      <w:r>
        <w:rPr>
          <w:rFonts w:ascii="Courier New" w:cs="Courier New" w:eastAsia="Courier New" w:hAnsi="Courier New"/>
          <w:sz w:val="15"/>
          <w:szCs w:val="15"/>
          <w:color w:val="auto"/>
        </w:rPr>
        <w:t>Any funds so set aside or deposited, as the case may be, and unclaimed at the end of the relevant escheat period under applicable state law from such redemption date shall, to the extent permitted by law, be released or repaid to the Association, after which repayment the holders of the shares so called for redemption shall look only to the Association for payment thereof.</w:t>
      </w:r>
    </w:p>
    <w:p>
      <w:pPr>
        <w:spacing w:after="0" w:line="168" w:lineRule="exact"/>
        <w:rPr>
          <w:sz w:val="20"/>
          <w:szCs w:val="20"/>
          <w:color w:val="auto"/>
        </w:rPr>
      </w:pPr>
    </w:p>
    <w:p>
      <w:pPr>
        <w:ind w:left="355" w:hanging="355"/>
        <w:spacing w:after="0"/>
        <w:tabs>
          <w:tab w:leader="none" w:pos="355"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w:t>
      </w:r>
    </w:p>
    <w:p>
      <w:pPr>
        <w:ind w:left="355"/>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795" w:hanging="446"/>
        <w:spacing w:after="0"/>
        <w:tabs>
          <w:tab w:leader="none" w:pos="795"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Preference.  In the event of any voluntary liquidation,</w:t>
      </w:r>
    </w:p>
    <w:p>
      <w:pPr>
        <w:spacing w:after="0" w:line="4" w:lineRule="exact"/>
        <w:rPr>
          <w:rFonts w:ascii="Courier New" w:cs="Courier New" w:eastAsia="Courier New" w:hAnsi="Courier New"/>
          <w:sz w:val="14"/>
          <w:szCs w:val="14"/>
          <w:color w:val="auto"/>
        </w:rPr>
      </w:pPr>
    </w:p>
    <w:p>
      <w:pPr>
        <w:ind w:left="795"/>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5" w:right="3239"/>
        <w:spacing w:after="0" w:line="236" w:lineRule="auto"/>
        <w:rPr>
          <w:sz w:val="20"/>
          <w:szCs w:val="20"/>
          <w:color w:val="auto"/>
        </w:rPr>
      </w:pPr>
      <w:r>
        <w:rPr>
          <w:rFonts w:ascii="Courier New" w:cs="Courier New" w:eastAsia="Courier New" w:hAnsi="Courier New"/>
          <w:sz w:val="15"/>
          <w:szCs w:val="15"/>
          <w:color w:val="auto"/>
        </w:rPr>
        <w:t>dissolution or winding up of the affairs of the Association, the holders of Non-cumulative Preferred Stock shall be entitled, before any distribution or payment is made to the holders of any junior stock, to be paid in full an amount per share equal to an amount equal to $1,000 plus an amount equal to the amount of accrued and unpaid dividends per share from the immediately preceding dividend payment date (but without any accumulation for unpaid dividends for prior dividend periods on the shares of Non-cumulative Preferred Stock) per share to such distribution or payment date (the "liquidation amount").</w:t>
      </w:r>
    </w:p>
    <w:p>
      <w:pPr>
        <w:spacing w:after="0" w:line="178" w:lineRule="exact"/>
        <w:rPr>
          <w:sz w:val="20"/>
          <w:szCs w:val="20"/>
          <w:color w:val="auto"/>
        </w:rPr>
      </w:pPr>
    </w:p>
    <w:p>
      <w:pPr>
        <w:ind w:left="355" w:right="3319"/>
        <w:spacing w:after="0" w:line="236" w:lineRule="auto"/>
        <w:rPr>
          <w:sz w:val="20"/>
          <w:szCs w:val="20"/>
          <w:color w:val="auto"/>
        </w:rPr>
      </w:pPr>
      <w:r>
        <w:rPr>
          <w:rFonts w:ascii="Courier New" w:cs="Courier New" w:eastAsia="Courier New" w:hAnsi="Courier New"/>
          <w:sz w:val="15"/>
          <w:szCs w:val="15"/>
          <w:color w:val="auto"/>
        </w:rPr>
        <w:t>In the event of any involuntary liquidation, dissolution or winding up of the affairs of the Association, then, before any distribution or payment shall be made to the holders of any junior stock, the holders of Non-Cumulative Preferred Stock shall be entitled to be paid in full an amount per share equal to the liquidation amount.</w:t>
      </w:r>
    </w:p>
    <w:p>
      <w:pPr>
        <w:spacing w:after="0" w:line="174" w:lineRule="exact"/>
        <w:rPr>
          <w:sz w:val="20"/>
          <w:szCs w:val="20"/>
          <w:color w:val="auto"/>
        </w:rPr>
      </w:pPr>
    </w:p>
    <w:p>
      <w:pPr>
        <w:ind w:left="355" w:right="3239"/>
        <w:spacing w:after="0" w:line="258" w:lineRule="auto"/>
        <w:rPr>
          <w:sz w:val="20"/>
          <w:szCs w:val="20"/>
          <w:color w:val="auto"/>
        </w:rPr>
      </w:pPr>
      <w:r>
        <w:rPr>
          <w:rFonts w:ascii="Courier New" w:cs="Courier New" w:eastAsia="Courier New" w:hAnsi="Courier New"/>
          <w:sz w:val="14"/>
          <w:szCs w:val="14"/>
          <w:color w:val="auto"/>
        </w:rPr>
        <w:t>If such payment shall have been made in full to all holders of shares of Non-Cumulative Preferred Stock, the remaining assets of the Association shall be distributed among the holders of junior stock, according to their</w:t>
      </w:r>
    </w:p>
    <w:p>
      <w:pPr>
        <w:spacing w:after="0" w:line="200" w:lineRule="exact"/>
        <w:rPr>
          <w:sz w:val="20"/>
          <w:szCs w:val="20"/>
          <w:color w:val="auto"/>
        </w:rPr>
      </w:pPr>
    </w:p>
    <w:p>
      <w:pPr>
        <w:spacing w:after="0" w:line="291" w:lineRule="exact"/>
        <w:rPr>
          <w:sz w:val="20"/>
          <w:szCs w:val="20"/>
          <w:color w:val="auto"/>
        </w:rPr>
      </w:pPr>
    </w:p>
    <w:p>
      <w:pPr>
        <w:ind w:left="323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055"/>
          </w:cols>
          <w:pgMar w:left="405" w:top="624" w:right="1440" w:bottom="1440" w:gutter="0" w:footer="0" w:header="0"/>
        </w:sectPr>
      </w:pPr>
    </w:p>
    <w:bookmarkStart w:id="223" w:name="page224"/>
    <w:bookmarkEnd w:id="223"/>
    <w:p>
      <w:pPr>
        <w:ind w:left="355" w:right="3679"/>
        <w:spacing w:after="0" w:line="234" w:lineRule="auto"/>
        <w:rPr>
          <w:sz w:val="20"/>
          <w:szCs w:val="20"/>
          <w:color w:val="auto"/>
        </w:rPr>
      </w:pPr>
      <w:r>
        <w:rPr>
          <w:rFonts w:ascii="Courier New" w:cs="Courier New" w:eastAsia="Courier New" w:hAnsi="Courier New"/>
          <w:sz w:val="15"/>
          <w:szCs w:val="15"/>
          <w:color w:val="auto"/>
        </w:rPr>
        <w:t>respective rights and preferences and in each case according to their respective numbers of shares.</w:t>
      </w:r>
    </w:p>
    <w:p>
      <w:pPr>
        <w:spacing w:after="0" w:line="173" w:lineRule="exact"/>
        <w:rPr>
          <w:sz w:val="20"/>
          <w:szCs w:val="20"/>
          <w:color w:val="auto"/>
        </w:rPr>
      </w:pPr>
    </w:p>
    <w:p>
      <w:pPr>
        <w:ind w:left="795" w:hanging="446"/>
        <w:spacing w:after="0"/>
        <w:tabs>
          <w:tab w:leader="none" w:pos="795"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Insufficient Assets.  In the event that, upon any such voluntary or</w:t>
      </w:r>
    </w:p>
    <w:p>
      <w:pPr>
        <w:spacing w:after="0" w:line="3" w:lineRule="exact"/>
        <w:rPr>
          <w:sz w:val="20"/>
          <w:szCs w:val="20"/>
          <w:color w:val="auto"/>
        </w:rPr>
      </w:pPr>
    </w:p>
    <w:p>
      <w:pPr>
        <w:ind w:left="795"/>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355" w:right="3319"/>
        <w:spacing w:after="0" w:line="236" w:lineRule="auto"/>
        <w:rPr>
          <w:sz w:val="20"/>
          <w:szCs w:val="20"/>
          <w:color w:val="auto"/>
        </w:rPr>
      </w:pPr>
      <w:r>
        <w:rPr>
          <w:rFonts w:ascii="Courier New" w:cs="Courier New" w:eastAsia="Courier New" w:hAnsi="Courier New"/>
          <w:sz w:val="15"/>
          <w:szCs w:val="15"/>
          <w:color w:val="auto"/>
        </w:rPr>
        <w:t>involuntary liquidation, dissolution or winding up, the available assets of the Association are insufficient to pay such liquidation amount on all outstanding shares of Non-cumulative Preferred Stock, then the holders of Non-Cumulative Preferred Stock shall share ratably in any distribution of assets in proportion to the full amounts to which they would otherwise be respectively entitled.</w:t>
      </w:r>
    </w:p>
    <w:p>
      <w:pPr>
        <w:spacing w:after="0" w:line="168" w:lineRule="exact"/>
        <w:rPr>
          <w:sz w:val="20"/>
          <w:szCs w:val="20"/>
          <w:color w:val="auto"/>
        </w:rPr>
      </w:pPr>
    </w:p>
    <w:p>
      <w:pPr>
        <w:ind w:left="795" w:hanging="446"/>
        <w:spacing w:after="0"/>
        <w:tabs>
          <w:tab w:leader="none" w:pos="795"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For the purposes of this paragraph 5, the</w:t>
      </w:r>
    </w:p>
    <w:p>
      <w:pPr>
        <w:ind w:left="795"/>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355" w:right="3399"/>
        <w:spacing w:after="0" w:line="235" w:lineRule="auto"/>
        <w:rPr>
          <w:sz w:val="20"/>
          <w:szCs w:val="20"/>
          <w:color w:val="auto"/>
        </w:rPr>
      </w:pPr>
      <w:r>
        <w:rPr>
          <w:rFonts w:ascii="Courier New" w:cs="Courier New" w:eastAsia="Courier New" w:hAnsi="Courier New"/>
          <w:sz w:val="15"/>
          <w:szCs w:val="15"/>
          <w:color w:val="auto"/>
        </w:rPr>
        <w:t>consolidation or merger of the Association with any other corporation or association shall not be deemed to constitute a liquidation, dissolution or winding up of the Association.</w:t>
      </w:r>
    </w:p>
    <w:p>
      <w:pPr>
        <w:spacing w:after="0" w:line="174" w:lineRule="exact"/>
        <w:rPr>
          <w:sz w:val="20"/>
          <w:szCs w:val="20"/>
          <w:color w:val="auto"/>
        </w:rPr>
      </w:pPr>
    </w:p>
    <w:p>
      <w:pPr>
        <w:ind w:left="355" w:hanging="355"/>
        <w:spacing w:after="0"/>
        <w:tabs>
          <w:tab w:leader="none" w:pos="355"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Preemptive Rights.  The Non-Cumulative Preferred Stock is not entitled to</w:t>
      </w:r>
    </w:p>
    <w:p>
      <w:pPr>
        <w:spacing w:after="0" w:line="4" w:lineRule="exact"/>
        <w:rPr>
          <w:rFonts w:ascii="Courier New" w:cs="Courier New" w:eastAsia="Courier New" w:hAnsi="Courier New"/>
          <w:sz w:val="14"/>
          <w:szCs w:val="14"/>
          <w:color w:val="auto"/>
        </w:rPr>
      </w:pPr>
    </w:p>
    <w:p>
      <w:pPr>
        <w:ind w:left="355"/>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355" w:right="331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any preemptive, subscription, conversion or exchange rights in respect of any securities of the Association.</w:t>
      </w:r>
    </w:p>
    <w:p>
      <w:pPr>
        <w:spacing w:after="0" w:line="173" w:lineRule="exact"/>
        <w:rPr>
          <w:rFonts w:ascii="Courier New" w:cs="Courier New" w:eastAsia="Courier New" w:hAnsi="Courier New"/>
          <w:sz w:val="14"/>
          <w:szCs w:val="14"/>
          <w:color w:val="auto"/>
        </w:rPr>
      </w:pPr>
    </w:p>
    <w:p>
      <w:pPr>
        <w:ind w:left="355" w:hanging="355"/>
        <w:spacing w:after="0"/>
        <w:tabs>
          <w:tab w:leader="none" w:pos="355"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herein with respect to the Non-Cumulative Preferred</w:t>
      </w:r>
    </w:p>
    <w:p>
      <w:pPr>
        <w:spacing w:after="0" w:line="4" w:lineRule="exact"/>
        <w:rPr>
          <w:rFonts w:ascii="Courier New" w:cs="Courier New" w:eastAsia="Courier New" w:hAnsi="Courier New"/>
          <w:sz w:val="14"/>
          <w:szCs w:val="14"/>
          <w:color w:val="auto"/>
        </w:rPr>
      </w:pPr>
    </w:p>
    <w:p>
      <w:pPr>
        <w:ind w:left="355"/>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355"/>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Stock, the following terms shall have the following meanings:</w:t>
      </w:r>
    </w:p>
    <w:p>
      <w:pPr>
        <w:spacing w:after="0" w:line="173" w:lineRule="exact"/>
        <w:rPr>
          <w:rFonts w:ascii="Courier New" w:cs="Courier New" w:eastAsia="Courier New" w:hAnsi="Courier New"/>
          <w:sz w:val="14"/>
          <w:szCs w:val="14"/>
          <w:color w:val="auto"/>
        </w:rPr>
      </w:pPr>
    </w:p>
    <w:p>
      <w:pPr>
        <w:ind w:left="355" w:right="3239" w:hanging="6"/>
        <w:spacing w:after="0" w:line="236" w:lineRule="auto"/>
        <w:tabs>
          <w:tab w:leader="none" w:pos="793"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"junior stock" shall mean the Common Stock and any other class or series of shares of the Association hereafter authorized over which the Non-Cumulative Preferred Stock has preference or priority in the payment of dividends or in the distribution of assets on any liquidation, dissolution or winding up of the Association.</w:t>
      </w:r>
    </w:p>
    <w:p>
      <w:pPr>
        <w:spacing w:after="0" w:line="173" w:lineRule="exact"/>
        <w:rPr>
          <w:rFonts w:ascii="Courier New" w:cs="Courier New" w:eastAsia="Courier New" w:hAnsi="Courier New"/>
          <w:sz w:val="15"/>
          <w:szCs w:val="15"/>
          <w:color w:val="auto"/>
        </w:rPr>
      </w:pPr>
    </w:p>
    <w:p>
      <w:pPr>
        <w:ind w:left="355" w:right="3239" w:hanging="6"/>
        <w:spacing w:after="0" w:line="236" w:lineRule="auto"/>
        <w:tabs>
          <w:tab w:leader="none" w:pos="705"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"accrued dividends", with respect to any share of any class or series, shall mean an amount computed at the annual dividend rate for the class or series of which the particular share is a part, from, if such share is cumulative, the date on which dividends on such share became cumulative to and including the date to which such dividends are to be accrued, less the aggregate amount of all dividends theretofore paid thereon and, if such share is noncumulative, the relevant date designated to and including the date to which such dividends are accrued, less the aggregate amount of all dividends theretofore paid with respect to such period.</w:t>
      </w:r>
    </w:p>
    <w:p>
      <w:pPr>
        <w:spacing w:after="0" w:line="179" w:lineRule="exact"/>
        <w:rPr>
          <w:rFonts w:ascii="Courier New" w:cs="Courier New" w:eastAsia="Courier New" w:hAnsi="Courier New"/>
          <w:sz w:val="15"/>
          <w:szCs w:val="15"/>
          <w:color w:val="auto"/>
        </w:rPr>
      </w:pPr>
    </w:p>
    <w:p>
      <w:pPr>
        <w:jc w:val="both"/>
        <w:ind w:left="355" w:right="3499" w:hanging="6"/>
        <w:spacing w:after="0" w:line="258" w:lineRule="auto"/>
        <w:tabs>
          <w:tab w:leader="none" w:pos="705"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"Preferred Stock" shall mean all outstanding shares of all series of preferred stock of the Association as defined in this Article Fifth of the Articles of Association, as amended, of the Association.</w:t>
      </w:r>
    </w:p>
    <w:p>
      <w:pPr>
        <w:spacing w:after="0" w:line="155" w:lineRule="exact"/>
        <w:rPr>
          <w:sz w:val="20"/>
          <w:szCs w:val="20"/>
          <w:color w:val="auto"/>
        </w:rPr>
      </w:pPr>
    </w:p>
    <w:p>
      <w:pPr>
        <w:ind w:left="3235"/>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055"/>
          </w:cols>
          <w:pgMar w:left="405" w:top="624" w:right="1440" w:bottom="1440" w:gutter="0" w:footer="0" w:header="0"/>
        </w:sectPr>
      </w:pPr>
    </w:p>
    <w:bookmarkStart w:id="224" w:name="page225"/>
    <w:bookmarkEnd w:id="224"/>
    <w:p>
      <w:pPr>
        <w:ind w:left="540" w:hanging="355"/>
        <w:spacing w:after="0"/>
        <w:tabs>
          <w:tab w:leader="none" w:pos="54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on Transfer.  No shares of Non-Cumulative Preferred Stock, or</w:t>
      </w:r>
    </w:p>
    <w:p>
      <w:pPr>
        <w:spacing w:after="0" w:line="4" w:lineRule="exact"/>
        <w:rPr>
          <w:rFonts w:ascii="Courier New" w:cs="Courier New" w:eastAsia="Courier New" w:hAnsi="Courier New"/>
          <w:sz w:val="14"/>
          <w:szCs w:val="14"/>
          <w:color w:val="auto"/>
        </w:rPr>
      </w:pPr>
    </w:p>
    <w:p>
      <w:pPr>
        <w:ind w:left="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54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any interest therein, may be sold, pledged, transferred or otherwise disposed of without the prior written consent of the Association. The foregoing restriction shall be stated on any certificate for any shares of Non-Cumulative Preferred Stock.</w:t>
      </w:r>
    </w:p>
    <w:p>
      <w:pPr>
        <w:spacing w:after="0" w:line="175" w:lineRule="exact"/>
        <w:rPr>
          <w:rFonts w:ascii="Courier New" w:cs="Courier New" w:eastAsia="Courier New" w:hAnsi="Courier New"/>
          <w:sz w:val="14"/>
          <w:szCs w:val="14"/>
          <w:color w:val="auto"/>
        </w:rPr>
      </w:pPr>
    </w:p>
    <w:p>
      <w:pPr>
        <w:ind w:left="540" w:hanging="355"/>
        <w:spacing w:after="0"/>
        <w:tabs>
          <w:tab w:leader="none" w:pos="54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Rights.  The shares of Non-Cumulative Preferred Stock shall not</w:t>
      </w:r>
    </w:p>
    <w:p>
      <w:pPr>
        <w:spacing w:after="0" w:line="4" w:lineRule="exact"/>
        <w:rPr>
          <w:rFonts w:ascii="Courier New" w:cs="Courier New" w:eastAsia="Courier New" w:hAnsi="Courier New"/>
          <w:sz w:val="14"/>
          <w:szCs w:val="14"/>
          <w:color w:val="auto"/>
        </w:rPr>
      </w:pPr>
    </w:p>
    <w:p>
      <w:pPr>
        <w:ind w:left="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540"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have any relative, participating, optional or other special rights and powers other than as set forth herein.</w:t>
      </w:r>
    </w:p>
    <w:p>
      <w:pPr>
        <w:spacing w:after="0" w:line="173" w:lineRule="exact"/>
        <w:rPr>
          <w:sz w:val="20"/>
          <w:szCs w:val="20"/>
          <w:color w:val="auto"/>
        </w:rPr>
      </w:pPr>
    </w:p>
    <w:p>
      <w:pPr>
        <w:ind w:left="180"/>
        <w:spacing w:after="0"/>
        <w:tabs>
          <w:tab w:leader="none" w:pos="860" w:val="left"/>
        </w:tabs>
        <w:rPr>
          <w:sz w:val="20"/>
          <w:szCs w:val="20"/>
          <w:color w:val="auto"/>
        </w:rPr>
      </w:pPr>
      <w:r>
        <w:rPr>
          <w:rFonts w:ascii="Courier New" w:cs="Courier New" w:eastAsia="Courier New" w:hAnsi="Courier New"/>
          <w:sz w:val="14"/>
          <w:szCs w:val="14"/>
          <w:color w:val="auto"/>
        </w:rPr>
        <w:t>SIXTH.</w:t>
        <w:tab/>
        <w:t>The Board of Directors shall appoint one of its members President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Association, who shall be Chairman of the Board, unless the Board appoints another director to be the Chairman. The Board of Directors shall have the power to appoint one or more Vice Presidents; and to appoint a cashier or such other officers and employees as may be required to transact the business of this Association.</w:t>
      </w:r>
    </w:p>
    <w:p>
      <w:pPr>
        <w:spacing w:after="0" w:line="174"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Board of Directors shall have the power to define the duties of the officers and employees of the Association, to fix the salaries to be paid to them; to dismiss them, to require bonds from them and to fix the penalty thereof; to regulate the manner in which any increase of the capital of the Association shall be made; to manage and administer the business and affairs of the Association; to make all By-Laws that it may be lawful for them to make; and generally to do and perform all acts that it may be legal for a Board of Directors to do and perform.</w:t>
      </w:r>
    </w:p>
    <w:p>
      <w:pPr>
        <w:spacing w:after="0" w:line="171" w:lineRule="exact"/>
        <w:rPr>
          <w:sz w:val="20"/>
          <w:szCs w:val="20"/>
          <w:color w:val="auto"/>
        </w:rPr>
      </w:pPr>
    </w:p>
    <w:p>
      <w:pPr>
        <w:ind w:left="180"/>
        <w:spacing w:after="0"/>
        <w:tabs>
          <w:tab w:leader="none" w:pos="1040" w:val="left"/>
        </w:tabs>
        <w:rPr>
          <w:sz w:val="20"/>
          <w:szCs w:val="20"/>
          <w:color w:val="auto"/>
        </w:rPr>
      </w:pPr>
      <w:r>
        <w:rPr>
          <w:rFonts w:ascii="Courier New" w:cs="Courier New" w:eastAsia="Courier New" w:hAnsi="Courier New"/>
          <w:sz w:val="15"/>
          <w:szCs w:val="15"/>
          <w:color w:val="auto"/>
        </w:rPr>
        <w:t>SEVENTH.</w:t>
      </w:r>
      <w:r>
        <w:rPr>
          <w:sz w:val="20"/>
          <w:szCs w:val="20"/>
          <w:color w:val="auto"/>
        </w:rPr>
        <w:tab/>
      </w:r>
      <w:r>
        <w:rPr>
          <w:rFonts w:ascii="Courier New" w:cs="Courier New" w:eastAsia="Courier New" w:hAnsi="Courier New"/>
          <w:sz w:val="14"/>
          <w:szCs w:val="14"/>
          <w:color w:val="auto"/>
        </w:rPr>
        <w:t>The Board of Directors shall have the power to change the location</w:t>
      </w:r>
    </w:p>
    <w:p>
      <w:pPr>
        <w:ind w:left="1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of the main office to any other place within the limits of Charlotte, North Carolina, without the approval of the shareholders but subject to the approval of the Comptroller of the Currency; and shall have the power to establish or change the location of any branch or branches of the Association to any other location, without the approval of the shareholders but subject to the approval of the Comptroller of the Currency.</w:t>
      </w:r>
    </w:p>
    <w:p>
      <w:pPr>
        <w:spacing w:after="0" w:line="168" w:lineRule="exact"/>
        <w:rPr>
          <w:sz w:val="20"/>
          <w:szCs w:val="20"/>
          <w:color w:val="auto"/>
        </w:rPr>
      </w:pPr>
    </w:p>
    <w:p>
      <w:pPr>
        <w:ind w:left="180"/>
        <w:spacing w:after="0"/>
        <w:tabs>
          <w:tab w:leader="none" w:pos="960" w:val="left"/>
        </w:tabs>
        <w:rPr>
          <w:sz w:val="20"/>
          <w:szCs w:val="20"/>
          <w:color w:val="auto"/>
        </w:rPr>
      </w:pPr>
      <w:r>
        <w:rPr>
          <w:rFonts w:ascii="Courier New" w:cs="Courier New" w:eastAsia="Courier New" w:hAnsi="Courier New"/>
          <w:sz w:val="15"/>
          <w:szCs w:val="15"/>
          <w:color w:val="auto"/>
        </w:rPr>
        <w:t>EIGHTH.</w:t>
        <w:tab/>
        <w:t>The corporate existence of this Association shall continue until</w:t>
      </w:r>
    </w:p>
    <w:p>
      <w:pPr>
        <w:ind w:left="1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terminated in accordance with the laws of the United States.</w:t>
      </w:r>
    </w:p>
    <w:p>
      <w:pPr>
        <w:spacing w:after="0" w:line="167" w:lineRule="exact"/>
        <w:rPr>
          <w:sz w:val="20"/>
          <w:szCs w:val="20"/>
          <w:color w:val="auto"/>
        </w:rPr>
      </w:pPr>
    </w:p>
    <w:p>
      <w:pPr>
        <w:ind w:left="180"/>
        <w:spacing w:after="0"/>
        <w:tabs>
          <w:tab w:leader="none" w:pos="860" w:val="left"/>
        </w:tabs>
        <w:rPr>
          <w:sz w:val="20"/>
          <w:szCs w:val="20"/>
          <w:color w:val="auto"/>
        </w:rPr>
      </w:pPr>
      <w:r>
        <w:rPr>
          <w:rFonts w:ascii="Courier New" w:cs="Courier New" w:eastAsia="Courier New" w:hAnsi="Courier New"/>
          <w:sz w:val="15"/>
          <w:szCs w:val="15"/>
          <w:color w:val="auto"/>
        </w:rPr>
        <w:t>NINTH.</w:t>
        <w:tab/>
        <w:t>The Board of Directors of this Association, or any three or more</w:t>
      </w:r>
    </w:p>
    <w:p>
      <w:pPr>
        <w:ind w:left="1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shareholders owning, in the aggregate, not less than 10 percent of the stock of this Association, may call a special meeting of shareholders at any time. Unless otherwise provided by the laws of the United States, a notice of the time, place, and purpose of every annual and special meeting of the shareholders shall be given by first-class mail, postage prepaid, mailed at least ten days prior to the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225" w:name="page226"/>
    <w:bookmarkEnd w:id="225"/>
    <w:p>
      <w:pPr>
        <w:ind w:right="3319"/>
        <w:spacing w:after="0" w:line="234" w:lineRule="auto"/>
        <w:rPr>
          <w:sz w:val="20"/>
          <w:szCs w:val="20"/>
          <w:color w:val="auto"/>
        </w:rPr>
      </w:pPr>
      <w:r>
        <w:rPr>
          <w:rFonts w:ascii="Courier New" w:cs="Courier New" w:eastAsia="Courier New" w:hAnsi="Courier New"/>
          <w:sz w:val="15"/>
          <w:szCs w:val="15"/>
          <w:color w:val="auto"/>
        </w:rPr>
        <w:t>date of such meeting to each shareholder of record at his address as shown upon the books of this Association.</w:t>
      </w:r>
    </w:p>
    <w:p>
      <w:pPr>
        <w:spacing w:after="0" w:line="167" w:lineRule="exact"/>
        <w:rPr>
          <w:sz w:val="20"/>
          <w:szCs w:val="20"/>
          <w:color w:val="auto"/>
        </w:rPr>
      </w:pPr>
    </w:p>
    <w:p>
      <w:pPr>
        <w:ind w:left="180"/>
        <w:spacing w:after="0"/>
        <w:tabs>
          <w:tab w:leader="none" w:pos="860" w:val="left"/>
        </w:tabs>
        <w:rPr>
          <w:sz w:val="20"/>
          <w:szCs w:val="20"/>
          <w:color w:val="auto"/>
        </w:rPr>
      </w:pPr>
      <w:r>
        <w:rPr>
          <w:rFonts w:ascii="Courier New" w:cs="Courier New" w:eastAsia="Courier New" w:hAnsi="Courier New"/>
          <w:sz w:val="15"/>
          <w:szCs w:val="15"/>
          <w:color w:val="auto"/>
        </w:rPr>
        <w:t>TENTH.</w:t>
        <w:tab/>
        <w:t>Each director and executive officer of this Association shall be</w:t>
      </w:r>
    </w:p>
    <w:p>
      <w:pPr>
        <w:ind w:left="1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indemnified by the association against liability in any proceeding (including without limitation a proceeding brought by or on behalf of the Association itself) arising out of his status as such or his activities in either of the foregoing capacities, except for any liability incurred on account of activities which were at the time taken known or believed by such person to be clearly in conflict with the best interests of the Association. Liabilities incurred by a director or executive officer of the Association in defending a proceeding shall be paid by the Association in advance of the final disposition of such proceeding upon receipt of an undertaking by the director or executive officer to repay such amount if it shall be determined, as provided in the last paragraph of this Article Tenth, that he is not entitled to be indemnified by the Association against such liabilities.</w:t>
      </w:r>
    </w:p>
    <w:p>
      <w:pPr>
        <w:spacing w:after="0" w:line="17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The indemnity against liability in the preceding paragraph of this Article Tenth, including liabilities incurred in defending a proceeding, shall be automatic and self-operative.</w:t>
      </w:r>
    </w:p>
    <w:p>
      <w:pPr>
        <w:spacing w:after="0" w:line="174"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Any director, officer or employee of this Association who serves at the request of the Association as a director, officer, employee or agent of a charitable, not-for-profit, religious, educational or hospital corporation, partnership, joint venture, trust or other enterprise, or a trade association, or as a trustee or administrator under an employee benefit plan, or who serves at the request of the Association as a director, officer or employee of a business corporation in connection with the administration of an estate or trust by the Association, shall have the right to be indemnified by the Association, subject to the provisions set forth in the following paragraph of this Article Tenth, against liabilities in any manner arising out of or attributable to such status or activities in any such capacity, except for any liability incurred on account of activities which were at the time taken known or believed by such person to be clearly in conflict with the best interests of the Association, or of the corporation, partnership, joint venture, trust, enterprise, Association or plan being served by such person.</w:t>
      </w:r>
    </w:p>
    <w:p>
      <w:pPr>
        <w:spacing w:after="0" w:line="332"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In the case of all persons except the directors and executive officers of the Association, the determination of whether a person is entitled to indemnification under the preceding paragraph of this Article Tenth shall be made by and in the sole discretion of the Chief Executive Officer of the Association. In the case of the directors and executive officers of the Association, the indemnity against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226" w:name="page227"/>
    <w:bookmarkEnd w:id="226"/>
    <w:p>
      <w:pPr>
        <w:ind w:right="3499"/>
        <w:spacing w:after="0" w:line="234" w:lineRule="auto"/>
        <w:rPr>
          <w:sz w:val="20"/>
          <w:szCs w:val="20"/>
          <w:color w:val="auto"/>
        </w:rPr>
      </w:pPr>
      <w:r>
        <w:rPr>
          <w:rFonts w:ascii="Courier New" w:cs="Courier New" w:eastAsia="Courier New" w:hAnsi="Courier New"/>
          <w:sz w:val="15"/>
          <w:szCs w:val="15"/>
          <w:color w:val="auto"/>
        </w:rPr>
        <w:t>liability in the preceding paragraph of this Article Tenth shall be automatic and self-operative.</w:t>
      </w:r>
    </w:p>
    <w:p>
      <w:pPr>
        <w:spacing w:after="0" w:line="173" w:lineRule="exact"/>
        <w:rPr>
          <w:sz w:val="20"/>
          <w:szCs w:val="20"/>
          <w:color w:val="auto"/>
        </w:rPr>
      </w:pPr>
    </w:p>
    <w:p>
      <w:pPr>
        <w:ind w:right="3319" w:firstLine="175"/>
        <w:spacing w:after="0" w:line="234" w:lineRule="auto"/>
        <w:rPr>
          <w:sz w:val="20"/>
          <w:szCs w:val="20"/>
          <w:color w:val="auto"/>
        </w:rPr>
      </w:pPr>
      <w:r>
        <w:rPr>
          <w:rFonts w:ascii="Courier New" w:cs="Courier New" w:eastAsia="Courier New" w:hAnsi="Courier New"/>
          <w:sz w:val="15"/>
          <w:szCs w:val="15"/>
          <w:color w:val="auto"/>
        </w:rPr>
        <w:t>For purposes of this Article Tenth of these Articles of Association only, the following terms shall have the meanings indicated:</w:t>
      </w:r>
    </w:p>
    <w:p>
      <w:pPr>
        <w:spacing w:after="0" w:line="173" w:lineRule="exact"/>
        <w:rPr>
          <w:sz w:val="20"/>
          <w:szCs w:val="20"/>
          <w:color w:val="auto"/>
        </w:rPr>
      </w:pPr>
    </w:p>
    <w:p>
      <w:pPr>
        <w:ind w:right="3239" w:firstLine="272"/>
        <w:spacing w:after="0" w:line="234" w:lineRule="auto"/>
        <w:tabs>
          <w:tab w:leader="none" w:pos="61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"Association" means First Union National Bank and its direct and indirect wholly-owned subsidiaries.</w:t>
      </w:r>
    </w:p>
    <w:p>
      <w:pPr>
        <w:spacing w:after="0" w:line="173" w:lineRule="exact"/>
        <w:rPr>
          <w:rFonts w:ascii="Courier New" w:cs="Courier New" w:eastAsia="Courier New" w:hAnsi="Courier New"/>
          <w:sz w:val="15"/>
          <w:szCs w:val="15"/>
          <w:color w:val="auto"/>
        </w:rPr>
      </w:pPr>
    </w:p>
    <w:p>
      <w:pPr>
        <w:ind w:right="4199" w:firstLine="272"/>
        <w:spacing w:after="0" w:line="234" w:lineRule="auto"/>
        <w:tabs>
          <w:tab w:leader="none" w:pos="61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an individual who is or was a director of the Association.</w:t>
      </w:r>
    </w:p>
    <w:p>
      <w:pPr>
        <w:spacing w:after="0" w:line="173" w:lineRule="exact"/>
        <w:rPr>
          <w:rFonts w:ascii="Courier New" w:cs="Courier New" w:eastAsia="Courier New" w:hAnsi="Courier New"/>
          <w:sz w:val="15"/>
          <w:szCs w:val="15"/>
          <w:color w:val="auto"/>
        </w:rPr>
      </w:pPr>
    </w:p>
    <w:p>
      <w:pPr>
        <w:ind w:right="3239" w:firstLine="272"/>
        <w:spacing w:after="0" w:line="235" w:lineRule="auto"/>
        <w:tabs>
          <w:tab w:leader="none" w:pos="61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 means an officer of the Association who by resolution of the Board of Directors of the Association has been determined to be an executive officer of the Association for purposes of Regulation O of the Federal Reserve Board.</w:t>
      </w:r>
    </w:p>
    <w:p>
      <w:pPr>
        <w:spacing w:after="0" w:line="175" w:lineRule="exact"/>
        <w:rPr>
          <w:rFonts w:ascii="Courier New" w:cs="Courier New" w:eastAsia="Courier New" w:hAnsi="Courier New"/>
          <w:sz w:val="15"/>
          <w:szCs w:val="15"/>
          <w:color w:val="auto"/>
        </w:rPr>
      </w:pPr>
    </w:p>
    <w:p>
      <w:pPr>
        <w:ind w:right="3319" w:firstLine="272"/>
        <w:spacing w:after="0" w:line="235" w:lineRule="auto"/>
        <w:tabs>
          <w:tab w:leader="none" w:pos="61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means the obligation to pay a judgment, settlement, penalty, fine (including an excise tax assessed with respect to an employee benefit plan), or reasonable expenses, including counsel fees and expenses, incurred with respect to a proceeding.</w:t>
      </w:r>
    </w:p>
    <w:p>
      <w:pPr>
        <w:spacing w:after="0" w:line="175" w:lineRule="exact"/>
        <w:rPr>
          <w:rFonts w:ascii="Courier New" w:cs="Courier New" w:eastAsia="Courier New" w:hAnsi="Courier New"/>
          <w:sz w:val="15"/>
          <w:szCs w:val="15"/>
          <w:color w:val="auto"/>
        </w:rPr>
      </w:pPr>
    </w:p>
    <w:p>
      <w:pPr>
        <w:ind w:right="3239" w:firstLine="272"/>
        <w:spacing w:after="0" w:line="234" w:lineRule="auto"/>
        <w:tabs>
          <w:tab w:leader="none" w:pos="61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 includes an individual who was, is, or is threatened to be made a named defendant or respondent in a proceeding.</w:t>
      </w:r>
    </w:p>
    <w:p>
      <w:pPr>
        <w:spacing w:after="0" w:line="173" w:lineRule="exact"/>
        <w:rPr>
          <w:rFonts w:ascii="Courier New" w:cs="Courier New" w:eastAsia="Courier New" w:hAnsi="Courier New"/>
          <w:sz w:val="15"/>
          <w:szCs w:val="15"/>
          <w:color w:val="auto"/>
        </w:rPr>
      </w:pPr>
    </w:p>
    <w:p>
      <w:pPr>
        <w:jc w:val="both"/>
        <w:ind w:right="3399" w:firstLine="272"/>
        <w:spacing w:after="0" w:line="235" w:lineRule="auto"/>
        <w:tabs>
          <w:tab w:leader="none" w:pos="61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"Proceeding" means any threatened, pending, or completed claim, action, suit, or proceeding, whether civil, criminal, administrative, or investigative and whether formal or informal.</w:t>
      </w:r>
    </w:p>
    <w:p>
      <w:pPr>
        <w:spacing w:after="0" w:line="174" w:lineRule="exact"/>
        <w:rPr>
          <w:sz w:val="20"/>
          <w:szCs w:val="20"/>
          <w:color w:val="auto"/>
        </w:rPr>
      </w:pPr>
    </w:p>
    <w:p>
      <w:pPr>
        <w:jc w:val="both"/>
        <w:ind w:right="3239" w:firstLine="175"/>
        <w:spacing w:after="0" w:line="235" w:lineRule="auto"/>
        <w:rPr>
          <w:sz w:val="20"/>
          <w:szCs w:val="20"/>
          <w:color w:val="auto"/>
        </w:rPr>
      </w:pPr>
      <w:r>
        <w:rPr>
          <w:rFonts w:ascii="Courier New" w:cs="Courier New" w:eastAsia="Courier New" w:hAnsi="Courier New"/>
          <w:sz w:val="15"/>
          <w:szCs w:val="15"/>
          <w:color w:val="auto"/>
        </w:rPr>
        <w:t>The Association shall have no obligation to indemnify any person for an amount paid in settlement of a proceeding unless the Association consents in writing to such settlement.</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right to indemnification herein provided for shall apply to persons who are directors, officers, or employees of banks or other entities that are hereafter merged or otherwise combined with the Association only after the effective date of such merger or other combination and only as to their status and activities after such date.</w:t>
      </w:r>
    </w:p>
    <w:p>
      <w:pPr>
        <w:spacing w:after="0" w:line="174" w:lineRule="exact"/>
        <w:rPr>
          <w:sz w:val="20"/>
          <w:szCs w:val="20"/>
          <w:color w:val="auto"/>
        </w:rPr>
      </w:pPr>
    </w:p>
    <w:p>
      <w:pPr>
        <w:ind w:right="3239" w:firstLine="175"/>
        <w:spacing w:after="0" w:line="234" w:lineRule="auto"/>
        <w:rPr>
          <w:sz w:val="20"/>
          <w:szCs w:val="20"/>
          <w:color w:val="auto"/>
        </w:rPr>
      </w:pPr>
      <w:r>
        <w:rPr>
          <w:rFonts w:ascii="Courier New" w:cs="Courier New" w:eastAsia="Courier New" w:hAnsi="Courier New"/>
          <w:sz w:val="15"/>
          <w:szCs w:val="15"/>
          <w:color w:val="auto"/>
        </w:rPr>
        <w:t>The right to indemnification herein provided for shall inure to the benefit of the heirs and legal representatives of any person entitled to such right.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227" w:name="page228"/>
    <w:bookmarkEnd w:id="227"/>
    <w:p>
      <w:pPr>
        <w:ind w:right="3239" w:firstLine="175"/>
        <w:spacing w:after="0" w:line="236" w:lineRule="auto"/>
        <w:rPr>
          <w:sz w:val="20"/>
          <w:szCs w:val="20"/>
          <w:color w:val="auto"/>
        </w:rPr>
      </w:pPr>
      <w:r>
        <w:rPr>
          <w:rFonts w:ascii="Courier New" w:cs="Courier New" w:eastAsia="Courier New" w:hAnsi="Courier New"/>
          <w:sz w:val="15"/>
          <w:szCs w:val="15"/>
          <w:color w:val="auto"/>
        </w:rPr>
        <w:t>No revocation of, change in, or adoption of any resolution or provision in the Articles of Association or By-laws of the Association inconsistent with, this Article Tenth shall adversely affect the rights of any director, officer, or employee of the Association with respect to (i) any proceeding commenced or threatened prior to such revocation, change, or adoption, or (ii) any proceeding arising out of any act or omission occurring prior to such revocation, change, or adoption, in either case, without the written consent of such director, officer, or employee.</w:t>
      </w:r>
    </w:p>
    <w:p>
      <w:pPr>
        <w:spacing w:after="0" w:line="177" w:lineRule="exact"/>
        <w:rPr>
          <w:sz w:val="20"/>
          <w:szCs w:val="20"/>
          <w:color w:val="auto"/>
        </w:rPr>
      </w:pPr>
    </w:p>
    <w:p>
      <w:pPr>
        <w:ind w:right="3499" w:firstLine="175"/>
        <w:spacing w:after="0" w:line="258" w:lineRule="auto"/>
        <w:rPr>
          <w:sz w:val="20"/>
          <w:szCs w:val="20"/>
          <w:color w:val="auto"/>
        </w:rPr>
      </w:pPr>
      <w:r>
        <w:rPr>
          <w:rFonts w:ascii="Courier New" w:cs="Courier New" w:eastAsia="Courier New" w:hAnsi="Courier New"/>
          <w:sz w:val="14"/>
          <w:szCs w:val="14"/>
          <w:color w:val="auto"/>
        </w:rPr>
        <w:t>The rights hereunder shall be in addition to and not exclusive of any other rights to which a director, officer, or employee of the Association may be entitled under any statute, agreement, insurance policy, or otherwise.</w:t>
      </w:r>
    </w:p>
    <w:p>
      <w:pPr>
        <w:spacing w:after="0" w:line="161"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The Association shall have the power to purchase and maintain insurance on behalf of any person who is or was a director, officer, or employee of the Association, or is or was serving at the request of the Association as a director, officer, employee, or agent of another corporation, partnership, joint venture, trust, trade association, employee benefit plan, or other enterprise, against any liability asserted against such director, officer, or employee in any such capacity, or arising out of their status as such, whether or not the Association would have the power to indemnify such director, officer, or employee against such liability, excluding insurance coverage for a formal order assessing civil money penalties against an Association director or employee.</w:t>
      </w:r>
    </w:p>
    <w:p>
      <w:pPr>
        <w:spacing w:after="0" w:line="165"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Notwithstanding anything to the contrary provided herein, no person shall have a right to indemnification with respect to any liability (i) incurred in an administrative proceeding or action instituted by an appropriate bank regulatory agency which proceeding or action results in a final order assessing civil money penalties or requiring affirmative action by an individual or individuals in the form of payments to the Association, (ii) to the extent such person is entitled to receive payment therefor under any insurance policy or from any corporation, partnership, joint venture, trust, trade association, employee benefit plan, or other enterprise other than the Association, or (iii) to the extent that a court of competent jurisdiction determines that such indemnification is void or prohibited under state or federal law.</w:t>
      </w:r>
    </w:p>
    <w:p>
      <w:pPr>
        <w:spacing w:after="0" w:line="158" w:lineRule="exact"/>
        <w:rPr>
          <w:sz w:val="20"/>
          <w:szCs w:val="20"/>
          <w:color w:val="auto"/>
        </w:rPr>
      </w:pP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ELEVENTH.</w:t>
        <w:tab/>
        <w:t>These Articles of Association may be amended at any regular or</w:t>
      </w:r>
    </w:p>
    <w:p>
      <w:pPr>
        <w:ind w:left="1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special meeting of the shareholders by the affirmative vote of the holders of a majority of the stock of this Association, unless the vote of holders of a greater amount of stock is required by law, and in that case, by the vote of the holders of such greater amount.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228" w:name="page229"/>
    <w:bookmarkEnd w:id="228"/>
    <w:p>
      <w:pPr>
        <w:ind w:left="1760"/>
        <w:spacing w:after="0"/>
        <w:rPr>
          <w:sz w:val="20"/>
          <w:szCs w:val="20"/>
          <w:color w:val="auto"/>
        </w:rPr>
      </w:pPr>
      <w:r>
        <w:rPr>
          <w:rFonts w:ascii="Courier New" w:cs="Courier New" w:eastAsia="Courier New" w:hAnsi="Courier New"/>
          <w:sz w:val="15"/>
          <w:szCs w:val="15"/>
          <w:color w:val="auto"/>
        </w:rPr>
        <w:t>BY-LAWS OF</w:t>
      </w:r>
    </w:p>
    <w:p>
      <w:pPr>
        <w:spacing w:after="0" w:line="16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5"/>
          <w:szCs w:val="15"/>
          <w:color w:val="auto"/>
        </w:rPr>
        <w:t>FIRST UNION NATIONAL BANK</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Charter No. 22693</w:t>
      </w:r>
    </w:p>
    <w:p>
      <w:pPr>
        <w:spacing w:after="0" w:line="34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As Restated Effective February 26, 1998</w:t>
      </w:r>
    </w:p>
    <w:p>
      <w:pPr>
        <w:sectPr>
          <w:pgSz w:w="11900" w:h="16838" w:orient="portrait"/>
          <w:cols w:equalWidth="0" w:num="1">
            <w:col w:w="9019"/>
          </w:cols>
          <w:pgMar w:left="1440" w:top="617" w:right="1440" w:bottom="1440" w:gutter="0" w:footer="0" w:header="0"/>
        </w:sectPr>
      </w:pPr>
    </w:p>
    <w:bookmarkStart w:id="229" w:name="page230"/>
    <w:bookmarkEnd w:id="229"/>
    <w:p>
      <w:pPr>
        <w:ind w:left="2980"/>
        <w:spacing w:after="0"/>
        <w:rPr>
          <w:sz w:val="20"/>
          <w:szCs w:val="20"/>
          <w:color w:val="auto"/>
        </w:rPr>
      </w:pPr>
      <w:r>
        <w:rPr>
          <w:rFonts w:ascii="Courier New" w:cs="Courier New" w:eastAsia="Courier New" w:hAnsi="Courier New"/>
          <w:sz w:val="15"/>
          <w:szCs w:val="15"/>
          <w:color w:val="auto"/>
        </w:rPr>
        <w:t>BY-LAWS OF</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FIRST UNION NATIONAL BANK</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Meetings of Shareholders</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20"/>
        <w:spacing w:after="0"/>
        <w:tabs>
          <w:tab w:leader="none" w:pos="3140" w:val="left"/>
        </w:tabs>
        <w:rPr>
          <w:sz w:val="20"/>
          <w:szCs w:val="20"/>
          <w:color w:val="auto"/>
        </w:rPr>
      </w:pPr>
      <w:r>
        <w:rPr>
          <w:rFonts w:ascii="Courier New" w:cs="Courier New" w:eastAsia="Courier New" w:hAnsi="Courier New"/>
          <w:sz w:val="15"/>
          <w:szCs w:val="15"/>
          <w:color w:val="auto"/>
        </w:rPr>
        <w:t>Section 1.1 Annual Meeting.</w:t>
      </w:r>
      <w:r>
        <w:rPr>
          <w:sz w:val="20"/>
          <w:szCs w:val="20"/>
          <w:color w:val="auto"/>
        </w:rPr>
        <w:tab/>
      </w:r>
      <w:r>
        <w:rPr>
          <w:rFonts w:ascii="Courier New" w:cs="Courier New" w:eastAsia="Courier New" w:hAnsi="Courier New"/>
          <w:sz w:val="14"/>
          <w:szCs w:val="14"/>
          <w:color w:val="auto"/>
        </w:rPr>
        <w:t>The annual meeting of the shareholders for</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election of directors and for the transaction of such other business as may properly come before the meeting shall be held on the third Tuesday of April in each year, commencing with the year 1998, except that the Board of Directors may, from time to time and upon passage of a resolution specifically setting forth its reasons, set such other date for such meeting during the month of April as the Board of Directors may deem necessary or appropriate; provided, however, that if an annual meeting would otherwise fall on a legal holiday, then such annual meeting shall be held on the second business day following such legal holiday. The holders of a majority of the outstanding shares entitled to vote which are represented at any meeting of the shareholders may choose persons to act as Chairman and as Secretary of the meeting.</w:t>
      </w:r>
    </w:p>
    <w:p>
      <w:pPr>
        <w:spacing w:after="0" w:line="158" w:lineRule="exact"/>
        <w:rPr>
          <w:sz w:val="20"/>
          <w:szCs w:val="20"/>
          <w:color w:val="auto"/>
        </w:rPr>
      </w:pPr>
    </w:p>
    <w:p>
      <w:pPr>
        <w:ind w:left="620"/>
        <w:spacing w:after="0"/>
        <w:tabs>
          <w:tab w:leader="none" w:pos="3320" w:val="left"/>
        </w:tabs>
        <w:rPr>
          <w:sz w:val="20"/>
          <w:szCs w:val="20"/>
          <w:color w:val="auto"/>
        </w:rPr>
      </w:pPr>
      <w:r>
        <w:rPr>
          <w:rFonts w:ascii="Courier New" w:cs="Courier New" w:eastAsia="Courier New" w:hAnsi="Courier New"/>
          <w:sz w:val="15"/>
          <w:szCs w:val="15"/>
          <w:color w:val="auto"/>
        </w:rPr>
        <w:t>Section 1.2 Special Meetings.</w:t>
      </w:r>
      <w:r>
        <w:rPr>
          <w:sz w:val="20"/>
          <w:szCs w:val="20"/>
          <w:color w:val="auto"/>
        </w:rPr>
        <w:tab/>
      </w:r>
      <w:r>
        <w:rPr>
          <w:rFonts w:ascii="Courier New" w:cs="Courier New" w:eastAsia="Courier New" w:hAnsi="Courier New"/>
          <w:sz w:val="14"/>
          <w:szCs w:val="14"/>
          <w:color w:val="auto"/>
        </w:rPr>
        <w:t>Except as otherwise specifically provided</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by statute, special meetings of the shareholders may be called for any purpose at any time by the Board of Directors or by any three or more shareholders owning, in the aggregate, not less than ten percent of the stock of the Association. Every such special meeting, unless otherwise provided by law, shall be called by mailing, postage prepaid, not less than ten days prior to the date fixed for such meeting, to each shareholder at his address appearing on the books of the Association, a notice stating the purpose of the meeting.</w:t>
      </w:r>
    </w:p>
    <w:p>
      <w:pPr>
        <w:spacing w:after="0" w:line="160" w:lineRule="exact"/>
        <w:rPr>
          <w:sz w:val="20"/>
          <w:szCs w:val="20"/>
          <w:color w:val="auto"/>
        </w:rPr>
      </w:pPr>
    </w:p>
    <w:p>
      <w:pPr>
        <w:ind w:left="620"/>
        <w:spacing w:after="0"/>
        <w:tabs>
          <w:tab w:leader="none" w:pos="4100" w:val="left"/>
        </w:tabs>
        <w:rPr>
          <w:sz w:val="20"/>
          <w:szCs w:val="20"/>
          <w:color w:val="auto"/>
        </w:rPr>
      </w:pPr>
      <w:r>
        <w:rPr>
          <w:rFonts w:ascii="Courier New" w:cs="Courier New" w:eastAsia="Courier New" w:hAnsi="Courier New"/>
          <w:sz w:val="15"/>
          <w:szCs w:val="15"/>
          <w:color w:val="auto"/>
        </w:rPr>
        <w:t>Section 1.3 Nominations for Directors.</w:t>
      </w:r>
      <w:r>
        <w:rPr>
          <w:sz w:val="20"/>
          <w:szCs w:val="20"/>
          <w:color w:val="auto"/>
        </w:rPr>
        <w:tab/>
      </w:r>
      <w:r>
        <w:rPr>
          <w:rFonts w:ascii="Courier New" w:cs="Courier New" w:eastAsia="Courier New" w:hAnsi="Courier New"/>
          <w:sz w:val="14"/>
          <w:szCs w:val="14"/>
          <w:color w:val="auto"/>
        </w:rPr>
        <w:t>Nominations for election to the</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Board of Directors may be made by the Board of Directors or by any stockholder of any outstanding class of capital stock of the bank entitled to vote for the election of directors. Nominations, other than those made by or on behalf of the existing management of the bank, shall be made in writing and shall be delivered or mailed to the President of the Bank and to the Comptroller of the Currency, Washington, D.C., not less than 14 days nor more than 50 days prior to any meeting of stockholders called for the election of directors, provided however, that if less than 21 days' notice of such meeting is given to</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230" w:name="page231"/>
    <w:bookmarkEnd w:id="230"/>
    <w:p>
      <w:pPr>
        <w:ind w:right="3239"/>
        <w:spacing w:after="0" w:line="237" w:lineRule="auto"/>
        <w:rPr>
          <w:sz w:val="20"/>
          <w:szCs w:val="20"/>
          <w:color w:val="auto"/>
        </w:rPr>
      </w:pPr>
      <w:r>
        <w:rPr>
          <w:rFonts w:ascii="Courier New" w:cs="Courier New" w:eastAsia="Courier New" w:hAnsi="Courier New"/>
          <w:sz w:val="15"/>
          <w:szCs w:val="15"/>
          <w:color w:val="auto"/>
        </w:rPr>
        <w:t>shareholders, such nomination shall be mailed or delivered to the President of the Bank and to the Comptroller of the Currency not later than the close of business on the seventh day following the day on which the notice of meeting was mailed. Such notification shall contain the following information to the extent known to the notifying shareholder: (a) the name and address of each proposed nominee; (b) the principal occupation of each proposed nominee; (c) the total number of shares of capital stock of the bank that will be voted for each proposed nominee; (d) the name and residence address of the notifying shareholder; and (e) the number of shares of capital stock of the bank owned by the notifying shareholder. Nominations not made in accordance herewith may, in his discretion, be disregarded by the chairman of the meeting, and upon his instructions, the vote tellers may disregard all votes cast for each such nominee.</w:t>
      </w:r>
    </w:p>
    <w:p>
      <w:pPr>
        <w:spacing w:after="0" w:line="167" w:lineRule="exact"/>
        <w:rPr>
          <w:sz w:val="20"/>
          <w:szCs w:val="20"/>
          <w:color w:val="auto"/>
        </w:rPr>
      </w:pPr>
    </w:p>
    <w:p>
      <w:pPr>
        <w:ind w:left="620"/>
        <w:spacing w:after="0"/>
        <w:tabs>
          <w:tab w:leader="none" w:pos="3480" w:val="left"/>
        </w:tabs>
        <w:rPr>
          <w:sz w:val="20"/>
          <w:szCs w:val="20"/>
          <w:color w:val="auto"/>
        </w:rPr>
      </w:pPr>
      <w:r>
        <w:rPr>
          <w:rFonts w:ascii="Courier New" w:cs="Courier New" w:eastAsia="Courier New" w:hAnsi="Courier New"/>
          <w:sz w:val="15"/>
          <w:szCs w:val="15"/>
          <w:color w:val="auto"/>
        </w:rPr>
        <w:t>Section 1.4 Judges of Election.</w:t>
      </w:r>
      <w:r>
        <w:rPr>
          <w:sz w:val="20"/>
          <w:szCs w:val="20"/>
          <w:color w:val="auto"/>
        </w:rPr>
        <w:tab/>
      </w:r>
      <w:r>
        <w:rPr>
          <w:rFonts w:ascii="Courier New" w:cs="Courier New" w:eastAsia="Courier New" w:hAnsi="Courier New"/>
          <w:sz w:val="14"/>
          <w:szCs w:val="14"/>
          <w:color w:val="auto"/>
        </w:rPr>
        <w:t>The Board may at any time appoint from</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among the shareholders three or more persons to serve as Judges of Election at any meeting of shareholders; to act as judges and tellers with respect to all votes by ballot at such meeting and to file with the Secretary of the meeting a Certificate under their hands, certifying the result thereof.</w:t>
      </w:r>
    </w:p>
    <w:p>
      <w:pPr>
        <w:spacing w:after="0" w:line="169" w:lineRule="exact"/>
        <w:rPr>
          <w:sz w:val="20"/>
          <w:szCs w:val="20"/>
          <w:color w:val="auto"/>
        </w:rPr>
      </w:pPr>
    </w:p>
    <w:p>
      <w:pPr>
        <w:ind w:left="620"/>
        <w:spacing w:after="0"/>
        <w:tabs>
          <w:tab w:leader="none" w:pos="2520" w:val="left"/>
        </w:tabs>
        <w:rPr>
          <w:sz w:val="20"/>
          <w:szCs w:val="20"/>
          <w:color w:val="auto"/>
        </w:rPr>
      </w:pPr>
      <w:r>
        <w:rPr>
          <w:rFonts w:ascii="Courier New" w:cs="Courier New" w:eastAsia="Courier New" w:hAnsi="Courier New"/>
          <w:sz w:val="15"/>
          <w:szCs w:val="15"/>
          <w:color w:val="auto"/>
        </w:rPr>
        <w:t>Section 1.5 Proxies.</w:t>
      </w:r>
      <w:r>
        <w:rPr>
          <w:sz w:val="20"/>
          <w:szCs w:val="20"/>
          <w:color w:val="auto"/>
        </w:rPr>
        <w:tab/>
      </w:r>
      <w:r>
        <w:rPr>
          <w:rFonts w:ascii="Courier New" w:cs="Courier New" w:eastAsia="Courier New" w:hAnsi="Courier New"/>
          <w:sz w:val="14"/>
          <w:szCs w:val="14"/>
          <w:color w:val="auto"/>
        </w:rPr>
        <w:t>Shareholders may vote at any meeting of the</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shareholders by proxies duly authorized in writing, but no officer or employee of this Association shall act as proxy. Proxies shall be valid only for one meeting, to be specified therein, and any adjournments of such meeting. Proxies shall be dated and shall be filed with the records of the meeting.</w:t>
      </w:r>
    </w:p>
    <w:p>
      <w:pPr>
        <w:spacing w:after="0" w:line="158" w:lineRule="exact"/>
        <w:rPr>
          <w:sz w:val="20"/>
          <w:szCs w:val="20"/>
          <w:color w:val="auto"/>
        </w:rPr>
      </w:pPr>
    </w:p>
    <w:p>
      <w:pPr>
        <w:ind w:left="620"/>
        <w:spacing w:after="0"/>
        <w:tabs>
          <w:tab w:leader="none" w:pos="2440" w:val="left"/>
        </w:tabs>
        <w:rPr>
          <w:sz w:val="20"/>
          <w:szCs w:val="20"/>
          <w:color w:val="auto"/>
        </w:rPr>
      </w:pPr>
      <w:r>
        <w:rPr>
          <w:rFonts w:ascii="Courier New" w:cs="Courier New" w:eastAsia="Courier New" w:hAnsi="Courier New"/>
          <w:sz w:val="15"/>
          <w:szCs w:val="15"/>
          <w:color w:val="auto"/>
        </w:rPr>
        <w:t>Section 1.6 Quorum.</w:t>
      </w:r>
      <w:r>
        <w:rPr>
          <w:sz w:val="20"/>
          <w:szCs w:val="20"/>
          <w:color w:val="auto"/>
        </w:rPr>
        <w:tab/>
      </w:r>
      <w:r>
        <w:rPr>
          <w:rFonts w:ascii="Courier New" w:cs="Courier New" w:eastAsia="Courier New" w:hAnsi="Courier New"/>
          <w:sz w:val="14"/>
          <w:szCs w:val="14"/>
          <w:color w:val="auto"/>
        </w:rPr>
        <w:t>A majority of the outstanding capital stock,</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6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Directors</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20"/>
        <w:spacing w:after="0"/>
        <w:tabs>
          <w:tab w:leader="none" w:pos="3480" w:val="left"/>
        </w:tabs>
        <w:rPr>
          <w:sz w:val="20"/>
          <w:szCs w:val="20"/>
          <w:color w:val="auto"/>
        </w:rPr>
      </w:pPr>
      <w:r>
        <w:rPr>
          <w:rFonts w:ascii="Courier New" w:cs="Courier New" w:eastAsia="Courier New" w:hAnsi="Courier New"/>
          <w:sz w:val="15"/>
          <w:szCs w:val="15"/>
          <w:color w:val="auto"/>
        </w:rPr>
        <w:t>Section 2.1 Board of Directors.</w:t>
      </w:r>
      <w:r>
        <w:rPr>
          <w:sz w:val="20"/>
          <w:szCs w:val="20"/>
          <w:color w:val="auto"/>
        </w:rPr>
        <w:tab/>
      </w:r>
      <w:r>
        <w:rPr>
          <w:rFonts w:ascii="Courier New" w:cs="Courier New" w:eastAsia="Courier New" w:hAnsi="Courier New"/>
          <w:sz w:val="14"/>
          <w:szCs w:val="14"/>
          <w:color w:val="auto"/>
        </w:rPr>
        <w:t>The Board of Directors (hereinafter</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referred to as the "Board"), shall have power to manage and administer the business and affairs of the Association. Except as expressly limited by law, all corporate powers of the Association shall be vested in and may be exercised by said Board.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231" w:name="page232"/>
    <w:bookmarkEnd w:id="231"/>
    <w:p>
      <w:pPr>
        <w:ind w:left="620"/>
        <w:spacing w:after="0"/>
        <w:tabs>
          <w:tab w:leader="none" w:pos="2440" w:val="left"/>
        </w:tabs>
        <w:rPr>
          <w:sz w:val="20"/>
          <w:szCs w:val="20"/>
          <w:color w:val="auto"/>
        </w:rPr>
      </w:pPr>
      <w:r>
        <w:rPr>
          <w:rFonts w:ascii="Courier New" w:cs="Courier New" w:eastAsia="Courier New" w:hAnsi="Courier New"/>
          <w:sz w:val="15"/>
          <w:szCs w:val="15"/>
          <w:color w:val="auto"/>
        </w:rPr>
        <w:t>Section 2.2 Number.</w:t>
      </w:r>
      <w:r>
        <w:rPr>
          <w:sz w:val="20"/>
          <w:szCs w:val="20"/>
          <w:color w:val="auto"/>
        </w:rPr>
        <w:tab/>
      </w:r>
      <w:r>
        <w:rPr>
          <w:rFonts w:ascii="Courier New" w:cs="Courier New" w:eastAsia="Courier New" w:hAnsi="Courier New"/>
          <w:sz w:val="14"/>
          <w:szCs w:val="14"/>
          <w:color w:val="auto"/>
        </w:rPr>
        <w:t>The Board shall consist of not less than five nor</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more than twenty-five directors, the exact number within such minimum and maximum limits to be fixed and determined from time to time by resolution of a majority of the full Board or by resolution of the shareholders at any meeting thereof; provided, however, that a majority of the full Board of Directors may not increase the number of directors to a number which, (1) exceeds by more than two the number of directors last elected by shareholders where such number was fifteen or less, and (2) to a number which exceeds by more than four the number of directors last elected by shareholders where such number was sixteen or more, but in no event shall the number of directors exceed twenty-five.</w:t>
      </w:r>
    </w:p>
    <w:p>
      <w:pPr>
        <w:spacing w:after="0" w:line="159" w:lineRule="exact"/>
        <w:rPr>
          <w:sz w:val="20"/>
          <w:szCs w:val="20"/>
          <w:color w:val="auto"/>
        </w:rPr>
      </w:pPr>
    </w:p>
    <w:p>
      <w:pPr>
        <w:ind w:left="620"/>
        <w:spacing w:after="0"/>
        <w:tabs>
          <w:tab w:leader="none" w:pos="3660" w:val="left"/>
        </w:tabs>
        <w:rPr>
          <w:sz w:val="20"/>
          <w:szCs w:val="20"/>
          <w:color w:val="auto"/>
        </w:rPr>
      </w:pPr>
      <w:r>
        <w:rPr>
          <w:rFonts w:ascii="Courier New" w:cs="Courier New" w:eastAsia="Courier New" w:hAnsi="Courier New"/>
          <w:sz w:val="15"/>
          <w:szCs w:val="15"/>
          <w:color w:val="auto"/>
        </w:rPr>
        <w:t>Section 2.3 Organization Meeting.</w:t>
      </w:r>
      <w:r>
        <w:rPr>
          <w:sz w:val="20"/>
          <w:szCs w:val="20"/>
          <w:color w:val="auto"/>
        </w:rPr>
        <w:tab/>
      </w:r>
      <w:r>
        <w:rPr>
          <w:rFonts w:ascii="Courier New" w:cs="Courier New" w:eastAsia="Courier New" w:hAnsi="Courier New"/>
          <w:sz w:val="14"/>
          <w:szCs w:val="14"/>
          <w:color w:val="auto"/>
        </w:rPr>
        <w:t>The Secretary of the meeting upon</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receiving the certificate of the judges, of the result of any election, shall notify the directors-elect of their election and of the time at which they are required to meet at the Main Office of the Association for the purpose of organizing the new Board and electing and appointing officers of the Association for the succeeding year. Such meeting shall be held as soon thereafter as practicable. If, at the time fixed for such meeting, there shall not be a quorum present, the directors present may adjourn the meeting from time to time, until a quorum is obtained.</w:t>
      </w:r>
    </w:p>
    <w:p>
      <w:pPr>
        <w:spacing w:after="0" w:line="171" w:lineRule="exact"/>
        <w:rPr>
          <w:sz w:val="20"/>
          <w:szCs w:val="20"/>
          <w:color w:val="auto"/>
        </w:rPr>
      </w:pPr>
    </w:p>
    <w:p>
      <w:pPr>
        <w:ind w:left="620"/>
        <w:spacing w:after="0"/>
        <w:tabs>
          <w:tab w:leader="none" w:pos="3320" w:val="left"/>
        </w:tabs>
        <w:rPr>
          <w:sz w:val="20"/>
          <w:szCs w:val="20"/>
          <w:color w:val="auto"/>
        </w:rPr>
      </w:pPr>
      <w:r>
        <w:rPr>
          <w:rFonts w:ascii="Courier New" w:cs="Courier New" w:eastAsia="Courier New" w:hAnsi="Courier New"/>
          <w:sz w:val="15"/>
          <w:szCs w:val="15"/>
          <w:color w:val="auto"/>
        </w:rPr>
        <w:t>Section 2.4 Regular Meetings.</w:t>
      </w:r>
      <w:r>
        <w:rPr>
          <w:sz w:val="20"/>
          <w:szCs w:val="20"/>
          <w:color w:val="auto"/>
        </w:rPr>
        <w:tab/>
      </w:r>
      <w:r>
        <w:rPr>
          <w:rFonts w:ascii="Courier New" w:cs="Courier New" w:eastAsia="Courier New" w:hAnsi="Courier New"/>
          <w:sz w:val="14"/>
          <w:szCs w:val="14"/>
          <w:color w:val="auto"/>
        </w:rPr>
        <w:t>Regular meetings of the Board of Directors</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shall be held at such place and time as may be designated by resolution of the Board of Directors. Upon adoption of such resolution, no further notice of such meeting dates or the places or times thereof shall be required. Upon the failure of the Board of Directors to adopt such a resolution, regular meetings of the Board of Directors shall be held, without notice, on the third Tuesday in February, April, June, August, October and December, commencing with the year 1997, at the main office or at such other place and time as may be designated by the Board of Directors. When any regular meeting of the Board would otherwise fall on a holiday, the meeting shall be held on the next business day unless the Board shall designate some other day.</w:t>
      </w:r>
    </w:p>
    <w:p>
      <w:pPr>
        <w:spacing w:after="0" w:line="173" w:lineRule="exact"/>
        <w:rPr>
          <w:sz w:val="20"/>
          <w:szCs w:val="20"/>
          <w:color w:val="auto"/>
        </w:rPr>
      </w:pPr>
    </w:p>
    <w:p>
      <w:pPr>
        <w:ind w:left="620"/>
        <w:spacing w:after="0"/>
        <w:tabs>
          <w:tab w:leader="none" w:pos="3320" w:val="left"/>
        </w:tabs>
        <w:rPr>
          <w:sz w:val="20"/>
          <w:szCs w:val="20"/>
          <w:color w:val="auto"/>
        </w:rPr>
      </w:pPr>
      <w:r>
        <w:rPr>
          <w:rFonts w:ascii="Courier New" w:cs="Courier New" w:eastAsia="Courier New" w:hAnsi="Courier New"/>
          <w:sz w:val="15"/>
          <w:szCs w:val="15"/>
          <w:color w:val="auto"/>
        </w:rPr>
        <w:t>Section 2.5 Special Meetings.</w:t>
      </w:r>
      <w:r>
        <w:rPr>
          <w:sz w:val="20"/>
          <w:szCs w:val="20"/>
          <w:color w:val="auto"/>
        </w:rPr>
        <w:tab/>
      </w:r>
      <w:r>
        <w:rPr>
          <w:rFonts w:ascii="Courier New" w:cs="Courier New" w:eastAsia="Courier New" w:hAnsi="Courier New"/>
          <w:sz w:val="14"/>
          <w:szCs w:val="14"/>
          <w:color w:val="auto"/>
        </w:rPr>
        <w:t>Special meetings of the Board of Directors</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may be called by the President of the Association, or at the request of three</w:t>
      </w:r>
    </w:p>
    <w:p>
      <w:pPr>
        <w:spacing w:after="0" w:line="5" w:lineRule="exact"/>
        <w:rPr>
          <w:sz w:val="20"/>
          <w:szCs w:val="20"/>
          <w:color w:val="auto"/>
        </w:rPr>
      </w:pPr>
    </w:p>
    <w:p>
      <w:pPr>
        <w:ind w:right="3499" w:firstLine="10"/>
        <w:spacing w:after="0" w:line="235" w:lineRule="auto"/>
        <w:tabs>
          <w:tab w:leader="none" w:pos="35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more directors. Each member of the Board of Directors shall be given notice stating the time and place, by telegram, letter, or in person, of each such special meeting.</w:t>
      </w:r>
    </w:p>
    <w:p>
      <w:pPr>
        <w:spacing w:after="0" w:line="167" w:lineRule="exact"/>
        <w:rPr>
          <w:sz w:val="20"/>
          <w:szCs w:val="20"/>
          <w:color w:val="auto"/>
        </w:rPr>
      </w:pPr>
    </w:p>
    <w:p>
      <w:pPr>
        <w:ind w:left="620"/>
        <w:spacing w:after="0"/>
        <w:tabs>
          <w:tab w:leader="none" w:pos="2440" w:val="left"/>
        </w:tabs>
        <w:rPr>
          <w:sz w:val="20"/>
          <w:szCs w:val="20"/>
          <w:color w:val="auto"/>
        </w:rPr>
      </w:pPr>
      <w:r>
        <w:rPr>
          <w:rFonts w:ascii="Courier New" w:cs="Courier New" w:eastAsia="Courier New" w:hAnsi="Courier New"/>
          <w:sz w:val="15"/>
          <w:szCs w:val="15"/>
          <w:color w:val="auto"/>
        </w:rPr>
        <w:t>Section 2.6 Quorum.</w:t>
      </w:r>
      <w:r>
        <w:rPr>
          <w:sz w:val="20"/>
          <w:szCs w:val="20"/>
          <w:color w:val="auto"/>
        </w:rPr>
        <w:tab/>
      </w:r>
      <w:r>
        <w:rPr>
          <w:rFonts w:ascii="Courier New" w:cs="Courier New" w:eastAsia="Courier New" w:hAnsi="Courier New"/>
          <w:sz w:val="14"/>
          <w:szCs w:val="14"/>
          <w:color w:val="auto"/>
        </w:rPr>
        <w:t>A majority of the directors shall constitute a</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420" w:right="3939" w:hanging="3410"/>
        <w:spacing w:after="0" w:line="465" w:lineRule="auto"/>
        <w:rPr>
          <w:sz w:val="20"/>
          <w:szCs w:val="20"/>
          <w:color w:val="auto"/>
        </w:rPr>
      </w:pPr>
      <w:r>
        <w:rPr>
          <w:rFonts w:ascii="Courier New" w:cs="Courier New" w:eastAsia="Courier New" w:hAnsi="Courier New"/>
          <w:sz w:val="15"/>
          <w:szCs w:val="15"/>
          <w:color w:val="auto"/>
        </w:rPr>
        <w:t>quorum at any meeting, except when otherwise provided by law; but a less 4</w:t>
      </w:r>
    </w:p>
    <w:p>
      <w:pPr>
        <w:sectPr>
          <w:pgSz w:w="11900" w:h="16838" w:orient="portrait"/>
          <w:cols w:equalWidth="0" w:num="1">
            <w:col w:w="10239"/>
          </w:cols>
          <w:pgMar w:left="220" w:top="617" w:right="1440" w:bottom="1440" w:gutter="0" w:footer="0" w:header="0"/>
        </w:sectPr>
      </w:pPr>
    </w:p>
    <w:bookmarkStart w:id="232" w:name="page233"/>
    <w:bookmarkEnd w:id="232"/>
    <w:p>
      <w:pPr>
        <w:ind w:right="3319"/>
        <w:spacing w:after="0" w:line="234" w:lineRule="auto"/>
        <w:rPr>
          <w:sz w:val="20"/>
          <w:szCs w:val="20"/>
          <w:color w:val="auto"/>
        </w:rPr>
      </w:pPr>
      <w:r>
        <w:rPr>
          <w:rFonts w:ascii="Courier New" w:cs="Courier New" w:eastAsia="Courier New" w:hAnsi="Courier New"/>
          <w:sz w:val="15"/>
          <w:szCs w:val="15"/>
          <w:color w:val="auto"/>
        </w:rPr>
        <w:t>number may adjourn any meeting, from time to time, and the meeting may be held, as adjourned, without further notice.</w:t>
      </w:r>
    </w:p>
    <w:p>
      <w:pPr>
        <w:spacing w:after="0" w:line="167" w:lineRule="exact"/>
        <w:rPr>
          <w:sz w:val="20"/>
          <w:szCs w:val="20"/>
          <w:color w:val="auto"/>
        </w:rPr>
      </w:pPr>
    </w:p>
    <w:p>
      <w:pPr>
        <w:ind w:left="620"/>
        <w:spacing w:after="0"/>
        <w:tabs>
          <w:tab w:leader="none" w:pos="2700" w:val="left"/>
        </w:tabs>
        <w:rPr>
          <w:sz w:val="20"/>
          <w:szCs w:val="20"/>
          <w:color w:val="auto"/>
        </w:rPr>
      </w:pPr>
      <w:r>
        <w:rPr>
          <w:rFonts w:ascii="Courier New" w:cs="Courier New" w:eastAsia="Courier New" w:hAnsi="Courier New"/>
          <w:sz w:val="15"/>
          <w:szCs w:val="15"/>
          <w:color w:val="auto"/>
        </w:rPr>
        <w:t>Section 2.7 Vacancies.</w:t>
      </w:r>
      <w:r>
        <w:rPr>
          <w:sz w:val="20"/>
          <w:szCs w:val="20"/>
          <w:color w:val="auto"/>
        </w:rPr>
        <w:tab/>
      </w:r>
      <w:r>
        <w:rPr>
          <w:rFonts w:ascii="Courier New" w:cs="Courier New" w:eastAsia="Courier New" w:hAnsi="Courier New"/>
          <w:sz w:val="14"/>
          <w:szCs w:val="14"/>
          <w:color w:val="auto"/>
        </w:rPr>
        <w:t>When any vacancy occurs among the directors, the</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remaining members of the Board, in accordance with the laws of the United States, may appoint a director to fill such vacancy at any regular meeting of the Board, or at a special meeting called for that purpose.</w:t>
      </w:r>
    </w:p>
    <w:p>
      <w:pPr>
        <w:spacing w:after="0" w:line="167" w:lineRule="exact"/>
        <w:rPr>
          <w:sz w:val="20"/>
          <w:szCs w:val="20"/>
          <w:color w:val="auto"/>
        </w:rPr>
      </w:pPr>
    </w:p>
    <w:p>
      <w:pPr>
        <w:ind w:left="620"/>
        <w:spacing w:after="0"/>
        <w:tabs>
          <w:tab w:leader="none" w:pos="3220" w:val="left"/>
        </w:tabs>
        <w:rPr>
          <w:sz w:val="20"/>
          <w:szCs w:val="20"/>
          <w:color w:val="auto"/>
        </w:rPr>
      </w:pPr>
      <w:r>
        <w:rPr>
          <w:rFonts w:ascii="Courier New" w:cs="Courier New" w:eastAsia="Courier New" w:hAnsi="Courier New"/>
          <w:sz w:val="15"/>
          <w:szCs w:val="15"/>
          <w:color w:val="auto"/>
        </w:rPr>
        <w:t>Section 2.8 Advisory Boards.</w:t>
      </w:r>
      <w:r>
        <w:rPr>
          <w:sz w:val="20"/>
          <w:szCs w:val="20"/>
          <w:color w:val="auto"/>
        </w:rPr>
        <w:tab/>
      </w:r>
      <w:r>
        <w:rPr>
          <w:rFonts w:ascii="Courier New" w:cs="Courier New" w:eastAsia="Courier New" w:hAnsi="Courier New"/>
          <w:sz w:val="14"/>
          <w:szCs w:val="14"/>
          <w:color w:val="auto"/>
        </w:rPr>
        <w:t>The Board of Directors may appoint Advisory</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Boards for each of the states in which the Association conducts operations. Each such Advisory Board shall consist of as many persons as the Board of Directors may determine. The duties of each Advisory Board shall be to consult and advise with the Board of Directors and senior officers of the Association in such state with regard to the best interests of the Association and to perform such other duties as the Board of Directors may lawfully delegate. The senior officer in such state, or such officers as directed by such senior officer, may appoint advisory boards for geographic regions within such state and may consult with the State Advisory Boards prior to such appointments.</w:t>
      </w:r>
    </w:p>
    <w:p>
      <w:pPr>
        <w:spacing w:after="0" w:line="15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Committees of the Board</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20"/>
        <w:spacing w:after="0"/>
        <w:tabs>
          <w:tab w:leader="none" w:pos="174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The Board of Directors, by resolution adopted by a majority</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of the number of directors fixed by these By-Laws, may designate two or more directors to constitute an Executive Committee and other committees, each of which, to the extent authorized by law and provided in such resolution, shall have and may exercise all of the authority of the Board of Directors and the management of the Association. The designation of any committee and the delegation thereto of authority shall not operate to relieve the Board of Directors, or any member thereof, of any responsibility or liability imposed upon it or any member of the Board of Directors by law. The Board of Directors reserves to itself alone the power to act on (1) dissolution, merger or consolidation, or disposition of substantially all corporate property, (2) designation of committees or filling vacancies on the Board of Directors or on a committee of the Board (except as hereinafter provided), (3) adoption, amendment or repeal of By-laws, (4) amendment or repeal of any resolution of the Board which by its terms is not so amendable or repealable, and (5) declaration of dividends, issuance of stock, or recommendations to stockholders of any action requiring stockholder approval.</w:t>
      </w:r>
    </w:p>
    <w:p>
      <w:pPr>
        <w:spacing w:after="0" w:line="175" w:lineRule="exact"/>
        <w:rPr>
          <w:sz w:val="20"/>
          <w:szCs w:val="20"/>
          <w:color w:val="auto"/>
        </w:rPr>
      </w:pPr>
    </w:p>
    <w:p>
      <w:pPr>
        <w:ind w:right="3399" w:firstLine="612"/>
        <w:spacing w:after="0" w:line="261" w:lineRule="auto"/>
        <w:rPr>
          <w:sz w:val="20"/>
          <w:szCs w:val="20"/>
          <w:color w:val="auto"/>
        </w:rPr>
      </w:pPr>
      <w:r>
        <w:rPr>
          <w:rFonts w:ascii="Courier New" w:cs="Courier New" w:eastAsia="Courier New" w:hAnsi="Courier New"/>
          <w:sz w:val="14"/>
          <w:szCs w:val="14"/>
          <w:color w:val="auto"/>
        </w:rPr>
        <w:t>The Board of Directors or the Chairman of the Board of Directors of the Association may change the membership of any committee at any time, fill</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233" w:name="page234"/>
    <w:bookmarkEnd w:id="233"/>
    <w:p>
      <w:pPr>
        <w:ind w:right="3679"/>
        <w:spacing w:after="0" w:line="235" w:lineRule="auto"/>
        <w:rPr>
          <w:sz w:val="20"/>
          <w:szCs w:val="20"/>
          <w:color w:val="auto"/>
        </w:rPr>
      </w:pPr>
      <w:r>
        <w:rPr>
          <w:rFonts w:ascii="Courier New" w:cs="Courier New" w:eastAsia="Courier New" w:hAnsi="Courier New"/>
          <w:sz w:val="15"/>
          <w:szCs w:val="15"/>
          <w:color w:val="auto"/>
        </w:rPr>
        <w:t>vacancies therein, discharge any committee or member thereof either with or without cause at any time, and change at any time the authority and responsibility of any such committee.</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A majority of the members of any committee of the Board of Directors may fix such committee's rules of procedure. All action by any committee shall be reported to the Board of Directors at a meeting succeeding such action, except such actions as the Board may not require to be reported to it in the resolution creating any such committee. Any action by any committee shall be subject to revision, alteration, and approval by the Board of Directors, except to the extent otherwise provided in the resolution creating such committee; provided, however, that no rights or acts of third parties shall be affected by any such revision or alteration.</w:t>
      </w:r>
    </w:p>
    <w:p>
      <w:pPr>
        <w:spacing w:after="0" w:line="17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Officers and Employees</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20"/>
        <w:spacing w:after="0"/>
        <w:tabs>
          <w:tab w:leader="none" w:pos="2620" w:val="left"/>
        </w:tabs>
        <w:rPr>
          <w:sz w:val="20"/>
          <w:szCs w:val="20"/>
          <w:color w:val="auto"/>
        </w:rPr>
      </w:pPr>
      <w:r>
        <w:rPr>
          <w:rFonts w:ascii="Courier New" w:cs="Courier New" w:eastAsia="Courier New" w:hAnsi="Courier New"/>
          <w:sz w:val="15"/>
          <w:szCs w:val="15"/>
          <w:color w:val="auto"/>
        </w:rPr>
        <w:t>Section 4.1 Officers.</w:t>
      </w:r>
      <w:r>
        <w:rPr>
          <w:sz w:val="20"/>
          <w:szCs w:val="20"/>
          <w:color w:val="auto"/>
        </w:rPr>
        <w:tab/>
      </w:r>
      <w:r>
        <w:rPr>
          <w:rFonts w:ascii="Courier New" w:cs="Courier New" w:eastAsia="Courier New" w:hAnsi="Courier New"/>
          <w:sz w:val="14"/>
          <w:szCs w:val="14"/>
          <w:color w:val="auto"/>
        </w:rPr>
        <w:t>The officers of the Association may be a Chairman</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the Board, a Vice Chairman of the Board, one or more Chairmen or Vice Chairmen (who shall not be required to be directors of the Association), a President, one or more Vice Presidents, a Secretary, a Cashier or Treasurer, and such other officers, including officers holding similar or equivalent titles to the above in regions, divisions or functional units of the Association, as may be appointed by the Board of Directors. The Chairman of the Board and the President shall be members of the Board of Directors. Any two or more offices may be held by one person, but no officer shall sign or execute any document in more than one capacity.</w:t>
      </w:r>
    </w:p>
    <w:p>
      <w:pPr>
        <w:spacing w:after="0" w:line="172" w:lineRule="exact"/>
        <w:rPr>
          <w:sz w:val="20"/>
          <w:szCs w:val="20"/>
          <w:color w:val="auto"/>
        </w:rPr>
      </w:pPr>
    </w:p>
    <w:p>
      <w:pPr>
        <w:ind w:left="620"/>
        <w:spacing w:after="0"/>
        <w:tabs>
          <w:tab w:leader="none" w:pos="5680" w:val="left"/>
        </w:tabs>
        <w:rPr>
          <w:sz w:val="20"/>
          <w:szCs w:val="20"/>
          <w:color w:val="auto"/>
        </w:rPr>
      </w:pPr>
      <w:r>
        <w:rPr>
          <w:rFonts w:ascii="Courier New" w:cs="Courier New" w:eastAsia="Courier New" w:hAnsi="Courier New"/>
          <w:sz w:val="15"/>
          <w:szCs w:val="15"/>
          <w:color w:val="auto"/>
        </w:rPr>
        <w:t>Section 4.2 Election, Term of Office, and Qualification.</w:t>
      </w:r>
      <w:r>
        <w:rPr>
          <w:sz w:val="20"/>
          <w:szCs w:val="20"/>
          <w:color w:val="auto"/>
        </w:rPr>
        <w:tab/>
      </w:r>
      <w:r>
        <w:rPr>
          <w:rFonts w:ascii="Courier New" w:cs="Courier New" w:eastAsia="Courier New" w:hAnsi="Courier New"/>
          <w:sz w:val="14"/>
          <w:szCs w:val="14"/>
          <w:color w:val="auto"/>
        </w:rPr>
        <w:t>Each officer</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shall be chosen by the Board of Directors and shall hold office until the annual meeting of the Board of Directors held next after his election or until his successor shall have been duly chosen and qualified, or until his death, or until he shall resign, or shall have been disqualified, or shall have been removed from office.</w:t>
      </w:r>
    </w:p>
    <w:p>
      <w:pPr>
        <w:spacing w:after="0" w:line="167" w:lineRule="exact"/>
        <w:rPr>
          <w:sz w:val="20"/>
          <w:szCs w:val="20"/>
          <w:color w:val="auto"/>
        </w:rPr>
      </w:pPr>
    </w:p>
    <w:p>
      <w:pPr>
        <w:ind w:left="620"/>
        <w:spacing w:after="0"/>
        <w:tabs>
          <w:tab w:leader="none" w:pos="5500" w:val="left"/>
        </w:tabs>
        <w:rPr>
          <w:sz w:val="20"/>
          <w:szCs w:val="20"/>
          <w:color w:val="auto"/>
        </w:rPr>
      </w:pPr>
      <w:r>
        <w:rPr>
          <w:rFonts w:ascii="Courier New" w:cs="Courier New" w:eastAsia="Courier New" w:hAnsi="Courier New"/>
          <w:sz w:val="15"/>
          <w:szCs w:val="15"/>
          <w:color w:val="auto"/>
        </w:rPr>
        <w:t>Section 4.2(a) Officers Acting as Assistant Secretary.</w:t>
      </w:r>
      <w:r>
        <w:rPr>
          <w:sz w:val="20"/>
          <w:szCs w:val="20"/>
          <w:color w:val="auto"/>
        </w:rPr>
        <w:tab/>
      </w:r>
      <w:r>
        <w:rPr>
          <w:rFonts w:ascii="Courier New" w:cs="Courier New" w:eastAsia="Courier New" w:hAnsi="Courier New"/>
          <w:sz w:val="14"/>
          <w:szCs w:val="14"/>
          <w:color w:val="auto"/>
        </w:rPr>
        <w:t>Notwithstanding</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Section 1 of these By-laws, any Senior Vice President, Vice President, or Assistant Vice President shall have, by virtue of his office, and by authority of the By-laws, the authority from time to time to act as an Assistant Secretary of the Bank, and to such extent, said officers are appointed to the office of Assistant Secretary.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234" w:name="page235"/>
    <w:bookmarkEnd w:id="234"/>
    <w:p>
      <w:pPr>
        <w:ind w:left="620"/>
        <w:spacing w:after="0"/>
        <w:tabs>
          <w:tab w:leader="none" w:pos="3920" w:val="left"/>
        </w:tabs>
        <w:rPr>
          <w:sz w:val="20"/>
          <w:szCs w:val="20"/>
          <w:color w:val="auto"/>
        </w:rPr>
      </w:pPr>
      <w:r>
        <w:rPr>
          <w:rFonts w:ascii="Courier New" w:cs="Courier New" w:eastAsia="Courier New" w:hAnsi="Courier New"/>
          <w:sz w:val="15"/>
          <w:szCs w:val="15"/>
          <w:color w:val="auto"/>
        </w:rPr>
        <w:t>Section 4.3 Chief Executive Officer.</w:t>
      </w:r>
      <w:r>
        <w:rPr>
          <w:sz w:val="20"/>
          <w:szCs w:val="20"/>
          <w:color w:val="auto"/>
        </w:rPr>
        <w:tab/>
      </w:r>
      <w:r>
        <w:rPr>
          <w:rFonts w:ascii="Courier New" w:cs="Courier New" w:eastAsia="Courier New" w:hAnsi="Courier New"/>
          <w:sz w:val="14"/>
          <w:szCs w:val="14"/>
          <w:color w:val="auto"/>
        </w:rPr>
        <w:t>The Board of Directors shall</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designate one of its members to be the President of this Association, and the officer so designated shall be an ex officio member of all committees of the Association except the Examining Committee, and its Chief Executive Officer unless some other officer is so designated by the Board of Directors.</w:t>
      </w:r>
    </w:p>
    <w:p>
      <w:pPr>
        <w:spacing w:after="0" w:line="158" w:lineRule="exact"/>
        <w:rPr>
          <w:sz w:val="20"/>
          <w:szCs w:val="20"/>
          <w:color w:val="auto"/>
        </w:rPr>
      </w:pPr>
    </w:p>
    <w:p>
      <w:pPr>
        <w:ind w:left="620"/>
        <w:spacing w:after="0"/>
        <w:tabs>
          <w:tab w:leader="none" w:pos="3480" w:val="left"/>
        </w:tabs>
        <w:rPr>
          <w:sz w:val="20"/>
          <w:szCs w:val="20"/>
          <w:color w:val="auto"/>
        </w:rPr>
      </w:pPr>
      <w:r>
        <w:rPr>
          <w:rFonts w:ascii="Courier New" w:cs="Courier New" w:eastAsia="Courier New" w:hAnsi="Courier New"/>
          <w:sz w:val="15"/>
          <w:szCs w:val="15"/>
          <w:color w:val="auto"/>
        </w:rPr>
        <w:t>Section 4.4 Duties of Officers.</w:t>
      </w:r>
      <w:r>
        <w:rPr>
          <w:sz w:val="20"/>
          <w:szCs w:val="20"/>
          <w:color w:val="auto"/>
        </w:rPr>
        <w:tab/>
      </w:r>
      <w:r>
        <w:rPr>
          <w:rFonts w:ascii="Courier New" w:cs="Courier New" w:eastAsia="Courier New" w:hAnsi="Courier New"/>
          <w:sz w:val="14"/>
          <w:szCs w:val="14"/>
          <w:color w:val="auto"/>
        </w:rPr>
        <w:t>The duties of all officers shall be</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prescribed by the Board of Directors. Nevertheless, the Board of Directors may delegate to the Chief Executive Officer the authority to prescribe the duties of other officers of the corporation not inconsistent with law, the charter, and these By-laws, and to appoint other employees, prescribe their duties, and to dismiss them. Notwithstanding such delegation of authority, any officer or employee also may be dismissed at any time by the Board of Directors.</w:t>
      </w:r>
    </w:p>
    <w:p>
      <w:pPr>
        <w:spacing w:after="0" w:line="160" w:lineRule="exact"/>
        <w:rPr>
          <w:sz w:val="20"/>
          <w:szCs w:val="20"/>
          <w:color w:val="auto"/>
        </w:rPr>
      </w:pPr>
    </w:p>
    <w:p>
      <w:pPr>
        <w:ind w:left="620"/>
        <w:spacing w:after="0"/>
        <w:tabs>
          <w:tab w:leader="none" w:pos="3220" w:val="left"/>
        </w:tabs>
        <w:rPr>
          <w:sz w:val="20"/>
          <w:szCs w:val="20"/>
          <w:color w:val="auto"/>
        </w:rPr>
      </w:pPr>
      <w:r>
        <w:rPr>
          <w:rFonts w:ascii="Courier New" w:cs="Courier New" w:eastAsia="Courier New" w:hAnsi="Courier New"/>
          <w:sz w:val="15"/>
          <w:szCs w:val="15"/>
          <w:color w:val="auto"/>
        </w:rPr>
        <w:t>Section 4.5 Other Employees.</w:t>
      </w:r>
      <w:r>
        <w:rPr>
          <w:sz w:val="20"/>
          <w:szCs w:val="20"/>
          <w:color w:val="auto"/>
        </w:rPr>
        <w:tab/>
      </w:r>
      <w:r>
        <w:rPr>
          <w:rFonts w:ascii="Courier New" w:cs="Courier New" w:eastAsia="Courier New" w:hAnsi="Courier New"/>
          <w:sz w:val="14"/>
          <w:szCs w:val="14"/>
          <w:color w:val="auto"/>
        </w:rPr>
        <w:t>The Board of Directors may appoint from</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time to time such tellers, vault custodians, bookkeepers, and other clerks, agents, and employees as it may deem advisable for the prompt and orderly transaction of the business of the Association, define their duties, fix the salary to be paid them, and dismiss them. Subject to the authority of the Board of Directors, the Chief Executive Officer or any other officer of the Association authorized by him, may appoint and dismiss all such tellers, vault custodians, bookkeepers and other clerks, agents, and employees, prescribe their duties and the conditions of their employment, and from time to time fix their compensation.</w:t>
      </w:r>
    </w:p>
    <w:p>
      <w:pPr>
        <w:spacing w:after="0" w:line="172" w:lineRule="exact"/>
        <w:rPr>
          <w:sz w:val="20"/>
          <w:szCs w:val="20"/>
          <w:color w:val="auto"/>
        </w:rPr>
      </w:pPr>
    </w:p>
    <w:p>
      <w:pPr>
        <w:ind w:left="620"/>
        <w:spacing w:after="0"/>
        <w:tabs>
          <w:tab w:leader="none" w:pos="3920" w:val="left"/>
        </w:tabs>
        <w:rPr>
          <w:sz w:val="20"/>
          <w:szCs w:val="20"/>
          <w:color w:val="auto"/>
        </w:rPr>
      </w:pPr>
      <w:r>
        <w:rPr>
          <w:rFonts w:ascii="Courier New" w:cs="Courier New" w:eastAsia="Courier New" w:hAnsi="Courier New"/>
          <w:sz w:val="15"/>
          <w:szCs w:val="15"/>
          <w:color w:val="auto"/>
        </w:rPr>
        <w:t>Section 4.6 Removal and Resignation.</w:t>
      </w:r>
      <w:r>
        <w:rPr>
          <w:sz w:val="20"/>
          <w:szCs w:val="20"/>
          <w:color w:val="auto"/>
        </w:rPr>
        <w:tab/>
      </w:r>
      <w:r>
        <w:rPr>
          <w:rFonts w:ascii="Courier New" w:cs="Courier New" w:eastAsia="Courier New" w:hAnsi="Courier New"/>
          <w:sz w:val="14"/>
          <w:szCs w:val="14"/>
          <w:color w:val="auto"/>
        </w:rPr>
        <w:t>Any officer or employee of the</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Association may be removed either with or without cause by the Board of Directors. Any employee other than an officer elected by the Board of Directors may be dismissed in accordance with the provisions of the preceding Section 4.5. Any officer may resign at any time by giving written notice to the Board of Directors or to the Chief Executive Officer of the Association. Any such resignation shall become effective upon its being accepted by the Board of Directors, or the Chief Executive Officer.</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Fiduciary Powers</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20"/>
        <w:spacing w:after="0"/>
        <w:tabs>
          <w:tab w:leader="none" w:pos="4020" w:val="left"/>
        </w:tabs>
        <w:rPr>
          <w:sz w:val="20"/>
          <w:szCs w:val="20"/>
          <w:color w:val="auto"/>
        </w:rPr>
      </w:pPr>
      <w:r>
        <w:rPr>
          <w:rFonts w:ascii="Courier New" w:cs="Courier New" w:eastAsia="Courier New" w:hAnsi="Courier New"/>
          <w:sz w:val="15"/>
          <w:szCs w:val="15"/>
          <w:color w:val="auto"/>
        </w:rPr>
        <w:t>Section 5.1 Capital Management Group.</w:t>
      </w:r>
      <w:r>
        <w:rPr>
          <w:sz w:val="20"/>
          <w:szCs w:val="20"/>
          <w:color w:val="auto"/>
        </w:rPr>
        <w:tab/>
      </w:r>
      <w:r>
        <w:rPr>
          <w:rFonts w:ascii="Courier New" w:cs="Courier New" w:eastAsia="Courier New" w:hAnsi="Courier New"/>
          <w:sz w:val="14"/>
          <w:szCs w:val="14"/>
          <w:color w:val="auto"/>
        </w:rPr>
        <w:t>There shall be an area of this</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Association known as the Capital Management Group which shall be responsible for the exercise of the fiduciary powers of this Association. The Capital Management Group shall consist of four service areas: Fiduciary Services, Retail Services, Investments and Marketing. The Fiduciary Services unit shall consist of</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235" w:name="page236"/>
    <w:bookmarkEnd w:id="235"/>
    <w:p>
      <w:pPr>
        <w:ind w:right="3239"/>
        <w:spacing w:after="0" w:line="235" w:lineRule="auto"/>
        <w:rPr>
          <w:sz w:val="20"/>
          <w:szCs w:val="20"/>
          <w:color w:val="auto"/>
        </w:rPr>
      </w:pPr>
      <w:r>
        <w:rPr>
          <w:rFonts w:ascii="Courier New" w:cs="Courier New" w:eastAsia="Courier New" w:hAnsi="Courier New"/>
          <w:sz w:val="15"/>
          <w:szCs w:val="15"/>
          <w:color w:val="auto"/>
        </w:rPr>
        <w:t>personal trust, employee benefits, corporate trust and operations. The General Office for the Fiduciary Services unit shall be located in Charlotte, N.C., with City Trust Offices located in such cities within the State of North Carolina as designated by the Board of Directors.</w:t>
      </w:r>
    </w:p>
    <w:p>
      <w:pPr>
        <w:spacing w:after="0" w:line="169" w:lineRule="exact"/>
        <w:rPr>
          <w:sz w:val="20"/>
          <w:szCs w:val="20"/>
          <w:color w:val="auto"/>
        </w:rPr>
      </w:pPr>
    </w:p>
    <w:p>
      <w:pPr>
        <w:ind w:left="620"/>
        <w:spacing w:after="0"/>
        <w:tabs>
          <w:tab w:leader="none" w:pos="3140" w:val="left"/>
        </w:tabs>
        <w:rPr>
          <w:sz w:val="20"/>
          <w:szCs w:val="20"/>
          <w:color w:val="auto"/>
        </w:rPr>
      </w:pPr>
      <w:r>
        <w:rPr>
          <w:rFonts w:ascii="Courier New" w:cs="Courier New" w:eastAsia="Courier New" w:hAnsi="Courier New"/>
          <w:sz w:val="15"/>
          <w:szCs w:val="15"/>
          <w:color w:val="auto"/>
        </w:rPr>
        <w:t>Section 5.2 Trust Officers.</w:t>
      </w:r>
      <w:r>
        <w:rPr>
          <w:sz w:val="20"/>
          <w:szCs w:val="20"/>
          <w:color w:val="auto"/>
        </w:rPr>
        <w:tab/>
      </w:r>
      <w:r>
        <w:rPr>
          <w:rFonts w:ascii="Courier New" w:cs="Courier New" w:eastAsia="Courier New" w:hAnsi="Courier New"/>
          <w:sz w:val="14"/>
          <w:szCs w:val="14"/>
          <w:color w:val="auto"/>
        </w:rPr>
        <w:t>There shall be a General Trust Officer of</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this Association whose duties shall be to manage, supervise and direct all the activities of the Capital Management Group. Further, there shall be one or more Senior Trust Officers designated to assist the General Trust Officer in the performance of his duties. They shall do or cause to be done all things necessary or proper in carrying out the business of the Capital Management Group in accordance with provisions of applicable law and regulation.</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Section 5.3 Capital Management/General Trust Committee. There shall be a</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Capital Management/General Trust Committee composed of not less than four (4) members of the Board of Directors or officers of this Association who shall be appointed annually or from time to time by the Board of Directors of the Association. The General Trust Officer shall serve as an ex-officio member of the Committee. Each member shall serve until his successor is appointed. The Board of Directors or the Chairman of the Board may change the membership of the Capital Management/General Trust Committee at any time, fill vacancies therein, or discharge any member thereof with or without cause at any time. The Committee shall counsel and advise on all matters relating to the business or affairs of the Capital Management Group and shall adopt overall policies for the conduct of the business of the Capital Management Group including but not limited to: general administration, investment policies, new business development, and review for approval of major assignments of functional responsibilities. The Committee shall meet at least quarterly or as called for by its Chairman or any three (3) members of the Committee. A quorum shall consist of three (3) members. In carrying out its responsibilities, the Capital Management/General Trust Committee shall review the actions of all officers, employees and committees utilized by this Association in connection with the activities of the Capital Management Group and may assign the administration and performance of any fiduciary powers or duties to any of such officers or employees or to the Investment Policy Committee, Personal Trust Administration Committee, Account Review Committee, Corporate and Institutional Accounts Committee, or any other committees it shall designate. One of the methods to be used in the review process will be the thorough scrutiny of the Report of Examination by the Office of the Comptroller of the Currency and the reports of the Audit Division of First Union Corporation, as they relate to the activities of the Capital Management Group. These reviews shall be in addition to reviews of such reports by the Audit Committee of the Board of Directors. The Chairman of the Capital Management/ General Trust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236" w:name="page237"/>
    <w:bookmarkEnd w:id="236"/>
    <w:p>
      <w:pPr>
        <w:jc w:val="both"/>
        <w:ind w:right="3239"/>
        <w:spacing w:after="0" w:line="254" w:lineRule="auto"/>
        <w:rPr>
          <w:sz w:val="20"/>
          <w:szCs w:val="20"/>
          <w:color w:val="auto"/>
        </w:rPr>
      </w:pPr>
      <w:r>
        <w:rPr>
          <w:rFonts w:ascii="Courier New" w:cs="Courier New" w:eastAsia="Courier New" w:hAnsi="Courier New"/>
          <w:sz w:val="14"/>
          <w:szCs w:val="14"/>
          <w:color w:val="auto"/>
        </w:rPr>
        <w:t>Committee shall be appointed by the Chairman of the Board of Directors. He shall cause to be recorded in appropriate minutes all actions taken by the Committee. The minutes shall be signed by its Secretary and approved by its Chairman.</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Further, the Committee shall summarize all actions taken by it and shall submit a report of its proceedings to the Board of Directors at its next regularly scheduled meeting following a meeting of the Capital Management/General Trust Committee. As required by Section 9.7 of Regulation 9 of the Comptroller of the Currency, the Board of Directors retains responsibility for the proper exercise of the fiduciary powers of this Association.</w:t>
      </w:r>
    </w:p>
    <w:p>
      <w:pPr>
        <w:spacing w:after="0" w:line="166"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The Fiduciary Services unit of the Capital Management Group will maintain a list of securities approved for investment in fiduciary accounts and will from time to time provide the Capital Management/General Trust Committee with current information relative to such list and also with respect to transactions in other securities not on such list. It is the policy of this Association that members of the Capital Management/General Trust Committee should not buy, sell or trade in securities which are on such approved list or in any other securities in which the Fiduciary Services unit has taken, or intends to take, a position in fiduciary accounts in any circumstances in which any such transaction could be viewed as a possible conflict of interest or could constitute a violation of applicable law or regulation. Accordingly, if any such securities are owned by any member of the Capital Management/General Trust Committee at the time of appointment to such Committee, the Capital Management Group shall be promptly so informed in writing. If any member of the Capital Management/General Trust Committee intends to buy, sell, or trade in any such securities while serving as a member of the Committee, he should first notify the Capital Management Group in order to make certain that any proposed transaction will not constitute a violation of this policy or of applicable law or regulation.</w:t>
      </w:r>
    </w:p>
    <w:p>
      <w:pPr>
        <w:spacing w:after="0" w:line="168" w:lineRule="exact"/>
        <w:rPr>
          <w:sz w:val="20"/>
          <w:szCs w:val="20"/>
          <w:color w:val="auto"/>
        </w:rPr>
      </w:pPr>
    </w:p>
    <w:p>
      <w:pPr>
        <w:ind w:left="620"/>
        <w:spacing w:after="0"/>
        <w:tabs>
          <w:tab w:leader="none" w:pos="4280" w:val="left"/>
        </w:tabs>
        <w:rPr>
          <w:sz w:val="20"/>
          <w:szCs w:val="20"/>
          <w:color w:val="auto"/>
        </w:rPr>
      </w:pPr>
      <w:r>
        <w:rPr>
          <w:rFonts w:ascii="Courier New" w:cs="Courier New" w:eastAsia="Courier New" w:hAnsi="Courier New"/>
          <w:sz w:val="15"/>
          <w:szCs w:val="15"/>
          <w:color w:val="auto"/>
        </w:rPr>
        <w:t>Section 5.4 Investment Policy Committee.</w:t>
      </w:r>
      <w:r>
        <w:rPr>
          <w:sz w:val="20"/>
          <w:szCs w:val="20"/>
          <w:color w:val="auto"/>
        </w:rPr>
        <w:tab/>
      </w:r>
      <w:r>
        <w:rPr>
          <w:rFonts w:ascii="Courier New" w:cs="Courier New" w:eastAsia="Courier New" w:hAnsi="Courier New"/>
          <w:sz w:val="14"/>
          <w:szCs w:val="14"/>
          <w:color w:val="auto"/>
        </w:rPr>
        <w:t>There shall be an Investment</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Policy Committee composed of not less than seven (7) officers and/or employees of this Association who shall be appointed annually or from time to time by the Board of Directors. Each member shall serve until his successor is appointed.</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Meetings shall be called by the Chairman or any two (2) members of the Committee. A quorum shall consist of five (5) members. The Investment Policy Committee shall exercise such fiduciary powers and perform such duties as may be assigned to it by the Capital Management/General Trust Committee. All actions taken by the Investment Policy Committee shall be recorded in appropriate minutes, signed by the Secretary thereof, approved by its Chairman and submitted to the Capital Management/General Trust Committee at its next ensuing regular meeting for its review and approval.</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237" w:name="page238"/>
    <w:bookmarkEnd w:id="237"/>
    <w:p>
      <w:pPr>
        <w:ind w:left="620"/>
        <w:spacing w:after="0"/>
        <w:tabs>
          <w:tab w:leader="none" w:pos="5320" w:val="left"/>
        </w:tabs>
        <w:rPr>
          <w:sz w:val="20"/>
          <w:szCs w:val="20"/>
          <w:color w:val="auto"/>
        </w:rPr>
      </w:pPr>
      <w:r>
        <w:rPr>
          <w:rFonts w:ascii="Courier New" w:cs="Courier New" w:eastAsia="Courier New" w:hAnsi="Courier New"/>
          <w:sz w:val="15"/>
          <w:szCs w:val="15"/>
          <w:color w:val="auto"/>
        </w:rPr>
        <w:t>Section 5.5 Personal Trust Administration Committee.</w:t>
      </w:r>
      <w:r>
        <w:rPr>
          <w:sz w:val="20"/>
          <w:szCs w:val="20"/>
          <w:color w:val="auto"/>
        </w:rPr>
        <w:tab/>
      </w:r>
      <w:r>
        <w:rPr>
          <w:rFonts w:ascii="Courier New" w:cs="Courier New" w:eastAsia="Courier New" w:hAnsi="Courier New"/>
          <w:sz w:val="14"/>
          <w:szCs w:val="14"/>
          <w:color w:val="auto"/>
        </w:rPr>
        <w:t>There shall be a</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Personal Trust Administration Committee composed of not less than five (5) officers, who shall be appointed annually or from time to time by the Board of Directors. Each member shall serve until his successor is appointed. Meetings shall be called by the Chairman or any three (3) members of the Committee. A quorum shall consist of three (3) members. The Personal Trust Administration Committee shall exercise such fiduciary powers and perform such duties as may be assigned to it by the Capital Management/General Trust Committee. All action taken by the Personal Trust Administration Committee shall be recorded in appropriate minutes signed by the Secretary thereof, approved by its Chairman, and submitted to the Capital Management/General Trust Committee at its next ensuing regular meeting for its review and approval.</w:t>
      </w:r>
    </w:p>
    <w:p>
      <w:pPr>
        <w:spacing w:after="0" w:line="158" w:lineRule="exact"/>
        <w:rPr>
          <w:sz w:val="20"/>
          <w:szCs w:val="20"/>
          <w:color w:val="auto"/>
        </w:rPr>
      </w:pPr>
    </w:p>
    <w:p>
      <w:pPr>
        <w:ind w:left="620"/>
        <w:spacing w:after="0"/>
        <w:tabs>
          <w:tab w:leader="none" w:pos="4020" w:val="left"/>
        </w:tabs>
        <w:rPr>
          <w:sz w:val="20"/>
          <w:szCs w:val="20"/>
          <w:color w:val="auto"/>
        </w:rPr>
      </w:pPr>
      <w:r>
        <w:rPr>
          <w:rFonts w:ascii="Courier New" w:cs="Courier New" w:eastAsia="Courier New" w:hAnsi="Courier New"/>
          <w:sz w:val="15"/>
          <w:szCs w:val="15"/>
          <w:color w:val="auto"/>
        </w:rPr>
        <w:t>Section 5.6 Account Review Committee.</w:t>
      </w:r>
      <w:r>
        <w:rPr>
          <w:sz w:val="20"/>
          <w:szCs w:val="20"/>
          <w:color w:val="auto"/>
        </w:rPr>
        <w:tab/>
      </w:r>
      <w:r>
        <w:rPr>
          <w:rFonts w:ascii="Courier New" w:cs="Courier New" w:eastAsia="Courier New" w:hAnsi="Courier New"/>
          <w:sz w:val="14"/>
          <w:szCs w:val="14"/>
          <w:color w:val="auto"/>
        </w:rPr>
        <w:t>There shall be an Account Review</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Committee composed of not less than four (4) officers and/or employees of this Association, who shall be appointed annually or from time to time by the Board of Directors. Each member shall serve until his successor is appointed. Meetings shall be called by the Chairman or any two (2) members of the Committee. A quorum shall consist of three (3) members. The Account Review Committee shall exercise such fiduciary powers and perform such duties as may be assigned to it by the Capital Management/General Trust Committee. All actions taken by the Account Review Committee shall be recorded in appropriate minutes, signed by the Secretary thereof, approved by its Chairman and submitted to the Capital Management/ General Trust Committee at its next ensuing regular meeting for its review and approval.</w:t>
      </w:r>
    </w:p>
    <w:p>
      <w:pPr>
        <w:spacing w:after="0" w:line="174" w:lineRule="exact"/>
        <w:rPr>
          <w:sz w:val="20"/>
          <w:szCs w:val="20"/>
          <w:color w:val="auto"/>
        </w:rPr>
      </w:pPr>
    </w:p>
    <w:p>
      <w:pPr>
        <w:ind w:left="620"/>
        <w:spacing w:after="0"/>
        <w:tabs>
          <w:tab w:leader="none" w:pos="5940" w:val="left"/>
        </w:tabs>
        <w:rPr>
          <w:sz w:val="20"/>
          <w:szCs w:val="20"/>
          <w:color w:val="auto"/>
        </w:rPr>
      </w:pPr>
      <w:r>
        <w:rPr>
          <w:rFonts w:ascii="Courier New" w:cs="Courier New" w:eastAsia="Courier New" w:hAnsi="Courier New"/>
          <w:sz w:val="15"/>
          <w:szCs w:val="15"/>
          <w:color w:val="auto"/>
        </w:rPr>
        <w:t>Section 5.7 Corporate and Institutional Accounts Committee.</w:t>
      </w:r>
      <w:r>
        <w:rPr>
          <w:sz w:val="20"/>
          <w:szCs w:val="20"/>
          <w:color w:val="auto"/>
        </w:rPr>
        <w:tab/>
      </w:r>
      <w:r>
        <w:rPr>
          <w:rFonts w:ascii="Courier New" w:cs="Courier New" w:eastAsia="Courier New" w:hAnsi="Courier New"/>
          <w:sz w:val="14"/>
          <w:szCs w:val="14"/>
          <w:color w:val="auto"/>
        </w:rPr>
        <w:t>There shall</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be a Corporate and Institutional Accounts Committee composed of not less than five (5) officers and/or employees of this Association, who shall be appointed annually, or from time to time, by the Capital Management/General Trust Committee and approved by the Board of Directors. Meetings may be called by the Chairman or any two (2) members of the Committee. A quorum shall consist of three (3) members. The Corporate and Institutional Accounts Committee shall exercise such fiduciary powers and duties as may be assigned to it by the General Trust Committee. All actions taken by the Corporate and Institutional Accounts Committee shall be recorded in appropriate minutes, signed by the Secretary thereof, approved by its Chairman and made available to the General Trust Committee at its next ensuing regular meeting for its review and approval.</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238" w:name="page239"/>
    <w:bookmarkEnd w:id="238"/>
    <w:p>
      <w:pPr>
        <w:jc w:val="center"/>
        <w:ind w:right="339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Stock and Stock Certificates</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20"/>
        <w:spacing w:after="0"/>
        <w:tabs>
          <w:tab w:leader="none" w:pos="2700" w:val="left"/>
        </w:tabs>
        <w:rPr>
          <w:sz w:val="20"/>
          <w:szCs w:val="20"/>
          <w:color w:val="auto"/>
        </w:rPr>
      </w:pPr>
      <w:r>
        <w:rPr>
          <w:rFonts w:ascii="Courier New" w:cs="Courier New" w:eastAsia="Courier New" w:hAnsi="Courier New"/>
          <w:sz w:val="15"/>
          <w:szCs w:val="15"/>
          <w:color w:val="auto"/>
        </w:rPr>
        <w:t>Section 6.1 Transfers.</w:t>
      </w:r>
      <w:r>
        <w:rPr>
          <w:sz w:val="20"/>
          <w:szCs w:val="20"/>
          <w:color w:val="auto"/>
        </w:rPr>
        <w:tab/>
      </w:r>
      <w:r>
        <w:rPr>
          <w:rFonts w:ascii="Courier New" w:cs="Courier New" w:eastAsia="Courier New" w:hAnsi="Courier New"/>
          <w:sz w:val="14"/>
          <w:szCs w:val="14"/>
          <w:color w:val="auto"/>
        </w:rPr>
        <w:t>Shares of stock shall be transferable on the</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books of the Association, and a transfer book shall be kept in which all transfers of stock shall be recorded. Every person becoming a shareholder by such transfer shall, in proportion to his shares, succeed to all rights and liabilities of the prior holder of such shares.</w:t>
      </w:r>
    </w:p>
    <w:p>
      <w:pPr>
        <w:spacing w:after="0" w:line="169" w:lineRule="exact"/>
        <w:rPr>
          <w:sz w:val="20"/>
          <w:szCs w:val="20"/>
          <w:color w:val="auto"/>
        </w:rPr>
      </w:pPr>
    </w:p>
    <w:p>
      <w:pPr>
        <w:ind w:left="620"/>
        <w:spacing w:after="0"/>
        <w:tabs>
          <w:tab w:leader="none" w:pos="3480" w:val="left"/>
        </w:tabs>
        <w:rPr>
          <w:sz w:val="20"/>
          <w:szCs w:val="20"/>
          <w:color w:val="auto"/>
        </w:rPr>
      </w:pPr>
      <w:r>
        <w:rPr>
          <w:rFonts w:ascii="Courier New" w:cs="Courier New" w:eastAsia="Courier New" w:hAnsi="Courier New"/>
          <w:sz w:val="15"/>
          <w:szCs w:val="15"/>
          <w:color w:val="auto"/>
        </w:rPr>
        <w:t>Section 6.2 Stock Certificates.</w:t>
      </w:r>
      <w:r>
        <w:rPr>
          <w:sz w:val="20"/>
          <w:szCs w:val="20"/>
          <w:color w:val="auto"/>
        </w:rPr>
        <w:tab/>
      </w:r>
      <w:r>
        <w:rPr>
          <w:rFonts w:ascii="Courier New" w:cs="Courier New" w:eastAsia="Courier New" w:hAnsi="Courier New"/>
          <w:sz w:val="14"/>
          <w:szCs w:val="14"/>
          <w:color w:val="auto"/>
        </w:rPr>
        <w:t>Certificates of stock shall bear the</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signature of the Chairman, the Vice Chairman, the President, or a Vice President (which may be engraved, printed, or impressed), and shall be signed manually or by facsimile process by the Secretary, Assistant Secretary, Cashier, Assistant Cashier, or any other officer appointed by the Board of Directors for that purpose, to be known as an Authorized Officer, and the seal of the Association shall be engraved thereon. Each certificate shall recite on its face that the stock represented thereby is transferable only upon the books of the Association properly endorsed.</w:t>
      </w:r>
    </w:p>
    <w:p>
      <w:pPr>
        <w:spacing w:after="0" w:line="33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Corporate Seal</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20"/>
        <w:spacing w:after="0"/>
        <w:tabs>
          <w:tab w:leader="none" w:pos="174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The President, the Cashier, the Secretary, or any Assistant</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Cashier, or Assistant Secretary, or other officer thereunto designated by the Board of Directors shall have authority to affix the corporate seal to any document requiring such seal, and to attest the same. Such seal shall be substantially in the following form.</w:t>
      </w:r>
    </w:p>
    <w:p>
      <w:pPr>
        <w:spacing w:after="0" w:line="33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Miscellaneous Provisions</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20"/>
        <w:spacing w:after="0"/>
        <w:tabs>
          <w:tab w:leader="none" w:pos="2880" w:val="left"/>
        </w:tabs>
        <w:rPr>
          <w:sz w:val="20"/>
          <w:szCs w:val="20"/>
          <w:color w:val="auto"/>
        </w:rPr>
      </w:pPr>
      <w:r>
        <w:rPr>
          <w:rFonts w:ascii="Courier New" w:cs="Courier New" w:eastAsia="Courier New" w:hAnsi="Courier New"/>
          <w:sz w:val="15"/>
          <w:szCs w:val="15"/>
          <w:color w:val="auto"/>
        </w:rPr>
        <w:t>Section 8.1 Fiscal Year.</w:t>
      </w:r>
      <w:r>
        <w:rPr>
          <w:sz w:val="20"/>
          <w:szCs w:val="20"/>
          <w:color w:val="auto"/>
        </w:rPr>
        <w:tab/>
      </w:r>
      <w:r>
        <w:rPr>
          <w:rFonts w:ascii="Courier New" w:cs="Courier New" w:eastAsia="Courier New" w:hAnsi="Courier New"/>
          <w:sz w:val="14"/>
          <w:szCs w:val="14"/>
          <w:color w:val="auto"/>
        </w:rPr>
        <w:t>The fiscal year of the Association shall be the</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calendar year.</w:t>
      </w:r>
    </w:p>
    <w:p>
      <w:pPr>
        <w:spacing w:after="0" w:line="167" w:lineRule="exact"/>
        <w:rPr>
          <w:sz w:val="20"/>
          <w:szCs w:val="20"/>
          <w:color w:val="auto"/>
        </w:rPr>
      </w:pPr>
    </w:p>
    <w:p>
      <w:pPr>
        <w:ind w:left="620"/>
        <w:spacing w:after="0"/>
        <w:tabs>
          <w:tab w:leader="none" w:pos="4020" w:val="left"/>
        </w:tabs>
        <w:rPr>
          <w:sz w:val="20"/>
          <w:szCs w:val="20"/>
          <w:color w:val="auto"/>
        </w:rPr>
      </w:pPr>
      <w:r>
        <w:rPr>
          <w:rFonts w:ascii="Courier New" w:cs="Courier New" w:eastAsia="Courier New" w:hAnsi="Courier New"/>
          <w:sz w:val="15"/>
          <w:szCs w:val="15"/>
          <w:color w:val="auto"/>
        </w:rPr>
        <w:t>Section 8.2 Execution of Instruments.</w:t>
      </w:r>
      <w:r>
        <w:rPr>
          <w:sz w:val="20"/>
          <w:szCs w:val="20"/>
          <w:color w:val="auto"/>
        </w:rPr>
        <w:tab/>
      </w:r>
      <w:r>
        <w:rPr>
          <w:rFonts w:ascii="Courier New" w:cs="Courier New" w:eastAsia="Courier New" w:hAnsi="Courier New"/>
          <w:sz w:val="14"/>
          <w:szCs w:val="14"/>
          <w:color w:val="auto"/>
        </w:rPr>
        <w:t>All agreements, indentures,</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mortgages, deeds, conveyances, transfers, certificates, declarations, receipts, discharges, releases, satisfactions, settlements, petitions, notices, applications, schedules, accounts, affidavits, bonds, undertakings, proxies, and other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239" w:name="page240"/>
    <w:bookmarkEnd w:id="239"/>
    <w:p>
      <w:pPr>
        <w:ind w:right="3239"/>
        <w:spacing w:after="0" w:line="237" w:lineRule="auto"/>
        <w:rPr>
          <w:sz w:val="20"/>
          <w:szCs w:val="20"/>
          <w:color w:val="auto"/>
        </w:rPr>
      </w:pPr>
      <w:r>
        <w:rPr>
          <w:rFonts w:ascii="Courier New" w:cs="Courier New" w:eastAsia="Courier New" w:hAnsi="Courier New"/>
          <w:sz w:val="15"/>
          <w:szCs w:val="15"/>
          <w:color w:val="auto"/>
        </w:rPr>
        <w:t>instruments or documents may be signed, executed, acknowledged, verified, delivered or accepted in behalf of the Association by the Chairman of the Board, the Vice Chairman of the Board, any Chairman or Vice Chairman, the President, any Vice President or Assistant Vice President, the Secretary or any Assistant Secretary, the Cashier or Treasurer or any Assistant Cashier or Assistant Treasurer, or any officer holding similar or equivalent titles to the above in any regions, divisions or functional units of the Association, or, if in connection with the exercise of fiduciary powers of the Association, by any of said officers or by any Trust Officer or Assistant Trust Officer (or equivalent titles); provided, however, that where required, any such instrument shall be attested by one of said officers other than the officer executing such instrument. Any such instruments may also be executed, acknowledged, verified, delivered or accepted in behalf of the Association in such other manner and by such other officers as the Board of Directors may from time to time direct. The provisions of this Section 8.2 are supplementary to any other provision of these By-laws.</w:t>
      </w:r>
    </w:p>
    <w:p>
      <w:pPr>
        <w:spacing w:after="0" w:line="168" w:lineRule="exact"/>
        <w:rPr>
          <w:sz w:val="20"/>
          <w:szCs w:val="20"/>
          <w:color w:val="auto"/>
        </w:rPr>
      </w:pPr>
    </w:p>
    <w:p>
      <w:pPr>
        <w:ind w:left="620"/>
        <w:spacing w:after="0"/>
        <w:tabs>
          <w:tab w:leader="none" w:pos="2520" w:val="left"/>
        </w:tabs>
        <w:rPr>
          <w:sz w:val="20"/>
          <w:szCs w:val="20"/>
          <w:color w:val="auto"/>
        </w:rPr>
      </w:pPr>
      <w:r>
        <w:rPr>
          <w:rFonts w:ascii="Courier New" w:cs="Courier New" w:eastAsia="Courier New" w:hAnsi="Courier New"/>
          <w:sz w:val="15"/>
          <w:szCs w:val="15"/>
          <w:color w:val="auto"/>
        </w:rPr>
        <w:t>Section 8.3 Records.</w:t>
      </w:r>
      <w:r>
        <w:rPr>
          <w:sz w:val="20"/>
          <w:szCs w:val="20"/>
          <w:color w:val="auto"/>
        </w:rPr>
        <w:tab/>
      </w:r>
      <w:r>
        <w:rPr>
          <w:rFonts w:ascii="Courier New" w:cs="Courier New" w:eastAsia="Courier New" w:hAnsi="Courier New"/>
          <w:sz w:val="14"/>
          <w:szCs w:val="14"/>
          <w:color w:val="auto"/>
        </w:rPr>
        <w:t>The Articles of Association, the By-laws, and the</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proceedings of all meetings of the shareholders, the Board of Directors, standing committees of the Board, shall be recorded in appropriate minute books provided for the purpose. The minutes of each meeting shall be signed by the Secretary, Cashier, or other officer appointed to act as Secretary of the meeting.</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By-laws</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20"/>
        <w:spacing w:after="0"/>
        <w:tabs>
          <w:tab w:leader="none" w:pos="2780" w:val="left"/>
        </w:tabs>
        <w:rPr>
          <w:sz w:val="20"/>
          <w:szCs w:val="20"/>
          <w:color w:val="auto"/>
        </w:rPr>
      </w:pPr>
      <w:r>
        <w:rPr>
          <w:rFonts w:ascii="Courier New" w:cs="Courier New" w:eastAsia="Courier New" w:hAnsi="Courier New"/>
          <w:sz w:val="15"/>
          <w:szCs w:val="15"/>
          <w:color w:val="auto"/>
        </w:rPr>
        <w:t>Section 9.1 Inspection.</w:t>
      </w:r>
      <w:r>
        <w:rPr>
          <w:sz w:val="20"/>
          <w:szCs w:val="20"/>
          <w:color w:val="auto"/>
        </w:rPr>
        <w:tab/>
      </w:r>
      <w:r>
        <w:rPr>
          <w:rFonts w:ascii="Courier New" w:cs="Courier New" w:eastAsia="Courier New" w:hAnsi="Courier New"/>
          <w:sz w:val="14"/>
          <w:szCs w:val="14"/>
          <w:color w:val="auto"/>
        </w:rPr>
        <w:t>A copy of the By-laws, with all amendments</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thereto, shall at all times be kept in a convenient place at the Head Office of the Association, and shall be open for inspection to all shareholders, during banking hours.</w:t>
      </w:r>
    </w:p>
    <w:p>
      <w:pPr>
        <w:spacing w:after="0" w:line="167" w:lineRule="exact"/>
        <w:rPr>
          <w:sz w:val="20"/>
          <w:szCs w:val="20"/>
          <w:color w:val="auto"/>
        </w:rPr>
      </w:pPr>
    </w:p>
    <w:p>
      <w:pPr>
        <w:ind w:left="620"/>
        <w:spacing w:after="0"/>
        <w:tabs>
          <w:tab w:leader="none" w:pos="2780" w:val="left"/>
        </w:tabs>
        <w:rPr>
          <w:sz w:val="20"/>
          <w:szCs w:val="20"/>
          <w:color w:val="auto"/>
        </w:rPr>
      </w:pPr>
      <w:r>
        <w:rPr>
          <w:rFonts w:ascii="Courier New" w:cs="Courier New" w:eastAsia="Courier New" w:hAnsi="Courier New"/>
          <w:sz w:val="15"/>
          <w:szCs w:val="15"/>
          <w:color w:val="auto"/>
        </w:rPr>
        <w:t>Section 9.2 Amendments.</w:t>
      </w:r>
      <w:r>
        <w:rPr>
          <w:sz w:val="20"/>
          <w:szCs w:val="20"/>
          <w:color w:val="auto"/>
        </w:rPr>
        <w:tab/>
      </w:r>
      <w:r>
        <w:rPr>
          <w:rFonts w:ascii="Courier New" w:cs="Courier New" w:eastAsia="Courier New" w:hAnsi="Courier New"/>
          <w:sz w:val="14"/>
          <w:szCs w:val="14"/>
          <w:color w:val="auto"/>
        </w:rPr>
        <w:t>The By-laws may be amended, altered or repealed,</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at any regular or special meeting of the Board of Directors, by a vote of a majority of the whole number of Directors.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3" w:right="1440" w:bottom="1440" w:gutter="0" w:footer="0" w:header="0"/>
        </w:sectPr>
      </w:pPr>
    </w:p>
    <w:bookmarkStart w:id="240" w:name="page241"/>
    <w:bookmarkEnd w:id="240"/>
    <w:p>
      <w:pPr>
        <w:ind w:left="3080"/>
        <w:spacing w:after="0"/>
        <w:rPr>
          <w:sz w:val="20"/>
          <w:szCs w:val="20"/>
          <w:color w:val="auto"/>
        </w:rPr>
      </w:pPr>
      <w:r>
        <w:rPr>
          <w:rFonts w:ascii="Courier New" w:cs="Courier New" w:eastAsia="Courier New" w:hAnsi="Courier New"/>
          <w:sz w:val="15"/>
          <w:szCs w:val="15"/>
          <w:color w:val="auto"/>
        </w:rPr>
        <w:t>Exhibit A</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First Union National Bank</w:t>
      </w:r>
    </w:p>
    <w:p>
      <w:pPr>
        <w:jc w:val="center"/>
        <w:ind w:right="3319"/>
        <w:spacing w:after="0" w:line="237" w:lineRule="auto"/>
        <w:rPr>
          <w:sz w:val="20"/>
          <w:szCs w:val="20"/>
          <w:color w:val="auto"/>
        </w:rPr>
      </w:pPr>
      <w:r>
        <w:rPr>
          <w:rFonts w:ascii="Courier New" w:cs="Courier New" w:eastAsia="Courier New" w:hAnsi="Courier New"/>
          <w:sz w:val="15"/>
          <w:szCs w:val="15"/>
          <w:color w:val="auto"/>
        </w:rPr>
        <w:t>Article X</w:t>
      </w:r>
    </w:p>
    <w:p>
      <w:pPr>
        <w:jc w:val="center"/>
        <w:ind w:right="3319"/>
        <w:spacing w:after="0" w:line="238" w:lineRule="auto"/>
        <w:rPr>
          <w:sz w:val="20"/>
          <w:szCs w:val="20"/>
          <w:color w:val="auto"/>
        </w:rPr>
      </w:pPr>
      <w:r>
        <w:rPr>
          <w:rFonts w:ascii="Courier New" w:cs="Courier New" w:eastAsia="Courier New" w:hAnsi="Courier New"/>
          <w:sz w:val="15"/>
          <w:szCs w:val="15"/>
          <w:color w:val="auto"/>
        </w:rPr>
        <w:t>Emergency By-laws</w:t>
      </w:r>
    </w:p>
    <w:p>
      <w:pPr>
        <w:spacing w:after="0" w:line="200" w:lineRule="exact"/>
        <w:rPr>
          <w:sz w:val="20"/>
          <w:szCs w:val="20"/>
          <w:color w:val="auto"/>
        </w:rPr>
      </w:pPr>
    </w:p>
    <w:p>
      <w:pPr>
        <w:spacing w:after="0" w:line="309"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 the event of an emergency declared by the President of the United States or the person performing his functions, the officers and employees of this Association will continue to conduct the affairs of the Association under such guidance from the directors or the Executive Committee as may be available except as to matters which by statute require specific approval of the Board of Directors and subject to conformance with any applicable governmental directives during the emergency.</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OFFICERS PRO TEMPORE AND DISASTER</w:t>
      </w:r>
    </w:p>
    <w:p>
      <w:pPr>
        <w:spacing w:after="0" w:line="173"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Section 1. The surviving members of the Board of Directors or the Executive Committee shall have the power, in the absence or disability of any officer, or upon the refusal of any officer to act, to delegate and prescribe such officer's powers and duties to any other officer, or to any director, for the time being.</w:t>
      </w:r>
    </w:p>
    <w:p>
      <w:pPr>
        <w:spacing w:after="0" w:line="174"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Section 2. In the event of a state of disaster of sufficient severity to prevent the conduct and management of the affairs and business of this Association by its directors and officers as contemplated by these By-laws, any two or more available members of the then incumbent Executive Committee shall constitute a quorum of that Committee for the full conduct and management of the affairs and business of the Association in accordance with the provisions of Article II of these By-laws; and in addition, such Committee shall be empowered to exercise all of the powers reserved to the General Trust Committee under Section 5.3 of Article V hereof. In the event of the unavail-ability, at such time, of a minimum of two members of the then incumbent Executive Committee, any three available directors shall constitute the Executive Committee for the full conduct and management of the affairs and business of the Association in accordance with the foregoing provisions of this section. This By-law shall be subject to implementation by resolutions of the Board of Directors passed from time to time for that purpose, and any provisions of these By-laws (other than this section) and any resolutions which are contrary to the provisions of this section or to the provisions of any such implementary</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241" w:name="page242"/>
    <w:bookmarkEnd w:id="241"/>
    <w:p>
      <w:pPr>
        <w:ind w:right="3319"/>
        <w:spacing w:after="0" w:line="235" w:lineRule="auto"/>
        <w:rPr>
          <w:sz w:val="20"/>
          <w:szCs w:val="20"/>
          <w:color w:val="auto"/>
        </w:rPr>
      </w:pPr>
      <w:r>
        <w:rPr>
          <w:rFonts w:ascii="Courier New" w:cs="Courier New" w:eastAsia="Courier New" w:hAnsi="Courier New"/>
          <w:sz w:val="15"/>
          <w:szCs w:val="15"/>
          <w:color w:val="auto"/>
        </w:rPr>
        <w:t>resolutions shall be suspended until it shall be determined by an interim Executive Committee acting under this section that it shall be to the advantage of this Association to resume the conduct and management of its affairs and business under all of the other provisions of these By-laws.</w:t>
      </w:r>
    </w:p>
    <w:p>
      <w:pPr>
        <w:spacing w:after="0" w:line="16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Officer Succession</w:t>
      </w:r>
    </w:p>
    <w:p>
      <w:pPr>
        <w:spacing w:after="0" w:line="173" w:lineRule="exact"/>
        <w:rPr>
          <w:sz w:val="20"/>
          <w:szCs w:val="20"/>
          <w:color w:val="auto"/>
        </w:rPr>
      </w:pPr>
    </w:p>
    <w:p>
      <w:pPr>
        <w:ind w:right="3399" w:firstLine="612"/>
        <w:spacing w:after="0" w:line="255" w:lineRule="auto"/>
        <w:rPr>
          <w:sz w:val="20"/>
          <w:szCs w:val="20"/>
          <w:color w:val="auto"/>
        </w:rPr>
      </w:pPr>
      <w:r>
        <w:rPr>
          <w:rFonts w:ascii="Courier New" w:cs="Courier New" w:eastAsia="Courier New" w:hAnsi="Courier New"/>
          <w:sz w:val="14"/>
          <w:szCs w:val="14"/>
          <w:color w:val="auto"/>
        </w:rPr>
        <w:t>BE IT RESOLVED, that if consequent upon war or warlike damage or disaster, the Chief Executive Officer of this Association cannot be located by the then acting Head Officer or is unable to assume or to continue normal executive duties, then the authority and duties of the Chief Executive Officer shall, without further action of the Board of Directors, be automatically assumed by one of the following persons in the order designated:</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Chairman</w:t>
      </w:r>
    </w:p>
    <w:p>
      <w:pPr>
        <w:ind w:left="620"/>
        <w:spacing w:after="0" w:line="237" w:lineRule="auto"/>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ind w:left="620" w:right="3239"/>
        <w:spacing w:after="0" w:line="235" w:lineRule="auto"/>
        <w:rPr>
          <w:sz w:val="20"/>
          <w:szCs w:val="20"/>
          <w:color w:val="auto"/>
        </w:rPr>
      </w:pPr>
      <w:r>
        <w:rPr>
          <w:rFonts w:ascii="Courier New" w:cs="Courier New" w:eastAsia="Courier New" w:hAnsi="Courier New"/>
          <w:sz w:val="15"/>
          <w:szCs w:val="15"/>
          <w:color w:val="auto"/>
        </w:rPr>
        <w:t>Division Head/Area Administrator - Within this officer class, officers shall take seniority on the basis of length of service in such office or, in the event of equality, length of service as an officer of the Association.</w:t>
      </w:r>
    </w:p>
    <w:p>
      <w:pPr>
        <w:spacing w:after="0" w:line="175" w:lineRule="exact"/>
        <w:rPr>
          <w:sz w:val="20"/>
          <w:szCs w:val="20"/>
          <w:color w:val="auto"/>
        </w:rPr>
      </w:pPr>
    </w:p>
    <w:p>
      <w:pPr>
        <w:ind w:right="3399" w:firstLine="612"/>
        <w:spacing w:after="0" w:line="255" w:lineRule="auto"/>
        <w:rPr>
          <w:sz w:val="20"/>
          <w:szCs w:val="20"/>
          <w:color w:val="auto"/>
        </w:rPr>
      </w:pPr>
      <w:r>
        <w:rPr>
          <w:rFonts w:ascii="Courier New" w:cs="Courier New" w:eastAsia="Courier New" w:hAnsi="Courier New"/>
          <w:sz w:val="14"/>
          <w:szCs w:val="14"/>
          <w:color w:val="auto"/>
        </w:rPr>
        <w:t>Any one of the above persons who in accordance with this resolution assumes the authority and duties of the Chief Executive Officer shall continue to serve until he resigns or until five-sixths of the other officers who are attached to the then acting Head Office decide in writing he is unable to perform said duties or until the elected Chief Executive Officer of this Association, or a person higher on the above list, shall become available to perform the duties of Chief Executive Officer of the Association.</w:t>
      </w:r>
    </w:p>
    <w:p>
      <w:pPr>
        <w:spacing w:after="0" w:line="166"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BE IT FURTHER RESOLVED, that anyone dealing with this Association may accept a certification by any three officers that a specified individual is acting as Chief Executive Officer in accordance with this resolution; and that anyone accepting such certification may continue to consider it in force until notified in writing of a change, said notice of change to carry the signatures of three officers of the Association.</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Alternate Locations</w:t>
      </w:r>
    </w:p>
    <w:p>
      <w:pPr>
        <w:spacing w:after="0" w:line="173"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The offices of the Association at which its business shall be conducted shall be the main office thereof in each city which is designated as a City Office (and branches, if any), and any other legally authorized location which may be leased or acquired by this Association to carry on its business. During an emergency resulting in any authorized place of business of this Association being unable to function, the business ordinarily conducted at such location shall be relocated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242" w:name="page243"/>
    <w:bookmarkEnd w:id="242"/>
    <w:p>
      <w:pPr>
        <w:ind w:right="3239"/>
        <w:spacing w:after="0" w:line="255" w:lineRule="auto"/>
        <w:rPr>
          <w:sz w:val="20"/>
          <w:szCs w:val="20"/>
          <w:color w:val="auto"/>
        </w:rPr>
      </w:pPr>
      <w:r>
        <w:rPr>
          <w:rFonts w:ascii="Courier New" w:cs="Courier New" w:eastAsia="Courier New" w:hAnsi="Courier New"/>
          <w:sz w:val="14"/>
          <w:szCs w:val="14"/>
          <w:color w:val="auto"/>
        </w:rPr>
        <w:t>elsewhere in suitable quarters, in addition to or in lieu of the locations heretofore mentioned, as may be designated by the Board of Directors or by the Executive Committee or by such persons as are then, in accordance with resolutions adopted from time to time by the Board of Directors dealing with the exercise of authority in the time of such emergency, conducting the affairs of this Association. Any temporarily relocated place of business of this Association shall be returned to its legally authorized location as soon as practicable and such temporary place of business shall then be discontinued.</w:t>
      </w:r>
    </w:p>
    <w:p>
      <w:pPr>
        <w:spacing w:after="0" w:line="15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Acting Head Offices</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BE IT RESOLVED, that in case of and provided because of war or warlike damage or disaster, the General Office of this Association, located in Charlotte, North Carolina, is unable temporarily to continue its functions, the Raleigh office, located in Raleigh, North Carolina, shall automatically and without further action of this Board of Directors, become the "Acting Head Office of this Association";</w:t>
      </w:r>
    </w:p>
    <w:p>
      <w:pPr>
        <w:spacing w:after="0" w:line="175"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BE IT FURTHER RESOLVED, that if by reason of said war or warlike damage or disaster, both the General Office of this Association and the said Raleigh Office of this Association are unable to carry on their functions, then and in such case, the Asheville Office of this Association, located in Asheville, North Carolina, shall, without further action of this Board of Directors, become the "Acting Head Office of this Association"; and if neither the Raleigh Office nor the Asheville Office can carry on their functions, then the Greensboro Office of this Association, located in Greensboro, North Carolina, shall, without further action of this Board of Directors, become the "Acting Head Office of this Association"; and if neither the Raleigh Office, the Asheville Office, nor the Greensboro Office can carry on their functions, then the Lumberton Office of this Association, located in Lumberton, North Carolina, shall, without further action of this Board of Directors, become the "Acting Head Office of this Association". The Head Office shall resume its functions at its legally authorized location as soon as practicable.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sectPr>
      <w:pgSz w:w="11900" w:h="16838" w:orient="portrait"/>
      <w:cols w:equalWidth="0" w:num="1">
        <w:col w:w="10239"/>
      </w:cols>
      <w:pgMar w:left="220" w:top="6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C91298"/>
    <w:multiLevelType w:val="hybridMultilevel"/>
    <w:lvl w:ilvl="0">
      <w:lvlJc w:val="left"/>
      <w:lvlText w:val="-"/>
      <w:numFmt w:val="bullet"/>
      <w:start w:val="1"/>
    </w:lvl>
  </w:abstractNum>
  <w:abstractNum w:abstractNumId="1">
    <w:nsid w:val="9DAF632"/>
    <w:multiLevelType w:val="hybridMultilevel"/>
    <w:lvl w:ilvl="0">
      <w:lvlJc w:val="left"/>
      <w:lvlText w:val="(%1)"/>
      <w:numFmt w:val="decimal"/>
      <w:start w:val="1"/>
    </w:lvl>
  </w:abstractNum>
  <w:abstractNum w:abstractNumId="2">
    <w:nsid w:val="53299938"/>
    <w:multiLevelType w:val="hybridMultilevel"/>
    <w:lvl w:ilvl="0">
      <w:lvlJc w:val="left"/>
      <w:lvlText w:val="(%1)"/>
      <w:numFmt w:val="decimal"/>
      <w:start w:val="6"/>
    </w:lvl>
  </w:abstractNum>
  <w:abstractNum w:abstractNumId="3">
    <w:nsid w:val="1FBFE8E0"/>
    <w:multiLevelType w:val="hybridMultilevel"/>
    <w:lvl w:ilvl="0">
      <w:lvlJc w:val="left"/>
      <w:lvlText w:val="-"/>
      <w:numFmt w:val="bullet"/>
      <w:start w:val="1"/>
    </w:lvl>
  </w:abstractNum>
  <w:abstractNum w:abstractNumId="4">
    <w:nsid w:val="5092CA79"/>
    <w:multiLevelType w:val="hybridMultilevel"/>
    <w:lvl w:ilvl="0">
      <w:lvlJc w:val="left"/>
      <w:lvlText w:val="(%1)"/>
      <w:numFmt w:val="lowerRoman"/>
      <w:start w:val="2"/>
    </w:lvl>
  </w:abstractNum>
  <w:abstractNum w:abstractNumId="5">
    <w:nsid w:val="1D545C4D"/>
    <w:multiLevelType w:val="hybridMultilevel"/>
    <w:lvl w:ilvl="0">
      <w:lvlJc w:val="left"/>
      <w:lvlText w:val="%1."/>
      <w:numFmt w:val="decimal"/>
      <w:start w:val="1"/>
    </w:lvl>
  </w:abstractNum>
  <w:abstractNum w:abstractNumId="6">
    <w:nsid w:val="59ADEA3D"/>
    <w:multiLevelType w:val="hybridMultilevel"/>
    <w:lvl w:ilvl="0">
      <w:lvlJc w:val="left"/>
      <w:lvlText w:val="(%1)"/>
      <w:numFmt w:val="decimal"/>
      <w:start w:val="1"/>
    </w:lvl>
  </w:abstractNum>
  <w:abstractNum w:abstractNumId="7">
    <w:nsid w:val="288F1A34"/>
    <w:multiLevelType w:val="hybridMultilevel"/>
    <w:lvl w:ilvl="0">
      <w:lvlJc w:val="left"/>
      <w:lvlText w:val="(%1)"/>
      <w:numFmt w:val="decimal"/>
      <w:start w:val="10"/>
    </w:lvl>
  </w:abstractNum>
  <w:abstractNum w:abstractNumId="8">
    <w:nsid w:val="2A155DBC"/>
    <w:multiLevelType w:val="hybridMultilevel"/>
    <w:lvl w:ilvl="0">
      <w:lvlJc w:val="left"/>
      <w:lvlText w:val="(%1)"/>
      <w:numFmt w:val="lowerRoman"/>
      <w:start w:val="2"/>
    </w:lvl>
  </w:abstractNum>
  <w:abstractNum w:abstractNumId="9">
    <w:nsid w:val="1D9F6E5F"/>
    <w:multiLevelType w:val="hybridMultilevel"/>
    <w:lvl w:ilvl="0">
      <w:lvlJc w:val="left"/>
      <w:lvlText w:val="(%1)"/>
      <w:numFmt w:val="lowerRoman"/>
      <w:start w:val="10"/>
    </w:lvl>
  </w:abstractNum>
  <w:abstractNum w:abstractNumId="10">
    <w:nsid w:val="97E1B4E"/>
    <w:multiLevelType w:val="hybridMultilevel"/>
    <w:lvl w:ilvl="0">
      <w:lvlJc w:val="left"/>
      <w:lvlText w:val="(%1)"/>
      <w:numFmt w:val="lowerLetter"/>
      <w:start w:val="1"/>
    </w:lvl>
  </w:abstractNum>
  <w:abstractNum w:abstractNumId="11">
    <w:nsid w:val="51088277"/>
    <w:multiLevelType w:val="hybridMultilevel"/>
    <w:lvl w:ilvl="0">
      <w:lvlJc w:val="left"/>
      <w:lvlText w:val="(%1)"/>
      <w:numFmt w:val="lowerLetter"/>
      <w:start w:val="4"/>
    </w:lvl>
  </w:abstractNum>
  <w:abstractNum w:abstractNumId="12">
    <w:nsid w:val="1CA0C5FA"/>
    <w:multiLevelType w:val="hybridMultilevel"/>
    <w:lvl w:ilvl="0">
      <w:lvlJc w:val="left"/>
      <w:lvlText w:val="(%1)"/>
      <w:numFmt w:val="lowerLetter"/>
      <w:start w:val="6"/>
    </w:lvl>
  </w:abstractNum>
  <w:abstractNum w:abstractNumId="13">
    <w:nsid w:val="53584BCB"/>
    <w:multiLevelType w:val="hybridMultilevel"/>
    <w:lvl w:ilvl="0">
      <w:lvlJc w:val="left"/>
      <w:lvlText w:val="(%1)"/>
      <w:numFmt w:val="lowerLetter"/>
      <w:start w:val="7"/>
    </w:lvl>
  </w:abstractNum>
  <w:abstractNum w:abstractNumId="14">
    <w:nsid w:val="415E286C"/>
    <w:multiLevelType w:val="hybridMultilevel"/>
    <w:lvl w:ilvl="0">
      <w:lvlJc w:val="left"/>
      <w:lvlText w:val="(%1)"/>
      <w:numFmt w:val="decimal"/>
      <w:start w:val="1"/>
    </w:lvl>
  </w:abstractNum>
  <w:abstractNum w:abstractNumId="15">
    <w:nsid w:val="7C58FD05"/>
    <w:multiLevelType w:val="hybridMultilevel"/>
    <w:lvl w:ilvl="0">
      <w:lvlJc w:val="left"/>
      <w:lvlText w:val="(%1)"/>
      <w:numFmt w:val="decimal"/>
      <w:start w:val="14"/>
    </w:lvl>
  </w:abstractNum>
  <w:abstractNum w:abstractNumId="16">
    <w:nsid w:val="23D86AAC"/>
    <w:multiLevelType w:val="hybridMultilevel"/>
    <w:lvl w:ilvl="0">
      <w:lvlJc w:val="left"/>
      <w:lvlText w:val="(%1)"/>
      <w:numFmt w:val="lowerRoman"/>
      <w:start w:val="5"/>
    </w:lvl>
  </w:abstractNum>
  <w:abstractNum w:abstractNumId="17">
    <w:nsid w:val="45E6D486"/>
    <w:multiLevelType w:val="hybridMultilevel"/>
    <w:lvl w:ilvl="0">
      <w:lvlJc w:val="left"/>
      <w:lvlText w:val="(%1)"/>
      <w:numFmt w:val="lowerRoman"/>
      <w:start w:val="10"/>
    </w:lvl>
  </w:abstractNum>
  <w:abstractNum w:abstractNumId="18">
    <w:nsid w:val="5C10FE21"/>
    <w:multiLevelType w:val="hybridMultilevel"/>
    <w:lvl w:ilvl="0">
      <w:lvlJc w:val="left"/>
      <w:lvlText w:val="(%1)"/>
      <w:numFmt w:val="decimal"/>
      <w:start w:val="5"/>
    </w:lvl>
  </w:abstractNum>
  <w:abstractNum w:abstractNumId="19">
    <w:nsid w:val="E7FFA2B"/>
    <w:multiLevelType w:val="hybridMultilevel"/>
    <w:lvl w:ilvl="0">
      <w:lvlJc w:val="left"/>
      <w:lvlText w:val="(%1)"/>
      <w:numFmt w:val="decimal"/>
      <w:start w:val="8"/>
    </w:lvl>
  </w:abstractNum>
  <w:abstractNum w:abstractNumId="20">
    <w:nsid w:val="3C5991AA"/>
    <w:multiLevelType w:val="hybridMultilevel"/>
    <w:lvl w:ilvl="0">
      <w:lvlJc w:val="left"/>
      <w:lvlText w:val="(%1)"/>
      <w:numFmt w:val="decimal"/>
      <w:start w:val="12"/>
    </w:lvl>
  </w:abstractNum>
  <w:abstractNum w:abstractNumId="21">
    <w:nsid w:val="4BD8591A"/>
    <w:multiLevelType w:val="hybridMultilevel"/>
    <w:lvl w:ilvl="0">
      <w:lvlJc w:val="left"/>
      <w:lvlText w:val="(%1)"/>
      <w:numFmt w:val="decimal"/>
      <w:start w:val="15"/>
    </w:lvl>
  </w:abstractNum>
  <w:abstractNum w:abstractNumId="22">
    <w:nsid w:val="78DF6A55"/>
    <w:multiLevelType w:val="hybridMultilevel"/>
    <w:lvl w:ilvl="0">
      <w:lvlJc w:val="left"/>
      <w:lvlText w:val="(%1)"/>
      <w:numFmt w:val="decimal"/>
      <w:start w:val="24"/>
    </w:lvl>
  </w:abstractNum>
  <w:abstractNum w:abstractNumId="23">
    <w:nsid w:val="39B7AAA2"/>
    <w:multiLevelType w:val="hybridMultilevel"/>
    <w:lvl w:ilvl="0">
      <w:lvlJc w:val="left"/>
      <w:lvlText w:val="*"/>
      <w:numFmt w:val="bullet"/>
      <w:start w:val="1"/>
    </w:lvl>
  </w:abstractNum>
  <w:abstractNum w:abstractNumId="24">
    <w:nsid w:val="2B0D8DB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6C80EC70"/>
    <w:multiLevelType w:val="hybridMultilevel"/>
    <w:lvl w:ilvl="0">
      <w:lvlJc w:val="left"/>
      <w:lvlText w:val="(%1)"/>
      <w:numFmt w:val="lowerRoman"/>
      <w:start w:val="3"/>
    </w:lvl>
  </w:abstractNum>
  <w:abstractNum w:abstractNumId="26">
    <w:nsid w:val="379E21B5"/>
    <w:multiLevelType w:val="hybridMultilevel"/>
    <w:lvl w:ilvl="0">
      <w:lvlJc w:val="left"/>
      <w:lvlText w:val="%1"/>
      <w:numFmt w:val="lowerLetter"/>
      <w:start w:val="1"/>
    </w:lvl>
    <w:lvl w:ilvl="1">
      <w:lvlJc w:val="left"/>
      <w:lvlText w:val="(%2)"/>
      <w:numFmt w:val="decimal"/>
      <w:start w:val="2"/>
    </w:lvl>
  </w:abstractNum>
  <w:abstractNum w:abstractNumId="27">
    <w:nsid w:val="69E373"/>
    <w:multiLevelType w:val="hybridMultilevel"/>
    <w:lvl w:ilvl="0">
      <w:lvlJc w:val="left"/>
      <w:lvlText w:val="(%1)"/>
      <w:numFmt w:val="lowerLetter"/>
      <w:start w:val="2"/>
    </w:lvl>
    <w:lvl w:ilvl="1">
      <w:lvlJc w:val="left"/>
      <w:lvlText w:val="%2"/>
      <w:numFmt w:val="decimal"/>
      <w:start w:val="1"/>
    </w:lvl>
  </w:abstractNum>
  <w:abstractNum w:abstractNumId="28">
    <w:nsid w:val="2C27173B"/>
    <w:multiLevelType w:val="hybridMultilevel"/>
    <w:lvl w:ilvl="0">
      <w:lvlJc w:val="left"/>
      <w:lvlText w:val="(%1)"/>
      <w:numFmt w:val="lowerLetter"/>
      <w:start w:val="3"/>
    </w:lvl>
  </w:abstractNum>
  <w:abstractNum w:abstractNumId="29">
    <w:nsid w:val="4C9B0904"/>
    <w:multiLevelType w:val="hybridMultilevel"/>
    <w:lvl w:ilvl="0">
      <w:lvlJc w:val="left"/>
      <w:lvlText w:val="(%1)"/>
      <w:numFmt w:val="decimal"/>
      <w:start w:val="15"/>
    </w:lvl>
  </w:abstractNum>
  <w:abstractNum w:abstractNumId="30">
    <w:nsid w:val="6AA7B75C"/>
    <w:multiLevelType w:val="hybridMultilevel"/>
    <w:lvl w:ilvl="0">
      <w:lvlJc w:val="left"/>
      <w:lvlText w:val="*"/>
      <w:numFmt w:val="bullet"/>
      <w:start w:val="1"/>
    </w:lvl>
  </w:abstractNum>
  <w:abstractNum w:abstractNumId="31">
    <w:nsid w:val="1DF029D3"/>
    <w:multiLevelType w:val="hybridMultilevel"/>
    <w:lvl w:ilvl="0">
      <w:lvlJc w:val="left"/>
      <w:lvlText w:val="%1."/>
      <w:numFmt w:val="decimal"/>
      <w:start w:val="1"/>
    </w:lvl>
  </w:abstractNum>
  <w:abstractNum w:abstractNumId="32">
    <w:nsid w:val="5675FF36"/>
    <w:multiLevelType w:val="hybridMultilevel"/>
    <w:lvl w:ilvl="0">
      <w:lvlJc w:val="left"/>
      <w:lvlText w:val="%1."/>
      <w:numFmt w:val="decimal"/>
      <w:start w:val="2"/>
    </w:lvl>
    <w:lvl w:ilvl="1">
      <w:lvlJc w:val="left"/>
      <w:lvlText w:val="(%2)"/>
      <w:numFmt w:val="lowerLetter"/>
      <w:start w:val="1"/>
    </w:lvl>
  </w:abstractNum>
  <w:abstractNum w:abstractNumId="33">
    <w:nsid w:val="3DD15094"/>
    <w:multiLevelType w:val="hybridMultilevel"/>
    <w:lvl w:ilvl="0">
      <w:lvlJc w:val="left"/>
      <w:lvlText w:val="(%1)"/>
      <w:numFmt w:val="lowerLetter"/>
      <w:start w:val="2"/>
    </w:lvl>
  </w:abstractNum>
  <w:abstractNum w:abstractNumId="34">
    <w:nsid w:val="3DB012B3"/>
    <w:multiLevelType w:val="hybridMultilevel"/>
    <w:lvl w:ilvl="0">
      <w:lvlJc w:val="left"/>
      <w:lvlText w:val="(%1)"/>
      <w:numFmt w:val="lowerLetter"/>
      <w:start w:val="3"/>
    </w:lvl>
  </w:abstractNum>
  <w:abstractNum w:abstractNumId="35">
    <w:nsid w:val="2708C9AF"/>
    <w:multiLevelType w:val="hybridMultilevel"/>
    <w:lvl w:ilvl="0">
      <w:lvlJc w:val="left"/>
      <w:lvlText w:val="(%1)"/>
      <w:numFmt w:val="lowerLetter"/>
      <w:start w:val="5"/>
    </w:lvl>
  </w:abstractNum>
  <w:abstractNum w:abstractNumId="36">
    <w:nsid w:val="5B25ACE2"/>
    <w:multiLevelType w:val="hybridMultilevel"/>
    <w:lvl w:ilvl="0">
      <w:lvlJc w:val="left"/>
      <w:lvlText w:val="(%1)"/>
      <w:numFmt w:val="lowerLetter"/>
      <w:start w:val="8"/>
    </w:lvl>
  </w:abstractNum>
  <w:abstractNum w:abstractNumId="37">
    <w:nsid w:val="175DFCF0"/>
    <w:multiLevelType w:val="hybridMultilevel"/>
    <w:lvl w:ilvl="0">
      <w:lvlJc w:val="left"/>
      <w:lvlText w:val="(%1)"/>
      <w:numFmt w:val="lowerLetter"/>
      <w:start w:val="11"/>
    </w:lvl>
  </w:abstractNum>
  <w:abstractNum w:abstractNumId="38">
    <w:nsid w:val="4F97E3E4"/>
    <w:multiLevelType w:val="hybridMultilevel"/>
    <w:lvl w:ilvl="0">
      <w:lvlJc w:val="left"/>
      <w:lvlText w:val="%1"/>
      <w:numFmt w:val="decimal"/>
      <w:start w:val="1"/>
    </w:lvl>
    <w:lvl w:ilvl="1">
      <w:lvlJc w:val="left"/>
      <w:lvlText w:val="(%2)"/>
      <w:numFmt w:val="lowerLetter"/>
      <w:start w:val="17"/>
    </w:lvl>
  </w:abstractNum>
  <w:abstractNum w:abstractNumId="39">
    <w:nsid w:val="53B0A9E"/>
    <w:multiLevelType w:val="hybridMultilevel"/>
    <w:lvl w:ilvl="0">
      <w:lvlJc w:val="left"/>
      <w:lvlText w:val="%1."/>
      <w:numFmt w:val="decimal"/>
      <w:start w:val="3"/>
    </w:lvl>
    <w:lvl w:ilvl="1">
      <w:lvlJc w:val="left"/>
      <w:lvlText w:val="(%2)"/>
      <w:numFmt w:val="lowerLetter"/>
      <w:start w:val="1"/>
    </w:lvl>
  </w:abstractNum>
  <w:abstractNum w:abstractNumId="40">
    <w:nsid w:val="34FD6B4F"/>
    <w:multiLevelType w:val="hybridMultilevel"/>
    <w:lvl w:ilvl="0">
      <w:lvlJc w:val="left"/>
      <w:lvlText w:val="(%1)"/>
      <w:numFmt w:val="lowerLetter"/>
      <w:start w:val="2"/>
    </w:lvl>
  </w:abstractNum>
  <w:abstractNum w:abstractNumId="41">
    <w:nsid w:val="5915FF32"/>
    <w:multiLevelType w:val="hybridMultilevel"/>
    <w:lvl w:ilvl="0">
      <w:lvlJc w:val="left"/>
      <w:lvlText w:val="(%1)"/>
      <w:numFmt w:val="lowerLetter"/>
      <w:start w:val="4"/>
    </w:lvl>
  </w:abstractNum>
  <w:abstractNum w:abstractNumId="42">
    <w:nsid w:val="56438D15"/>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43">
    <w:nsid w:val="519E3149"/>
    <w:multiLevelType w:val="hybridMultilevel"/>
    <w:lvl w:ilvl="0">
      <w:lvlJc w:val="left"/>
      <w:lvlText w:val="(%1)"/>
      <w:numFmt w:val="lowerRoman"/>
      <w:start w:val="7"/>
    </w:lvl>
    <w:lvl w:ilvl="1">
      <w:lvlJc w:val="left"/>
      <w:lvlText w:val="%2."/>
      <w:numFmt w:val="decimal"/>
      <w:start w:val="7"/>
    </w:lvl>
    <w:lvl w:ilvl="2">
      <w:lvlJc w:val="left"/>
      <w:lvlText w:val="(%3)"/>
      <w:numFmt w:val="lowerLetter"/>
      <w:start w:val="1"/>
    </w:lvl>
  </w:abstractNum>
  <w:abstractNum w:abstractNumId="44">
    <w:nsid w:val="2C6E4AFD"/>
    <w:multiLevelType w:val="hybridMultilevel"/>
    <w:lvl w:ilvl="0">
      <w:lvlJc w:val="left"/>
      <w:lvlText w:val="(%1)"/>
      <w:numFmt w:val="lowerLetter"/>
      <w:start w:val="2"/>
    </w:lvl>
    <w:lvl w:ilvl="1">
      <w:lvlJc w:val="left"/>
      <w:lvlText w:val="(%2)"/>
      <w:numFmt w:val="lowerLetter"/>
      <w:start w:val="9"/>
    </w:lvl>
  </w:abstractNum>
  <w:abstractNum w:abstractNumId="45">
    <w:nsid w:val="17A1B582"/>
    <w:multiLevelType w:val="hybridMultilevel"/>
    <w:lvl w:ilvl="0">
      <w:lvlJc w:val="left"/>
      <w:lvlText w:val="(%1)"/>
      <w:numFmt w:val="lowerRoman"/>
      <w:start w:val="2"/>
    </w:lvl>
  </w:abstractNum>
  <w:abstractNum w:abstractNumId="46">
    <w:nsid w:val="4DF72E4E"/>
    <w:multiLevelType w:val="hybridMultilevel"/>
    <w:lvl w:ilvl="0">
      <w:lvlJc w:val="left"/>
      <w:lvlText w:val="(%1)"/>
      <w:numFmt w:val="lowerRoman"/>
      <w:start w:val="8"/>
    </w:lvl>
  </w:abstractNum>
  <w:abstractNum w:abstractNumId="47">
    <w:nsid w:val="5046B5A9"/>
    <w:multiLevelType w:val="hybridMultilevel"/>
    <w:lvl w:ilvl="0">
      <w:lvlJc w:val="left"/>
      <w:lvlText w:val="(%1)"/>
      <w:numFmt w:val="lowerRoman"/>
      <w:start w:val="12"/>
    </w:lvl>
  </w:abstractNum>
  <w:abstractNum w:abstractNumId="48">
    <w:nsid w:val="5D888A08"/>
    <w:multiLevelType w:val="hybridMultilevel"/>
    <w:lvl w:ilvl="0">
      <w:lvlJc w:val="left"/>
      <w:lvlText w:val="(%1)"/>
      <w:numFmt w:val="lowerLetter"/>
      <w:start w:val="4"/>
    </w:lvl>
  </w:abstractNum>
  <w:abstractNum w:abstractNumId="49">
    <w:nsid w:val="2A082C70"/>
    <w:multiLevelType w:val="hybridMultilevel"/>
    <w:lvl w:ilvl="0">
      <w:lvlJc w:val="left"/>
      <w:lvlText w:val="(%1)"/>
      <w:numFmt w:val="lowerLetter"/>
      <w:start w:val="5"/>
    </w:lvl>
  </w:abstractNum>
  <w:abstractNum w:abstractNumId="50">
    <w:nsid w:val="5EC6AFD4"/>
    <w:multiLevelType w:val="hybridMultilevel"/>
    <w:lvl w:ilvl="0">
      <w:lvlJc w:val="left"/>
      <w:lvlText w:val="%1"/>
      <w:numFmt w:val="decimal"/>
      <w:start w:val="1"/>
    </w:lvl>
    <w:lvl w:ilvl="1">
      <w:lvlJc w:val="left"/>
      <w:lvlText w:val="(%2)"/>
      <w:numFmt w:val="lowerLetter"/>
      <w:start w:val="7"/>
    </w:lvl>
  </w:abstractNum>
  <w:abstractNum w:abstractNumId="51">
    <w:nsid w:val="19E21BB2"/>
    <w:multiLevelType w:val="hybridMultilevel"/>
    <w:lvl w:ilvl="0">
      <w:lvlJc w:val="left"/>
      <w:lvlText w:val="%1."/>
      <w:numFmt w:val="decimal"/>
      <w:start w:val="8"/>
    </w:lvl>
    <w:lvl w:ilvl="1">
      <w:lvlJc w:val="left"/>
      <w:lvlText w:val="%2"/>
      <w:numFmt w:val="lowerLetter"/>
      <w:start w:val="1"/>
    </w:lvl>
  </w:abstractNum>
  <w:abstractNum w:abstractNumId="52">
    <w:nsid w:val="75E0858A"/>
    <w:multiLevelType w:val="hybridMultilevel"/>
    <w:lvl w:ilvl="0">
      <w:lvlJc w:val="left"/>
      <w:lvlText w:val="(%1)"/>
      <w:numFmt w:val="lowerLetter"/>
      <w:start w:val="2"/>
    </w:lvl>
  </w:abstractNum>
  <w:abstractNum w:abstractNumId="53">
    <w:nsid w:val="57A61A29"/>
    <w:multiLevelType w:val="hybridMultilevel"/>
    <w:lvl w:ilvl="0">
      <w:lvlJc w:val="left"/>
      <w:lvlText w:val="(%1)"/>
      <w:numFmt w:val="lowerLetter"/>
      <w:start w:val="3"/>
    </w:lvl>
  </w:abstractNum>
  <w:abstractNum w:abstractNumId="54">
    <w:nsid w:val="5399C654"/>
    <w:multiLevelType w:val="hybridMultilevel"/>
    <w:lvl w:ilvl="0">
      <w:lvlJc w:val="left"/>
      <w:lvlText w:val="(%1)"/>
      <w:numFmt w:val="lowerLetter"/>
      <w:start w:val="1"/>
    </w:lvl>
  </w:abstractNum>
  <w:abstractNum w:abstractNumId="55">
    <w:nsid w:val="20EE1348"/>
    <w:multiLevelType w:val="hybridMultilevel"/>
    <w:lvl w:ilvl="0">
      <w:lvlJc w:val="left"/>
      <w:lvlText w:val="(%1)"/>
      <w:numFmt w:val="lowerLetter"/>
      <w:start w:val="4"/>
    </w:lvl>
  </w:abstractNum>
  <w:abstractNum w:abstractNumId="56">
    <w:nsid w:val="4427069A"/>
    <w:multiLevelType w:val="hybridMultilevel"/>
    <w:lvl w:ilvl="0">
      <w:lvlJc w:val="left"/>
      <w:lvlText w:val="%1"/>
      <w:numFmt w:val="decimal"/>
      <w:start w:val="1"/>
    </w:lvl>
    <w:lvl w:ilvl="1">
      <w:lvlJc w:val="left"/>
      <w:lvlText w:val="(%2)"/>
      <w:numFmt w:val="lowerLetter"/>
      <w:start w:val="5"/>
    </w:lvl>
  </w:abstractNum>
  <w:abstractNum w:abstractNumId="57">
    <w:nsid w:val="B37E80A"/>
    <w:multiLevelType w:val="hybridMultilevel"/>
    <w:lvl w:ilvl="0">
      <w:lvlJc w:val="left"/>
      <w:lvlText w:val="%1."/>
      <w:numFmt w:val="decimal"/>
      <w:start w:val="9"/>
    </w:lvl>
    <w:lvl w:ilvl="1">
      <w:lvlJc w:val="left"/>
      <w:lvlText w:val="%2"/>
      <w:numFmt w:val="lowerLetter"/>
      <w:start w:val="1"/>
    </w:lvl>
  </w:abstractNum>
  <w:abstractNum w:abstractNumId="58">
    <w:nsid w:val="2157F6BC"/>
    <w:multiLevelType w:val="hybridMultilevel"/>
    <w:lvl w:ilvl="0">
      <w:lvlJc w:val="left"/>
      <w:lvlText w:val="(%1)"/>
      <w:numFmt w:val="lowerLetter"/>
      <w:start w:val="2"/>
    </w:lvl>
  </w:abstractNum>
  <w:abstractNum w:abstractNumId="59">
    <w:nsid w:val="704E1DD5"/>
    <w:multiLevelType w:val="hybridMultilevel"/>
    <w:lvl w:ilvl="0">
      <w:lvlJc w:val="left"/>
      <w:lvlText w:val="%1."/>
      <w:numFmt w:val="decimal"/>
      <w:start w:val="10"/>
    </w:lvl>
  </w:abstractNum>
  <w:abstractNum w:abstractNumId="60">
    <w:nsid w:val="57D2F10E"/>
    <w:multiLevelType w:val="hybridMultilevel"/>
    <w:lvl w:ilvl="0">
      <w:lvlJc w:val="left"/>
      <w:lvlText w:val="%1."/>
      <w:numFmt w:val="decimal"/>
      <w:start w:val="13"/>
    </w:lvl>
  </w:abstractNum>
  <w:abstractNum w:abstractNumId="61">
    <w:nsid w:val="BFFAE18"/>
    <w:multiLevelType w:val="hybridMultilevel"/>
    <w:lvl w:ilvl="0">
      <w:lvlJc w:val="left"/>
      <w:lvlText w:val="%1."/>
      <w:numFmt w:val="decimal"/>
      <w:start w:val="14"/>
    </w:lvl>
  </w:abstractNum>
  <w:abstractNum w:abstractNumId="62">
    <w:nsid w:val="E3E47A8"/>
    <w:multiLevelType w:val="hybridMultilevel"/>
    <w:lvl w:ilvl="0">
      <w:lvlJc w:val="left"/>
      <w:lvlText w:val="-"/>
      <w:numFmt w:val="bullet"/>
      <w:start w:val="1"/>
    </w:lvl>
  </w:abstractNum>
  <w:abstractNum w:abstractNumId="63">
    <w:nsid w:val="2E48F044"/>
    <w:multiLevelType w:val="hybridMultilevel"/>
    <w:lvl w:ilvl="0">
      <w:lvlJc w:val="left"/>
      <w:lvlText w:val="["/>
      <w:numFmt w:val="bullet"/>
      <w:start w:val="1"/>
    </w:lvl>
  </w:abstractNum>
  <w:abstractNum w:abstractNumId="64">
    <w:nsid w:val="49D0FEAC"/>
    <w:multiLevelType w:val="hybridMultilevel"/>
    <w:lvl w:ilvl="0">
      <w:lvlJc w:val="left"/>
      <w:lvlText w:val="["/>
      <w:numFmt w:val="bullet"/>
      <w:start w:val="1"/>
    </w:lvl>
  </w:abstractNum>
  <w:abstractNum w:abstractNumId="65">
    <w:nsid w:val="4BEE5A5B"/>
    <w:multiLevelType w:val="hybridMultilevel"/>
    <w:lvl w:ilvl="0">
      <w:lvlJc w:val="left"/>
      <w:lvlText w:val="(%1)"/>
      <w:numFmt w:val="lowerRoman"/>
      <w:start w:val="1"/>
    </w:lvl>
  </w:abstractNum>
  <w:abstractNum w:abstractNumId="66">
    <w:nsid w:val="5551B9F3"/>
    <w:multiLevelType w:val="hybridMultilevel"/>
    <w:lvl w:ilvl="0">
      <w:lvlJc w:val="left"/>
      <w:lvlText w:val="(%1)"/>
      <w:numFmt w:val="lowerRoman"/>
      <w:start w:val="5"/>
    </w:lvl>
    <w:lvl w:ilvl="1">
      <w:lvlJc w:val="left"/>
      <w:lvlText w:val="(%2)"/>
      <w:numFmt w:val="upperLetter"/>
      <w:start w:val="1"/>
    </w:lvl>
  </w:abstractNum>
  <w:abstractNum w:abstractNumId="67">
    <w:nsid w:val="24F6AB8E"/>
    <w:multiLevelType w:val="hybridMultilevel"/>
    <w:lvl w:ilvl="0">
      <w:lvlJc w:val="left"/>
      <w:lvlText w:val="(%1)"/>
      <w:numFmt w:val="lowerRoman"/>
      <w:start w:val="2"/>
    </w:lvl>
    <w:lvl w:ilvl="1">
      <w:lvlJc w:val="left"/>
      <w:lvlText w:val="(%2)"/>
      <w:numFmt w:val="upperLetter"/>
      <w:start w:val="2"/>
    </w:lvl>
  </w:abstractNum>
  <w:abstractNum w:abstractNumId="68">
    <w:nsid w:val="634C574C"/>
    <w:multiLevelType w:val="hybridMultilevel"/>
    <w:lvl w:ilvl="0">
      <w:lvlJc w:val="left"/>
      <w:lvlText w:val="%1"/>
      <w:numFmt w:val="lowerRoman"/>
      <w:start w:val="1"/>
    </w:lvl>
    <w:lvl w:ilvl="1">
      <w:lvlJc w:val="left"/>
      <w:lvlText w:val="(%2)"/>
      <w:numFmt w:val="upperLetter"/>
      <w:start w:val="4"/>
    </w:lvl>
  </w:abstractNum>
  <w:abstractNum w:abstractNumId="69">
    <w:nsid w:val="24E99DD7"/>
    <w:multiLevelType w:val="hybridMultilevel"/>
    <w:lvl w:ilvl="0">
      <w:lvlJc w:val="left"/>
      <w:lvlText w:val="(%1)"/>
      <w:numFmt w:val="lowerRoman"/>
      <w:start w:val="7"/>
    </w:lvl>
    <w:lvl w:ilvl="1">
      <w:lvlJc w:val="left"/>
      <w:lvlText w:val="%2"/>
      <w:numFmt w:val="upperLetter"/>
      <w:start w:val="1"/>
    </w:lvl>
  </w:abstractNum>
  <w:abstractNum w:abstractNumId="70">
    <w:nsid w:val="2A31B62D"/>
    <w:multiLevelType w:val="hybridMultilevel"/>
    <w:lvl w:ilvl="0">
      <w:lvlJc w:val="left"/>
      <w:lvlText w:val="-"/>
      <w:numFmt w:val="bullet"/>
      <w:start w:val="1"/>
    </w:lvl>
  </w:abstractNum>
  <w:abstractNum w:abstractNumId="71">
    <w:nsid w:val="1849C29B"/>
    <w:multiLevelType w:val="hybridMultilevel"/>
    <w:lvl w:ilvl="0">
      <w:lvlJc w:val="left"/>
      <w:lvlText w:val="%1."/>
      <w:numFmt w:val="decimal"/>
      <w:start w:val="1"/>
    </w:lvl>
  </w:abstractNum>
  <w:abstractNum w:abstractNumId="72">
    <w:nsid w:val="7DFF9D09"/>
    <w:multiLevelType w:val="hybridMultilevel"/>
    <w:lvl w:ilvl="0">
      <w:lvlJc w:val="left"/>
      <w:lvlText w:val="%1."/>
      <w:numFmt w:val="decimal"/>
      <w:start w:val="2"/>
    </w:lvl>
    <w:lvl w:ilvl="1">
      <w:lvlJc w:val="left"/>
      <w:lvlText w:val="(%2)"/>
      <w:numFmt w:val="lowerLetter"/>
      <w:start w:val="1"/>
    </w:lvl>
  </w:abstractNum>
  <w:abstractNum w:abstractNumId="73">
    <w:nsid w:val="754342"/>
    <w:multiLevelType w:val="hybridMultilevel"/>
    <w:lvl w:ilvl="0">
      <w:lvlJc w:val="left"/>
      <w:lvlText w:val="(%1)"/>
      <w:numFmt w:val="lowerLetter"/>
      <w:start w:val="2"/>
    </w:lvl>
  </w:abstractNum>
  <w:abstractNum w:abstractNumId="74">
    <w:nsid w:val="69E7F3E5"/>
    <w:multiLevelType w:val="hybridMultilevel"/>
    <w:lvl w:ilvl="0">
      <w:lvlJc w:val="left"/>
      <w:lvlText w:val="(%1)"/>
      <w:numFmt w:val="lowerLetter"/>
      <w:start w:val="4"/>
    </w:lvl>
  </w:abstractNum>
  <w:abstractNum w:abstractNumId="75">
    <w:nsid w:val="2A6DE806"/>
    <w:multiLevelType w:val="hybridMultilevel"/>
    <w:lvl w:ilvl="0">
      <w:lvlJc w:val="left"/>
      <w:lvlText w:val="(%1)"/>
      <w:numFmt w:val="lowerLetter"/>
      <w:start w:val="6"/>
    </w:lvl>
  </w:abstractNum>
  <w:abstractNum w:abstractNumId="76">
    <w:nsid w:val="1816F8C4"/>
    <w:multiLevelType w:val="hybridMultilevel"/>
    <w:lvl w:ilvl="0">
      <w:lvlJc w:val="left"/>
      <w:lvlText w:val="(%1)"/>
      <w:numFmt w:val="lowerLetter"/>
      <w:start w:val="10"/>
    </w:lvl>
  </w:abstractNum>
  <w:abstractNum w:abstractNumId="77">
    <w:nsid w:val="37DF2233"/>
    <w:multiLevelType w:val="hybridMultilevel"/>
    <w:lvl w:ilvl="0">
      <w:lvlJc w:val="left"/>
      <w:lvlText w:val="%1"/>
      <w:numFmt w:val="decimal"/>
      <w:start w:val="1"/>
    </w:lvl>
    <w:lvl w:ilvl="1">
      <w:lvlJc w:val="left"/>
      <w:lvlText w:val="(%2)"/>
      <w:numFmt w:val="lowerLetter"/>
      <w:start w:val="17"/>
    </w:lvl>
    <w:lvl w:ilvl="2">
      <w:lvlJc w:val="left"/>
      <w:lvlText w:val="%3"/>
      <w:numFmt w:val="lowerLetter"/>
      <w:start w:val="1"/>
    </w:lvl>
  </w:abstractNum>
  <w:abstractNum w:abstractNumId="78">
    <w:nsid w:val="7AB49DA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79">
    <w:nsid w:val="759F82CD"/>
    <w:multiLevelType w:val="hybridMultilevel"/>
    <w:lvl w:ilvl="0">
      <w:lvlJc w:val="left"/>
      <w:lvlText w:val="%1"/>
      <w:numFmt w:val="decimal"/>
      <w:start w:val="434"/>
    </w:lvl>
    <w:lvl w:ilvl="1">
      <w:lvlJc w:val="left"/>
      <w:lvlText w:val="%2"/>
      <w:numFmt w:val="lowerLetter"/>
      <w:start w:val="1"/>
    </w:lvl>
    <w:lvl w:ilvl="2">
      <w:lvlJc w:val="left"/>
      <w:lvlText w:val="%3"/>
      <w:numFmt w:val="lowerLetter"/>
      <w:start w:val="1"/>
    </w:lvl>
  </w:abstractNum>
  <w:abstractNum w:abstractNumId="80">
    <w:nsid w:val="61E74EA3"/>
    <w:multiLevelType w:val="hybridMultilevel"/>
    <w:lvl w:ilvl="0">
      <w:lvlJc w:val="left"/>
      <w:lvlText w:val="(%1)"/>
      <w:numFmt w:val="lowerLetter"/>
      <w:start w:val="2"/>
    </w:lvl>
  </w:abstractNum>
  <w:abstractNum w:abstractNumId="81">
    <w:nsid w:val="597B4D84"/>
    <w:multiLevelType w:val="hybridMultilevel"/>
    <w:lvl w:ilvl="0">
      <w:lvlJc w:val="left"/>
      <w:lvlText w:val="%1"/>
      <w:numFmt w:val="lowerLetter"/>
      <w:start w:val="1"/>
    </w:lvl>
    <w:lvl w:ilvl="1">
      <w:lvlJc w:val="left"/>
      <w:lvlText w:val="(%2)"/>
      <w:numFmt w:val="lowerLetter"/>
      <w:start w:val="4"/>
    </w:lvl>
  </w:abstractNum>
  <w:abstractNum w:abstractNumId="82">
    <w:nsid w:val="F819E7F"/>
    <w:multiLevelType w:val="hybridMultilevel"/>
    <w:lvl w:ilvl="0">
      <w:lvlJc w:val="left"/>
      <w:lvlText w:val="(%1)"/>
      <w:numFmt w:val="lowerLetter"/>
      <w:start w:val="9"/>
    </w:lvl>
    <w:lvl w:ilvl="1">
      <w:lvlJc w:val="left"/>
      <w:lvlText w:val="(%2)"/>
      <w:numFmt w:val="lowerLetter"/>
      <w:start w:val="6"/>
    </w:lvl>
  </w:abstractNum>
  <w:abstractNum w:abstractNumId="83">
    <w:nsid w:val="57C7D42D"/>
    <w:multiLevelType w:val="hybridMultilevel"/>
    <w:lvl w:ilvl="0">
      <w:lvlJc w:val="left"/>
      <w:lvlText w:val="%1"/>
      <w:numFmt w:val="lowerRoman"/>
      <w:start w:val="1"/>
    </w:lvl>
    <w:lvl w:ilvl="1">
      <w:lvlJc w:val="left"/>
      <w:lvlText w:val="%2."/>
      <w:numFmt w:val="decimal"/>
      <w:start w:val="6"/>
    </w:lvl>
  </w:abstractNum>
  <w:abstractNum w:abstractNumId="84">
    <w:nsid w:val="312167AD"/>
    <w:multiLevelType w:val="hybridMultilevel"/>
    <w:lvl w:ilvl="0">
      <w:lvlJc w:val="left"/>
      <w:lvlText w:val="(%1)"/>
      <w:numFmt w:val="lowerRoman"/>
      <w:start w:val="4"/>
    </w:lvl>
    <w:lvl w:ilvl="1">
      <w:lvlJc w:val="left"/>
      <w:lvlText w:val="%2."/>
      <w:numFmt w:val="decimal"/>
      <w:start w:val="7"/>
    </w:lvl>
  </w:abstractNum>
  <w:abstractNum w:abstractNumId="85">
    <w:nsid w:val="631B64D4"/>
    <w:multiLevelType w:val="hybridMultilevel"/>
    <w:lvl w:ilvl="0">
      <w:lvlJc w:val="left"/>
      <w:lvlText w:val="(%1)"/>
      <w:numFmt w:val="lowerLetter"/>
      <w:start w:val="1"/>
    </w:lvl>
    <w:lvl w:ilvl="1">
      <w:lvlJc w:val="left"/>
      <w:lvlText w:val="(%2)"/>
      <w:numFmt w:val="lowerLetter"/>
      <w:start w:val="9"/>
    </w:lvl>
  </w:abstractNum>
  <w:abstractNum w:abstractNumId="86">
    <w:nsid w:val="78B5E776"/>
    <w:multiLevelType w:val="hybridMultilevel"/>
    <w:lvl w:ilvl="0">
      <w:lvlJc w:val="left"/>
      <w:lvlText w:val="%1"/>
      <w:numFmt w:val="upperLetter"/>
      <w:start w:val="61"/>
    </w:lvl>
    <w:lvl w:ilvl="1">
      <w:lvlJc w:val="left"/>
      <w:lvlText w:val="(%2)"/>
      <w:numFmt w:val="lowerRoman"/>
      <w:start w:val="2"/>
    </w:lvl>
  </w:abstractNum>
  <w:abstractNum w:abstractNumId="87">
    <w:nsid w:val="75486E47"/>
    <w:multiLevelType w:val="hybridMultilevel"/>
    <w:lvl w:ilvl="0">
      <w:lvlJc w:val="left"/>
      <w:lvlText w:val="(%1)"/>
      <w:numFmt w:val="lowerRoman"/>
      <w:start w:val="7"/>
    </w:lvl>
  </w:abstractNum>
  <w:abstractNum w:abstractNumId="88">
    <w:nsid w:val="6E534CDE"/>
    <w:multiLevelType w:val="hybridMultilevel"/>
    <w:lvl w:ilvl="0">
      <w:lvlJc w:val="left"/>
      <w:lvlText w:val="(%1)"/>
      <w:numFmt w:val="lowerRoman"/>
      <w:start w:val="11"/>
    </w:lvl>
  </w:abstractNum>
  <w:abstractNum w:abstractNumId="89">
    <w:nsid w:val="1A0DDE32"/>
    <w:multiLevelType w:val="hybridMultilevel"/>
    <w:lvl w:ilvl="0">
      <w:lvlJc w:val="left"/>
      <w:lvlText w:val="(%1)"/>
      <w:numFmt w:val="lowerLetter"/>
      <w:start w:val="4"/>
    </w:lvl>
  </w:abstractNum>
  <w:abstractNum w:abstractNumId="90">
    <w:nsid w:val="65968C1C"/>
    <w:multiLevelType w:val="hybridMultilevel"/>
    <w:lvl w:ilvl="0">
      <w:lvlJc w:val="left"/>
      <w:lvlText w:val="%1"/>
      <w:numFmt w:val="lowerLetter"/>
      <w:start w:val="1"/>
    </w:lvl>
    <w:lvl w:ilvl="1">
      <w:lvlJc w:val="left"/>
      <w:lvlText w:val="(%2)"/>
      <w:numFmt w:val="lowerLetter"/>
      <w:start w:val="5"/>
    </w:lvl>
  </w:abstractNum>
  <w:abstractNum w:abstractNumId="91">
    <w:nsid w:val="46263DEC"/>
    <w:multiLevelType w:val="hybridMultilevel"/>
    <w:lvl w:ilvl="0">
      <w:lvlJc w:val="left"/>
      <w:lvlText w:val="(%1)"/>
      <w:numFmt w:val="lowerLetter"/>
      <w:start w:val="35"/>
    </w:lvl>
    <w:lvl w:ilvl="1">
      <w:lvlJc w:val="left"/>
      <w:lvlText w:val="%2"/>
      <w:numFmt w:val="lowerLetter"/>
      <w:start w:val="1"/>
    </w:lvl>
  </w:abstractNum>
  <w:abstractNum w:abstractNumId="92">
    <w:nsid w:val="260D8C4A"/>
    <w:multiLevelType w:val="hybridMultilevel"/>
    <w:lvl w:ilvl="0">
      <w:lvlJc w:val="left"/>
      <w:lvlText w:val="%1"/>
      <w:numFmt w:val="lowerRoman"/>
      <w:start w:val="1"/>
    </w:lvl>
    <w:lvl w:ilvl="1">
      <w:lvlJc w:val="left"/>
      <w:lvlText w:val="(%2)"/>
      <w:numFmt w:val="lowerLetter"/>
      <w:start w:val="8"/>
    </w:lvl>
  </w:abstractNum>
  <w:abstractNum w:abstractNumId="93">
    <w:nsid w:val="73D4D3C4"/>
    <w:multiLevelType w:val="hybridMultilevel"/>
    <w:lvl w:ilvl="0">
      <w:lvlJc w:val="left"/>
      <w:lvlText w:val="(%1)"/>
      <w:numFmt w:val="lowerRoman"/>
      <w:start w:val="4"/>
    </w:lvl>
    <w:lvl w:ilvl="1">
      <w:lvlJc w:val="left"/>
      <w:lvlText w:val="(%2)"/>
      <w:numFmt w:val="lowerLetter"/>
      <w:start w:val="9"/>
    </w:lvl>
  </w:abstractNum>
  <w:abstractNum w:abstractNumId="94">
    <w:nsid w:val="746F2E30"/>
    <w:multiLevelType w:val="hybridMultilevel"/>
    <w:lvl w:ilvl="0">
      <w:lvlJc w:val="left"/>
      <w:lvlText w:val="%1."/>
      <w:numFmt w:val="decimal"/>
      <w:start w:val="8"/>
    </w:lvl>
  </w:abstractNum>
  <w:abstractNum w:abstractNumId="95">
    <w:nsid w:val="6FDE8AF6"/>
    <w:multiLevelType w:val="hybridMultilevel"/>
    <w:lvl w:ilvl="0">
      <w:lvlJc w:val="left"/>
      <w:lvlText w:val="(%1)"/>
      <w:numFmt w:val="lowerLetter"/>
      <w:start w:val="1"/>
    </w:lvl>
  </w:abstractNum>
  <w:abstractNum w:abstractNumId="96">
    <w:nsid w:val="3FC32E20"/>
    <w:multiLevelType w:val="hybridMultilevel"/>
    <w:lvl w:ilvl="0">
      <w:lvlJc w:val="left"/>
      <w:lvlText w:val="(%1)"/>
      <w:numFmt w:val="lowerLetter"/>
      <w:start w:val="4"/>
    </w:lvl>
  </w:abstractNum>
  <w:abstractNum w:abstractNumId="97">
    <w:nsid w:val="49C0E823"/>
    <w:multiLevelType w:val="hybridMultilevel"/>
    <w:lvl w:ilvl="0">
      <w:lvlJc w:val="left"/>
      <w:lvlText w:val="%1."/>
      <w:numFmt w:val="decimal"/>
      <w:start w:val="9"/>
    </w:lvl>
    <w:lvl w:ilvl="1">
      <w:lvlJc w:val="left"/>
      <w:lvlText w:val="(%2)"/>
      <w:numFmt w:val="lowerLetter"/>
      <w:start w:val="1"/>
    </w:lvl>
  </w:abstractNum>
  <w:abstractNum w:abstractNumId="98">
    <w:nsid w:val="14D53685"/>
    <w:multiLevelType w:val="hybridMultilevel"/>
    <w:lvl w:ilvl="0">
      <w:lvlJc w:val="left"/>
      <w:lvlText w:val="%1."/>
      <w:numFmt w:val="decimal"/>
      <w:start w:val="10"/>
    </w:lvl>
  </w:abstractNum>
  <w:abstractNum w:abstractNumId="99">
    <w:nsid w:val="230F856C"/>
    <w:multiLevelType w:val="hybridMultilevel"/>
    <w:lvl w:ilvl="0">
      <w:lvlJc w:val="left"/>
      <w:lvlText w:val="%1."/>
      <w:numFmt w:val="decimal"/>
      <w:start w:val="13"/>
    </w:lvl>
  </w:abstractNum>
  <w:abstractNum w:abstractNumId="100">
    <w:nsid w:val="6EAA85FB"/>
    <w:multiLevelType w:val="hybridMultilevel"/>
    <w:lvl w:ilvl="0">
      <w:lvlJc w:val="left"/>
      <w:lvlText w:val="%1."/>
      <w:numFmt w:val="decimal"/>
      <w:start w:val="14"/>
    </w:lvl>
  </w:abstractNum>
  <w:abstractNum w:abstractNumId="101">
    <w:nsid w:val="3F06ECB2"/>
    <w:multiLevelType w:val="hybridMultilevel"/>
    <w:lvl w:ilvl="0">
      <w:lvlJc w:val="left"/>
      <w:lvlText w:val="(%1)"/>
      <w:numFmt w:val="lowerRoman"/>
      <w:start w:val="1"/>
    </w:lvl>
  </w:abstractNum>
  <w:abstractNum w:abstractNumId="102">
    <w:nsid w:val="3B594807"/>
    <w:multiLevelType w:val="hybridMultilevel"/>
    <w:lvl w:ilvl="0">
      <w:lvlJc w:val="left"/>
      <w:lvlText w:val="(%1)"/>
      <w:numFmt w:val="lowerRoman"/>
      <w:start w:val="5"/>
    </w:lvl>
    <w:lvl w:ilvl="1">
      <w:lvlJc w:val="left"/>
      <w:lvlText w:val="(%2)"/>
      <w:numFmt w:val="upperLetter"/>
      <w:start w:val="1"/>
    </w:lvl>
  </w:abstractNum>
  <w:abstractNum w:abstractNumId="103">
    <w:nsid w:val="6CAA2304"/>
    <w:multiLevelType w:val="hybridMultilevel"/>
    <w:lvl w:ilvl="0">
      <w:lvlJc w:val="left"/>
      <w:lvlText w:val="%1"/>
      <w:numFmt w:val="lowerRoman"/>
      <w:start w:val="1"/>
    </w:lvl>
    <w:lvl w:ilvl="1">
      <w:lvlJc w:val="left"/>
      <w:lvlText w:val="(%2)"/>
      <w:numFmt w:val="upperLetter"/>
      <w:start w:val="3"/>
    </w:lvl>
  </w:abstractNum>
  <w:abstractNum w:abstractNumId="104">
    <w:nsid w:val="3F7C2FF4"/>
    <w:multiLevelType w:val="hybridMultilevel"/>
    <w:lvl w:ilvl="0">
      <w:lvlJc w:val="left"/>
      <w:lvlText w:val="(%1)"/>
      <w:numFmt w:val="lowerRoman"/>
      <w:start w:val="7"/>
    </w:lvl>
    <w:lvl w:ilvl="1">
      <w:lvlJc w:val="left"/>
      <w:lvlText w:val="%2"/>
      <w:numFmt w:val="upperLetter"/>
      <w:start w:val="1"/>
    </w:lvl>
  </w:abstractNum>
  <w:abstractNum w:abstractNumId="105">
    <w:nsid w:val="25413BEC"/>
    <w:multiLevelType w:val="hybridMultilevel"/>
    <w:lvl w:ilvl="0">
      <w:lvlJc w:val="left"/>
      <w:lvlText w:val="-"/>
      <w:numFmt w:val="bullet"/>
      <w:start w:val="1"/>
    </w:lvl>
  </w:abstractNum>
  <w:abstractNum w:abstractNumId="106">
    <w:nsid w:val="17180B0B"/>
    <w:multiLevelType w:val="hybridMultilevel"/>
    <w:lvl w:ilvl="0">
      <w:lvlJc w:val="left"/>
      <w:lvlText w:val="%1"/>
      <w:numFmt w:val="decimal"/>
      <w:start w:val="1"/>
    </w:lvl>
    <w:lvl w:ilvl="1">
      <w:lvlJc w:val="left"/>
      <w:lvlText w:val="(%2)"/>
      <w:numFmt w:val="decimal"/>
      <w:start w:val="1"/>
    </w:lvl>
  </w:abstractNum>
  <w:abstractNum w:abstractNumId="107">
    <w:nsid w:val="579328B9"/>
    <w:multiLevelType w:val="hybridMultilevel"/>
    <w:lvl w:ilvl="0">
      <w:lvlJc w:val="left"/>
      <w:lvlText w:val="(%1)"/>
      <w:numFmt w:val="decimal"/>
      <w:start w:val="2"/>
    </w:lvl>
    <w:lvl w:ilvl="1">
      <w:lvlJc w:val="left"/>
      <w:lvlText w:val="%2"/>
      <w:numFmt w:val="decimal"/>
      <w:start w:val="1"/>
    </w:lvl>
  </w:abstractNum>
  <w:abstractNum w:abstractNumId="108">
    <w:nsid w:val="5D205E20"/>
    <w:multiLevelType w:val="hybridMultilevel"/>
    <w:lvl w:ilvl="0">
      <w:lvlJc w:val="left"/>
      <w:lvlText w:val="(%1)"/>
      <w:numFmt w:val="decimal"/>
      <w:start w:val="3"/>
    </w:lvl>
  </w:abstractNum>
  <w:abstractNum w:abstractNumId="109">
    <w:nsid w:val="11CCA8BA"/>
    <w:multiLevelType w:val="hybridMultilevel"/>
    <w:lvl w:ilvl="0">
      <w:lvlJc w:val="left"/>
      <w:lvlText w:val="(%1)"/>
      <w:numFmt w:val="lowerRoman"/>
      <w:start w:val="1"/>
    </w:lvl>
  </w:abstractNum>
  <w:abstractNum w:abstractNumId="110">
    <w:nsid w:val="4D32AB86"/>
    <w:multiLevelType w:val="hybridMultilevel"/>
    <w:lvl w:ilvl="0">
      <w:lvlJc w:val="left"/>
      <w:lvlText w:val="(%1)"/>
      <w:numFmt w:val="lowerRoman"/>
      <w:start w:val="3"/>
    </w:lvl>
  </w:abstractNum>
  <w:abstractNum w:abstractNumId="111">
    <w:nsid w:val="3F07ACC3"/>
    <w:multiLevelType w:val="hybridMultilevel"/>
    <w:lvl w:ilvl="0">
      <w:lvlJc w:val="left"/>
      <w:lvlText w:val="(%1)"/>
      <w:numFmt w:val="lowerRoman"/>
      <w:start w:val="4"/>
    </w:lvl>
  </w:abstractNum>
  <w:abstractNum w:abstractNumId="112">
    <w:nsid w:val="6B47F63E"/>
    <w:multiLevelType w:val="hybridMultilevel"/>
    <w:lvl w:ilvl="0">
      <w:lvlJc w:val="left"/>
      <w:lvlText w:val="(%1)"/>
      <w:numFmt w:val="lowerRoman"/>
      <w:start w:val="1"/>
    </w:lvl>
  </w:abstractNum>
  <w:abstractNum w:abstractNumId="113">
    <w:nsid w:val="5CB44A05"/>
    <w:multiLevelType w:val="hybridMultilevel"/>
    <w:lvl w:ilvl="0">
      <w:lvlJc w:val="left"/>
      <w:lvlText w:val="(%1)"/>
      <w:numFmt w:val="decimal"/>
      <w:start w:val="1"/>
    </w:lvl>
  </w:abstractNum>
  <w:abstractNum w:abstractNumId="114">
    <w:nsid w:val="16CF80F1"/>
    <w:multiLevelType w:val="hybridMultilevel"/>
    <w:lvl w:ilvl="0">
      <w:lvlJc w:val="left"/>
      <w:lvlText w:val="(%1)"/>
      <w:numFmt w:val="lowerLetter"/>
      <w:start w:val="2"/>
    </w:lvl>
  </w:abstractNum>
  <w:abstractNum w:abstractNumId="115">
    <w:nsid w:val="1C695DEC"/>
    <w:multiLevelType w:val="hybridMultilevel"/>
    <w:lvl w:ilvl="0">
      <w:lvlJc w:val="left"/>
      <w:lvlText w:val="(%1)"/>
      <w:numFmt w:val="decimal"/>
      <w:start w:val="4"/>
    </w:lvl>
    <w:lvl w:ilvl="1">
      <w:lvlJc w:val="left"/>
      <w:lvlText w:val="(%2)"/>
      <w:numFmt w:val="lowerLetter"/>
      <w:start w:val="5"/>
    </w:lvl>
  </w:abstractNum>
  <w:abstractNum w:abstractNumId="116">
    <w:nsid w:val="3FCFAED9"/>
    <w:multiLevelType w:val="hybridMultilevel"/>
    <w:lvl w:ilvl="0">
      <w:lvlJc w:val="left"/>
      <w:lvlText w:val="(%1)"/>
      <w:numFmt w:val="lowerLetter"/>
      <w:start w:val="6"/>
    </w:lvl>
  </w:abstractNum>
  <w:abstractNum w:abstractNumId="117">
    <w:nsid w:val="F856867"/>
    <w:multiLevelType w:val="hybridMultilevel"/>
    <w:lvl w:ilvl="0">
      <w:lvlJc w:val="left"/>
      <w:lvlText w:val="(%1)"/>
      <w:numFmt w:val="decimal"/>
      <w:start w:val="1"/>
    </w:lvl>
  </w:abstractNum>
  <w:abstractNum w:abstractNumId="118">
    <w:nsid w:val="11B1CC33"/>
    <w:multiLevelType w:val="hybridMultilevel"/>
    <w:lvl w:ilvl="0">
      <w:lvlJc w:val="left"/>
      <w:lvlText w:val="(%1)"/>
      <w:numFmt w:val="decimal"/>
      <w:start w:val="1"/>
    </w:lvl>
  </w:abstractNum>
  <w:abstractNum w:abstractNumId="119">
    <w:nsid w:val="2E22FBB7"/>
    <w:multiLevelType w:val="hybridMultilevel"/>
    <w:lvl w:ilvl="0">
      <w:lvlJc w:val="left"/>
      <w:lvlText w:val="(%1)"/>
      <w:numFmt w:val="decimal"/>
      <w:start w:val="7"/>
    </w:lvl>
  </w:abstractNum>
  <w:abstractNum w:abstractNumId="120">
    <w:nsid w:val="29934699"/>
    <w:multiLevelType w:val="hybridMultilevel"/>
    <w:lvl w:ilvl="0">
      <w:lvlJc w:val="left"/>
      <w:lvlText w:val="(%1)"/>
      <w:numFmt w:val="decimal"/>
      <w:start w:val="14"/>
    </w:lvl>
  </w:abstractNum>
  <w:abstractNum w:abstractNumId="121">
    <w:nsid w:val="77485850"/>
    <w:multiLevelType w:val="hybridMultilevel"/>
    <w:lvl w:ilvl="0">
      <w:lvlJc w:val="left"/>
      <w:lvlText w:val="(%1)"/>
      <w:numFmt w:val="decimal"/>
      <w:start w:val="19"/>
    </w:lvl>
  </w:abstractNum>
  <w:abstractNum w:abstractNumId="122">
    <w:nsid w:val="744939A3"/>
    <w:multiLevelType w:val="hybridMultilevel"/>
    <w:lvl w:ilvl="0">
      <w:lvlJc w:val="left"/>
      <w:lvlText w:val="%1."/>
      <w:numFmt w:val="decimal"/>
      <w:start w:val="301"/>
    </w:lvl>
  </w:abstractNum>
  <w:abstractNum w:abstractNumId="123">
    <w:nsid w:val="4FA0D2E3"/>
    <w:multiLevelType w:val="hybridMultilevel"/>
    <w:lvl w:ilvl="0">
      <w:lvlJc w:val="left"/>
      <w:lvlText w:val="(%1)"/>
      <w:numFmt w:val="lowerLetter"/>
      <w:start w:val="9"/>
    </w:lvl>
    <w:lvl w:ilvl="1">
      <w:lvlJc w:val="left"/>
      <w:lvlText w:val="(%2)"/>
      <w:numFmt w:val="lowerLetter"/>
      <w:start w:val="1"/>
    </w:lvl>
  </w:abstractNum>
  <w:abstractNum w:abstractNumId="124">
    <w:nsid w:val="6B1D2C14"/>
    <w:multiLevelType w:val="hybridMultilevel"/>
    <w:lvl w:ilvl="0">
      <w:lvlJc w:val="left"/>
      <w:lvlText w:val="(%1)"/>
      <w:numFmt w:val="lowerRoman"/>
      <w:start w:val="2"/>
    </w:lvl>
  </w:abstractNum>
  <w:abstractNum w:abstractNumId="125">
    <w:nsid w:val="68B867D3"/>
    <w:multiLevelType w:val="hybridMultilevel"/>
    <w:lvl w:ilvl="0">
      <w:lvlJc w:val="left"/>
      <w:lvlText w:val="(%1)"/>
      <w:numFmt w:val="lowerLetter"/>
      <w:start w:val="2"/>
    </w:lvl>
  </w:abstractNum>
  <w:abstractNum w:abstractNumId="126">
    <w:nsid w:val="3F7F5DD9"/>
    <w:multiLevelType w:val="hybridMultilevel"/>
    <w:lvl w:ilvl="0">
      <w:lvlJc w:val="left"/>
      <w:lvlText w:val="(%1)"/>
      <w:numFmt w:val="decimal"/>
      <w:start w:val="1"/>
    </w:lvl>
  </w:abstractNum>
  <w:abstractNum w:abstractNumId="127">
    <w:nsid w:val="2AE05A34"/>
    <w:multiLevelType w:val="hybridMultilevel"/>
    <w:lvl w:ilvl="0">
      <w:lvlJc w:val="left"/>
      <w:lvlText w:val="(%1)"/>
      <w:numFmt w:val="decimal"/>
      <w:start w:val="2"/>
    </w:lvl>
  </w:abstractNum>
  <w:abstractNum w:abstractNumId="128">
    <w:nsid w:val="32794FF7"/>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29">
    <w:nsid w:val="5454945E"/>
    <w:multiLevelType w:val="hybridMultilevel"/>
    <w:lvl w:ilvl="0">
      <w:lvlJc w:val="left"/>
      <w:lvlText w:val="(%1)"/>
      <w:numFmt w:val="decimal"/>
      <w:start w:val="2"/>
    </w:lvl>
  </w:abstractNum>
  <w:abstractNum w:abstractNumId="130">
    <w:nsid w:val="4DEFDFA0"/>
    <w:multiLevelType w:val="hybridMultilevel"/>
    <w:lvl w:ilvl="0">
      <w:lvlJc w:val="left"/>
      <w:lvlText w:val="(%1)"/>
      <w:numFmt w:val="decimal"/>
      <w:start w:val="1"/>
    </w:lvl>
  </w:abstractNum>
  <w:abstractNum w:abstractNumId="131">
    <w:nsid w:val="2123D5F2"/>
    <w:multiLevelType w:val="hybridMultilevel"/>
    <w:lvl w:ilvl="0">
      <w:lvlJc w:val="left"/>
      <w:lvlText w:val="(%1)"/>
      <w:numFmt w:val="decimal"/>
      <w:start w:val="3"/>
    </w:lvl>
    <w:lvl w:ilvl="1">
      <w:lvlJc w:val="left"/>
      <w:lvlText w:val="(%2)"/>
      <w:numFmt w:val="upperLetter"/>
      <w:start w:val="1"/>
    </w:lvl>
  </w:abstractNum>
  <w:abstractNum w:abstractNumId="132">
    <w:nsid w:val="135B8110"/>
    <w:multiLevelType w:val="hybridMultilevel"/>
    <w:lvl w:ilvl="0">
      <w:lvlJc w:val="left"/>
      <w:lvlText w:val="(%1)"/>
      <w:numFmt w:val="upperLetter"/>
      <w:start w:val="1"/>
    </w:lvl>
  </w:abstractNum>
  <w:abstractNum w:abstractNumId="133">
    <w:nsid w:val="94927A8"/>
    <w:multiLevelType w:val="hybridMultilevel"/>
    <w:lvl w:ilvl="0">
      <w:lvlJc w:val="left"/>
      <w:lvlText w:val="(%1)"/>
      <w:numFmt w:val="decimal"/>
      <w:start w:val="8"/>
    </w:lvl>
  </w:abstractNum>
  <w:abstractNum w:abstractNumId="134">
    <w:nsid w:val="DCDF8F6"/>
    <w:multiLevelType w:val="hybridMultilevel"/>
    <w:lvl w:ilvl="0">
      <w:lvlJc w:val="left"/>
      <w:lvlText w:val="(%1)"/>
      <w:numFmt w:val="decimal"/>
      <w:start w:val="1"/>
    </w:lvl>
    <w:lvl w:ilvl="1">
      <w:lvlJc w:val="left"/>
      <w:lvlText w:val="(%2)"/>
      <w:numFmt w:val="upperLetter"/>
      <w:start w:val="1"/>
    </w:lvl>
  </w:abstractNum>
  <w:abstractNum w:abstractNumId="135">
    <w:nsid w:val="52D7B105"/>
    <w:multiLevelType w:val="hybridMultilevel"/>
    <w:lvl w:ilvl="0">
      <w:lvlJc w:val="left"/>
      <w:lvlText w:val="%1"/>
      <w:numFmt w:val="decimal"/>
      <w:start w:val="1"/>
    </w:lvl>
    <w:lvl w:ilvl="1">
      <w:lvlJc w:val="left"/>
      <w:lvlText w:val="(%2)"/>
      <w:numFmt w:val="upperLetter"/>
      <w:start w:val="2"/>
    </w:lvl>
  </w:abstractNum>
  <w:abstractNum w:abstractNumId="136">
    <w:nsid w:val="2E8A6394"/>
    <w:multiLevelType w:val="hybridMultilevel"/>
    <w:lvl w:ilvl="0">
      <w:lvlJc w:val="left"/>
      <w:lvlText w:val="(%1)"/>
      <w:numFmt w:val="decimal"/>
      <w:start w:val="2"/>
    </w:lvl>
    <w:lvl w:ilvl="1">
      <w:lvlJc w:val="left"/>
      <w:lvlText w:val="%2"/>
      <w:numFmt w:val="upperLetter"/>
      <w:start w:val="1"/>
    </w:lvl>
  </w:abstractNum>
  <w:abstractNum w:abstractNumId="137">
    <w:nsid w:val="24E60401"/>
    <w:multiLevelType w:val="hybridMultilevel"/>
    <w:lvl w:ilvl="0">
      <w:lvlJc w:val="left"/>
      <w:lvlText w:val="(%1)"/>
      <w:numFmt w:val="decimal"/>
      <w:start w:val="1"/>
    </w:lvl>
  </w:abstractNum>
  <w:abstractNum w:abstractNumId="138">
    <w:nsid w:val="2A6AD9BE"/>
    <w:multiLevelType w:val="hybridMultilevel"/>
    <w:lvl w:ilvl="0">
      <w:lvlJc w:val="left"/>
      <w:lvlText w:val="(%1)"/>
      <w:numFmt w:val="lowerRoman"/>
      <w:start w:val="1"/>
    </w:lvl>
  </w:abstractNum>
  <w:abstractNum w:abstractNumId="139">
    <w:nsid w:val="BAAC1B4"/>
    <w:multiLevelType w:val="hybridMultilevel"/>
    <w:lvl w:ilvl="0">
      <w:lvlJc w:val="left"/>
      <w:lvlText w:val="(%1)"/>
      <w:numFmt w:val="decimal"/>
      <w:start w:val="1"/>
    </w:lvl>
  </w:abstractNum>
  <w:abstractNum w:abstractNumId="140">
    <w:nsid w:val="36B2ACBC"/>
    <w:multiLevelType w:val="hybridMultilevel"/>
    <w:lvl w:ilvl="0">
      <w:lvlJc w:val="left"/>
      <w:lvlText w:val="(%1)"/>
      <w:numFmt w:val="decimal"/>
      <w:start w:val="1"/>
    </w:lvl>
  </w:abstractNum>
  <w:abstractNum w:abstractNumId="141">
    <w:nsid w:val="779D8544"/>
    <w:multiLevelType w:val="hybridMultilevel"/>
    <w:lvl w:ilvl="0">
      <w:lvlJc w:val="left"/>
      <w:lvlText w:val="(%1)"/>
      <w:numFmt w:val="decimal"/>
      <w:start w:val="1"/>
    </w:lvl>
  </w:abstractNum>
  <w:abstractNum w:abstractNumId="142">
    <w:nsid w:val="4AB26E78"/>
    <w:multiLevelType w:val="hybridMultilevel"/>
    <w:lvl w:ilvl="0">
      <w:lvlJc w:val="left"/>
      <w:lvlText w:val="(%1)"/>
      <w:numFmt w:val="decimal"/>
      <w:start w:val="1"/>
    </w:lvl>
  </w:abstractNum>
  <w:abstractNum w:abstractNumId="143">
    <w:nsid w:val="21FAA2FA"/>
    <w:multiLevelType w:val="hybridMultilevel"/>
    <w:lvl w:ilvl="0">
      <w:lvlJc w:val="left"/>
      <w:lvlText w:val="(%1)"/>
      <w:numFmt w:val="decimal"/>
      <w:start w:val="4"/>
    </w:lvl>
  </w:abstractNum>
  <w:abstractNum w:abstractNumId="144">
    <w:nsid w:val="5451CF49"/>
    <w:multiLevelType w:val="hybridMultilevel"/>
    <w:lvl w:ilvl="0">
      <w:lvlJc w:val="left"/>
      <w:lvlText w:val="(%1)"/>
      <w:numFmt w:val="decimal"/>
      <w:start w:val="1"/>
    </w:lvl>
  </w:abstractNum>
  <w:abstractNum w:abstractNumId="145">
    <w:nsid w:val="6181EF69"/>
    <w:multiLevelType w:val="hybridMultilevel"/>
    <w:lvl w:ilvl="0">
      <w:lvlJc w:val="left"/>
      <w:lvlText w:val="(%1)"/>
      <w:numFmt w:val="lowerLetter"/>
      <w:start w:val="2"/>
    </w:lvl>
  </w:abstractNum>
  <w:abstractNum w:abstractNumId="146">
    <w:nsid w:val="3E6400E6"/>
    <w:multiLevelType w:val="hybridMultilevel"/>
    <w:lvl w:ilvl="0">
      <w:lvlJc w:val="left"/>
      <w:lvlText w:val="(%1)"/>
      <w:numFmt w:val="lowerLetter"/>
      <w:start w:val="3"/>
    </w:lvl>
  </w:abstractNum>
  <w:abstractNum w:abstractNumId="147">
    <w:nsid w:val="14217E23"/>
    <w:multiLevelType w:val="hybridMultilevel"/>
    <w:lvl w:ilvl="0">
      <w:lvlJc w:val="left"/>
      <w:lvlText w:val="(%1)"/>
      <w:numFmt w:val="decimal"/>
      <w:start w:val="1"/>
    </w:lvl>
  </w:abstractNum>
  <w:abstractNum w:abstractNumId="148">
    <w:nsid w:val="710757D0"/>
    <w:multiLevelType w:val="hybridMultilevel"/>
    <w:lvl w:ilvl="0">
      <w:lvlJc w:val="left"/>
      <w:lvlText w:val="(%1)"/>
      <w:numFmt w:val="lowerLetter"/>
      <w:start w:val="5"/>
    </w:lvl>
  </w:abstractNum>
  <w:abstractNum w:abstractNumId="149">
    <w:nsid w:val="5015CD1A"/>
    <w:multiLevelType w:val="hybridMultilevel"/>
    <w:lvl w:ilvl="0">
      <w:lvlJc w:val="left"/>
      <w:lvlText w:val="(%1)"/>
      <w:numFmt w:val="lowerLetter"/>
      <w:start w:val="6"/>
    </w:lvl>
  </w:abstractNum>
  <w:abstractNum w:abstractNumId="150">
    <w:nsid w:val="424479DA"/>
    <w:multiLevelType w:val="hybridMultilevel"/>
    <w:lvl w:ilvl="0">
      <w:lvlJc w:val="left"/>
      <w:lvlText w:val="(%1)"/>
      <w:numFmt w:val="lowerLetter"/>
      <w:start w:val="2"/>
    </w:lvl>
  </w:abstractNum>
  <w:abstractNum w:abstractNumId="151">
    <w:nsid w:val="1A9A9E69"/>
    <w:multiLevelType w:val="hybridMultilevel"/>
    <w:lvl w:ilvl="0">
      <w:lvlJc w:val="left"/>
      <w:lvlText w:val="(%1)"/>
      <w:numFmt w:val="lowerLetter"/>
      <w:start w:val="3"/>
    </w:lvl>
  </w:abstractNum>
  <w:abstractNum w:abstractNumId="152">
    <w:nsid w:val="475E256A"/>
    <w:multiLevelType w:val="hybridMultilevel"/>
    <w:lvl w:ilvl="0">
      <w:lvlJc w:val="left"/>
      <w:lvlText w:val="(%1)"/>
      <w:numFmt w:val="decimal"/>
      <w:start w:val="1"/>
    </w:lvl>
  </w:abstractNum>
  <w:abstractNum w:abstractNumId="153">
    <w:nsid w:val="368DB37E"/>
    <w:multiLevelType w:val="hybridMultilevel"/>
    <w:lvl w:ilvl="0">
      <w:lvlJc w:val="left"/>
      <w:lvlText w:val="(%1)"/>
      <w:numFmt w:val="lowerLetter"/>
      <w:start w:val="1"/>
    </w:lvl>
  </w:abstractNum>
  <w:abstractNum w:abstractNumId="154">
    <w:nsid w:val="6A3B714C"/>
    <w:multiLevelType w:val="hybridMultilevel"/>
    <w:lvl w:ilvl="0">
      <w:lvlJc w:val="left"/>
      <w:lvlText w:val="(%1)"/>
      <w:numFmt w:val="lowerLetter"/>
      <w:start w:val="2"/>
    </w:lvl>
  </w:abstractNum>
  <w:abstractNum w:abstractNumId="155">
    <w:nsid w:val="327B517E"/>
    <w:multiLevelType w:val="hybridMultilevel"/>
    <w:lvl w:ilvl="0">
      <w:lvlJc w:val="left"/>
      <w:lvlText w:val="(%1)"/>
      <w:numFmt w:val="decimal"/>
      <w:start w:val="1"/>
    </w:lvl>
  </w:abstractNum>
  <w:abstractNum w:abstractNumId="156">
    <w:nsid w:val="1F461B51"/>
    <w:multiLevelType w:val="hybridMultilevel"/>
    <w:lvl w:ilvl="0">
      <w:lvlJc w:val="left"/>
      <w:lvlText w:val="-"/>
      <w:numFmt w:val="bullet"/>
      <w:start w:val="1"/>
    </w:lvl>
    <w:lvl w:ilvl="1">
      <w:lvlJc w:val="left"/>
      <w:lvlText w:val="(%2)"/>
      <w:numFmt w:val="decimal"/>
      <w:start w:val="3"/>
    </w:lvl>
  </w:abstractNum>
  <w:abstractNum w:abstractNumId="157">
    <w:nsid w:val="29BACF25"/>
    <w:multiLevelType w:val="hybridMultilevel"/>
    <w:lvl w:ilvl="0">
      <w:lvlJc w:val="left"/>
      <w:lvlText w:val="(%1)"/>
      <w:numFmt w:val="decimal"/>
      <w:start w:val="4"/>
    </w:lvl>
  </w:abstractNum>
  <w:abstractNum w:abstractNumId="158">
    <w:nsid w:val="5D5BABB3"/>
    <w:multiLevelType w:val="hybridMultilevel"/>
    <w:lvl w:ilvl="0">
      <w:lvlJc w:val="left"/>
      <w:lvlText w:val="-"/>
      <w:numFmt w:val="bullet"/>
      <w:start w:val="1"/>
    </w:lvl>
    <w:lvl w:ilvl="1">
      <w:lvlJc w:val="left"/>
      <w:lvlText w:val="(%2)"/>
      <w:numFmt w:val="decimal"/>
      <w:start w:val="5"/>
    </w:lvl>
  </w:abstractNum>
  <w:abstractNum w:abstractNumId="159">
    <w:nsid w:val="51BF6B48"/>
    <w:multiLevelType w:val="hybridMultilevel"/>
    <w:lvl w:ilvl="0">
      <w:lvlJc w:val="left"/>
      <w:lvlText w:val="(%1)"/>
      <w:numFmt w:val="decimal"/>
      <w:start w:val="6"/>
    </w:lvl>
  </w:abstractNum>
  <w:abstractNum w:abstractNumId="160">
    <w:nsid w:val="7E0F6384"/>
    <w:multiLevelType w:val="hybridMultilevel"/>
    <w:lvl w:ilvl="0">
      <w:lvlJc w:val="left"/>
      <w:lvlText w:val="(%1)"/>
      <w:numFmt w:val="decimal"/>
      <w:start w:val="9"/>
    </w:lvl>
  </w:abstractNum>
  <w:abstractNum w:abstractNumId="161">
    <w:nsid w:val="2B4B8B53"/>
    <w:multiLevelType w:val="hybridMultilevel"/>
    <w:lvl w:ilvl="0">
      <w:lvlJc w:val="left"/>
      <w:lvlText w:val="(%1)"/>
      <w:numFmt w:val="decimal"/>
      <w:start w:val="10"/>
    </w:lvl>
  </w:abstractNum>
  <w:abstractNum w:abstractNumId="162">
    <w:nsid w:val="72E3413A"/>
    <w:multiLevelType w:val="hybridMultilevel"/>
    <w:lvl w:ilvl="0">
      <w:lvlJc w:val="left"/>
      <w:lvlText w:val="(%1)"/>
      <w:numFmt w:val="decimal"/>
      <w:start w:val="1"/>
    </w:lvl>
  </w:abstractNum>
  <w:abstractNum w:abstractNumId="163">
    <w:nsid w:val="116AE494"/>
    <w:multiLevelType w:val="hybridMultilevel"/>
    <w:lvl w:ilvl="0">
      <w:lvlJc w:val="left"/>
      <w:lvlText w:val="(%1)"/>
      <w:numFmt w:val="decimal"/>
      <w:start w:val="2"/>
    </w:lvl>
  </w:abstractNum>
  <w:abstractNum w:abstractNumId="164">
    <w:nsid w:val="3494B2FB"/>
    <w:multiLevelType w:val="hybridMultilevel"/>
    <w:lvl w:ilvl="0">
      <w:lvlJc w:val="left"/>
      <w:lvlText w:val="(%1)"/>
      <w:numFmt w:val="decimal"/>
      <w:start w:val="1"/>
    </w:lvl>
  </w:abstractNum>
  <w:abstractNum w:abstractNumId="165">
    <w:nsid w:val="B13A31"/>
    <w:multiLevelType w:val="hybridMultilevel"/>
    <w:lvl w:ilvl="0">
      <w:lvlJc w:val="left"/>
      <w:lvlText w:val="(%1)"/>
      <w:numFmt w:val="decimal"/>
      <w:start w:val="1"/>
    </w:lvl>
  </w:abstractNum>
  <w:abstractNum w:abstractNumId="166">
    <w:nsid w:val="64429599"/>
    <w:multiLevelType w:val="hybridMultilevel"/>
    <w:lvl w:ilvl="0">
      <w:lvlJc w:val="left"/>
      <w:lvlText w:val="(%1)"/>
      <w:numFmt w:val="decimal"/>
      <w:start w:val="8"/>
    </w:lvl>
  </w:abstractNum>
  <w:abstractNum w:abstractNumId="167">
    <w:nsid w:val="631F1690"/>
    <w:multiLevelType w:val="hybridMultilevel"/>
    <w:lvl w:ilvl="0">
      <w:lvlJc w:val="left"/>
      <w:lvlText w:val="(%1)"/>
      <w:numFmt w:val="lowerLetter"/>
      <w:start w:val="1"/>
    </w:lvl>
  </w:abstractNum>
  <w:abstractNum w:abstractNumId="168">
    <w:nsid w:val="25973E32"/>
    <w:multiLevelType w:val="hybridMultilevel"/>
    <w:lvl w:ilvl="0">
      <w:lvlJc w:val="left"/>
      <w:lvlText w:val="(%1)"/>
      <w:numFmt w:val="decimal"/>
      <w:start w:val="3"/>
    </w:lvl>
    <w:lvl w:ilvl="1">
      <w:lvlJc w:val="left"/>
      <w:lvlText w:val="(%2)"/>
      <w:numFmt w:val="lowerLetter"/>
      <w:start w:val="2"/>
    </w:lvl>
  </w:abstractNum>
  <w:abstractNum w:abstractNumId="169">
    <w:nsid w:val="EAD6F57"/>
    <w:multiLevelType w:val="hybridMultilevel"/>
    <w:lvl w:ilvl="0">
      <w:lvlJc w:val="left"/>
      <w:lvlText w:val="(%1)"/>
      <w:numFmt w:val="lowerLetter"/>
      <w:start w:val="5"/>
    </w:lvl>
  </w:abstractNum>
  <w:abstractNum w:abstractNumId="170">
    <w:nsid w:val="6EC9D844"/>
    <w:multiLevelType w:val="hybridMultilevel"/>
    <w:lvl w:ilvl="0">
      <w:lvlJc w:val="left"/>
      <w:lvlText w:val="(%1)"/>
      <w:numFmt w:val="lowerLetter"/>
      <w:start w:val="1"/>
    </w:lvl>
  </w:abstractNum>
  <w:abstractNum w:abstractNumId="171">
    <w:nsid w:val="5C49EAEE"/>
    <w:multiLevelType w:val="hybridMultilevel"/>
    <w:lvl w:ilvl="0">
      <w:lvlJc w:val="left"/>
      <w:lvlText w:val="(%1)"/>
      <w:numFmt w:val="lowerLetter"/>
      <w:start w:val="2"/>
    </w:lvl>
  </w:abstractNum>
  <w:abstractNum w:abstractNumId="172">
    <w:nsid w:val="64AF49B"/>
    <w:multiLevelType w:val="hybridMultilevel"/>
    <w:lvl w:ilvl="0">
      <w:lvlJc w:val="left"/>
      <w:lvlText w:val="(%1)"/>
      <w:numFmt w:val="decimal"/>
      <w:start w:val="1"/>
    </w:lvl>
  </w:abstractNum>
  <w:abstractNum w:abstractNumId="173">
    <w:nsid w:val="397C46BC"/>
    <w:multiLevelType w:val="hybridMultilevel"/>
    <w:lvl w:ilvl="0">
      <w:lvlJc w:val="left"/>
      <w:lvlText w:val="(%1)"/>
      <w:numFmt w:val="lowerRoman"/>
      <w:start w:val="2"/>
    </w:lvl>
  </w:abstractNum>
  <w:abstractNum w:abstractNumId="174">
    <w:nsid w:val="7E448DE9"/>
    <w:multiLevelType w:val="hybridMultilevel"/>
    <w:lvl w:ilvl="0">
      <w:lvlJc w:val="left"/>
      <w:lvlText w:val="(%1)"/>
      <w:numFmt w:val="lowerLetter"/>
      <w:start w:val="2"/>
    </w:lvl>
  </w:abstractNum>
  <w:abstractNum w:abstractNumId="175">
    <w:nsid w:val="5A9CC3E5"/>
    <w:multiLevelType w:val="hybridMultilevel"/>
    <w:lvl w:ilvl="0">
      <w:lvlJc w:val="left"/>
      <w:lvlText w:val="(%1)"/>
      <w:numFmt w:val="lowerLetter"/>
      <w:start w:val="4"/>
    </w:lvl>
  </w:abstractNum>
  <w:abstractNum w:abstractNumId="176">
    <w:nsid w:val="1AFE3625"/>
    <w:multiLevelType w:val="hybridMultilevel"/>
    <w:lvl w:ilvl="0">
      <w:lvlJc w:val="left"/>
      <w:lvlText w:val=")"/>
      <w:numFmt w:val="bullet"/>
      <w:start w:val="1"/>
    </w:lvl>
  </w:abstractNum>
  <w:abstractNum w:abstractNumId="177">
    <w:nsid w:val="3CA88ECF"/>
    <w:multiLevelType w:val="hybridMultilevel"/>
    <w:lvl w:ilvl="0">
      <w:lvlJc w:val="left"/>
      <w:lvlText w:val="(%1)"/>
      <w:numFmt w:val="lowerRoman"/>
      <w:start w:val="2"/>
    </w:lvl>
  </w:abstractNum>
  <w:abstractNum w:abstractNumId="178">
    <w:nsid w:val="6EBE4208"/>
    <w:multiLevelType w:val="hybridMultilevel"/>
    <w:lvl w:ilvl="0">
      <w:lvlJc w:val="left"/>
      <w:lvlText w:val="%1."/>
      <w:numFmt w:val="decimal"/>
      <w:start w:val="1"/>
    </w:lvl>
  </w:abstractNum>
  <w:abstractNum w:abstractNumId="179">
    <w:nsid w:val="C058DF5"/>
    <w:multiLevelType w:val="hybridMultilevel"/>
    <w:lvl w:ilvl="0">
      <w:lvlJc w:val="left"/>
      <w:lvlText w:val="%1."/>
      <w:numFmt w:val="decimal"/>
      <w:start w:val="1"/>
    </w:lvl>
  </w:abstractNum>
  <w:abstractNum w:abstractNumId="180">
    <w:nsid w:val="CBE5BE9"/>
    <w:multiLevelType w:val="hybridMultilevel"/>
    <w:lvl w:ilvl="0">
      <w:lvlJc w:val="left"/>
      <w:lvlText w:val="%1."/>
      <w:numFmt w:val="decimal"/>
      <w:start w:val="1"/>
    </w:lvl>
    <w:lvl w:ilvl="1">
      <w:lvlJc w:val="left"/>
      <w:lvlText w:val="(%2)"/>
      <w:numFmt w:val="lowerLetter"/>
      <w:start w:val="1"/>
    </w:lvl>
  </w:abstractNum>
  <w:abstractNum w:abstractNumId="181">
    <w:nsid w:val="3102BBE2"/>
    <w:multiLevelType w:val="hybridMultilevel"/>
    <w:lvl w:ilvl="0">
      <w:lvlJc w:val="left"/>
      <w:lvlText w:val="%1"/>
      <w:numFmt w:val="decimal"/>
      <w:start w:val="1"/>
    </w:lvl>
    <w:lvl w:ilvl="1">
      <w:lvlJc w:val="left"/>
      <w:lvlText w:val="(%2)"/>
      <w:numFmt w:val="lowerLetter"/>
      <w:start w:val="2"/>
    </w:lvl>
  </w:abstractNum>
  <w:abstractNum w:abstractNumId="182">
    <w:nsid w:val="26A02C5E"/>
    <w:multiLevelType w:val="hybridMultilevel"/>
    <w:lvl w:ilvl="0">
      <w:lvlJc w:val="left"/>
      <w:lvlText w:val="%1."/>
      <w:numFmt w:val="decimal"/>
      <w:start w:val="2"/>
    </w:lvl>
    <w:lvl w:ilvl="1">
      <w:lvlJc w:val="left"/>
      <w:lvlText w:val="%2"/>
      <w:numFmt w:val="lowerLetter"/>
      <w:start w:val="1"/>
    </w:lvl>
  </w:abstractNum>
  <w:abstractNum w:abstractNumId="183">
    <w:nsid w:val="541C8153"/>
    <w:multiLevelType w:val="hybridMultilevel"/>
    <w:lvl w:ilvl="0">
      <w:lvlJc w:val="left"/>
      <w:lvlText w:val="%1."/>
      <w:numFmt w:val="decimal"/>
      <w:start w:val="16"/>
    </w:lvl>
    <w:lvl w:ilvl="1">
      <w:lvlJc w:val="left"/>
      <w:lvlText w:val="%2."/>
      <w:numFmt w:val="decimal"/>
      <w:start w:val="1"/>
    </w:lvl>
  </w:abstractNum>
  <w:abstractNum w:abstractNumId="184">
    <w:nsid w:val="67906F60"/>
    <w:multiLevelType w:val="hybridMultilevel"/>
    <w:lvl w:ilvl="0">
      <w:lvlJc w:val="left"/>
      <w:lvlText w:val="%1."/>
      <w:numFmt w:val="decimal"/>
      <w:start w:val="2"/>
    </w:lvl>
  </w:abstractNum>
  <w:abstractNum w:abstractNumId="185">
    <w:nsid w:val="10DB9DAA"/>
    <w:multiLevelType w:val="hybridMultilevel"/>
    <w:lvl w:ilvl="0">
      <w:lvlJc w:val="left"/>
      <w:lvlText w:val="(%1)"/>
      <w:numFmt w:val="decimal"/>
      <w:start w:val="1"/>
    </w:lvl>
  </w:abstractNum>
  <w:abstractNum w:abstractNumId="186">
    <w:nsid w:val="697D2D2"/>
    <w:multiLevelType w:val="hybridMultilevel"/>
    <w:lvl w:ilvl="0">
      <w:lvlJc w:val="left"/>
      <w:lvlText w:val="1"/>
      <w:numFmt w:val="bullet"/>
      <w:start w:val="1"/>
    </w:lvl>
  </w:abstractNum>
  <w:abstractNum w:abstractNumId="187">
    <w:nsid w:val="6D68AB2"/>
    <w:multiLevelType w:val="hybridMultilevel"/>
    <w:lvl w:ilvl="0">
      <w:lvlJc w:val="left"/>
      <w:lvlText w:val="2"/>
      <w:numFmt w:val="bullet"/>
      <w:start w:val="1"/>
    </w:lvl>
  </w:abstractNum>
  <w:abstractNum w:abstractNumId="188">
    <w:nsid w:val="3A966CD0"/>
    <w:multiLevelType w:val="hybridMultilevel"/>
    <w:lvl w:ilvl="0">
      <w:lvlJc w:val="left"/>
      <w:lvlText w:val="3"/>
      <w:numFmt w:val="bullet"/>
      <w:start w:val="1"/>
    </w:lvl>
  </w:abstractNum>
  <w:abstractNum w:abstractNumId="189">
    <w:nsid w:val="63F37E85"/>
    <w:multiLevelType w:val="hybridMultilevel"/>
    <w:lvl w:ilvl="0">
      <w:lvlJc w:val="left"/>
      <w:lvlText w:val="4"/>
      <w:numFmt w:val="bullet"/>
      <w:start w:val="1"/>
    </w:lvl>
  </w:abstractNum>
  <w:abstractNum w:abstractNumId="190">
    <w:nsid w:val="5895F5FA"/>
    <w:multiLevelType w:val="hybridMultilevel"/>
    <w:lvl w:ilvl="0">
      <w:lvlJc w:val="left"/>
      <w:lvlText w:val="5"/>
      <w:numFmt w:val="bullet"/>
      <w:start w:val="1"/>
    </w:lvl>
  </w:abstractNum>
  <w:abstractNum w:abstractNumId="191">
    <w:nsid w:val="38A5D054"/>
    <w:multiLevelType w:val="hybridMultilevel"/>
    <w:lvl w:ilvl="0">
      <w:lvlJc w:val="left"/>
      <w:lvlText w:val="(%1)"/>
      <w:numFmt w:val="decimal"/>
      <w:start w:val="1"/>
    </w:lvl>
  </w:abstractNum>
  <w:abstractNum w:abstractNumId="192">
    <w:nsid w:val="F3F09D8"/>
    <w:multiLevelType w:val="hybridMultilevel"/>
    <w:lvl w:ilvl="0">
      <w:lvlJc w:val="left"/>
      <w:lvlText w:val="(%1)"/>
      <w:numFmt w:val="lowerLetter"/>
      <w:start w:val="1"/>
    </w:lvl>
  </w:abstractNum>
  <w:abstractNum w:abstractNumId="193">
    <w:nsid w:val="4B793735"/>
    <w:multiLevelType w:val="hybridMultilevel"/>
    <w:lvl w:ilvl="0">
      <w:lvlJc w:val="left"/>
      <w:lvlText w:val="(%1)"/>
      <w:numFmt w:val="lowerLetter"/>
      <w:start w:val="2"/>
    </w:lvl>
  </w:abstractNum>
  <w:abstractNum w:abstractNumId="194">
    <w:nsid w:val="4A10B4E8"/>
    <w:multiLevelType w:val="hybridMultilevel"/>
    <w:lvl w:ilvl="0">
      <w:lvlJc w:val="left"/>
      <w:lvlText w:val="%1."/>
      <w:numFmt w:val="decimal"/>
      <w:start w:val="1"/>
    </w:lvl>
  </w:abstractNum>
  <w:abstractNum w:abstractNumId="195">
    <w:nsid w:val="43D3BCD4"/>
    <w:multiLevelType w:val="hybridMultilevel"/>
    <w:lvl w:ilvl="0">
      <w:lvlJc w:val="left"/>
      <w:lvlText w:val="%1."/>
      <w:numFmt w:val="decimal"/>
      <w:start w:val="2"/>
    </w:lvl>
    <w:lvl w:ilvl="1">
      <w:lvlJc w:val="left"/>
      <w:lvlText w:val="(%2)"/>
      <w:numFmt w:val="lowerLetter"/>
      <w:start w:val="1"/>
    </w:lvl>
  </w:abstractNum>
  <w:abstractNum w:abstractNumId="196">
    <w:nsid w:val="4C2A7166"/>
    <w:multiLevelType w:val="hybridMultilevel"/>
    <w:lvl w:ilvl="0">
      <w:lvlJc w:val="left"/>
      <w:lvlText w:val="(%1)"/>
      <w:numFmt w:val="lowerLetter"/>
      <w:start w:val="2"/>
    </w:lvl>
  </w:abstractNum>
  <w:abstractNum w:abstractNumId="197">
    <w:nsid w:val="2E534A82"/>
    <w:multiLevelType w:val="hybridMultilevel"/>
    <w:lvl w:ilvl="0">
      <w:lvlJc w:val="left"/>
      <w:lvlText w:val="(%1)"/>
      <w:numFmt w:val="lowerLetter"/>
      <w:start w:val="3"/>
    </w:lvl>
  </w:abstractNum>
  <w:abstractNum w:abstractNumId="198">
    <w:nsid w:val="26F2D364"/>
    <w:multiLevelType w:val="hybridMultilevel"/>
    <w:lvl w:ilvl="0">
      <w:lvlJc w:val="left"/>
      <w:lvlText w:val="%1."/>
      <w:numFmt w:val="decimal"/>
      <w:start w:val="3"/>
    </w:lvl>
  </w:abstractNum>
  <w:abstractNum w:abstractNumId="199">
    <w:nsid w:val="71C1AF98"/>
    <w:multiLevelType w:val="hybridMultilevel"/>
    <w:lvl w:ilvl="0">
      <w:lvlJc w:val="left"/>
      <w:lvlText w:val="(%1)"/>
      <w:numFmt w:val="lowerLetter"/>
      <w:start w:val="1"/>
    </w:lvl>
  </w:abstractNum>
  <w:abstractNum w:abstractNumId="200">
    <w:nsid w:val="3D00B9D9"/>
    <w:multiLevelType w:val="hybridMultilevel"/>
    <w:lvl w:ilvl="0">
      <w:lvlJc w:val="left"/>
      <w:lvlText w:val="(%1)"/>
      <w:numFmt w:val="lowerLetter"/>
      <w:start w:val="2"/>
    </w:lvl>
  </w:abstractNum>
  <w:abstractNum w:abstractNumId="201">
    <w:nsid w:val="15BCABA8"/>
    <w:multiLevelType w:val="hybridMultilevel"/>
    <w:lvl w:ilvl="0">
      <w:lvlJc w:val="left"/>
      <w:lvlText w:val="%1."/>
      <w:numFmt w:val="decimal"/>
      <w:start w:val="5"/>
    </w:lvl>
    <w:lvl w:ilvl="1">
      <w:lvlJc w:val="left"/>
      <w:lvlText w:val="(%2)"/>
      <w:numFmt w:val="lowerLetter"/>
      <w:start w:val="1"/>
    </w:lvl>
  </w:abstractNum>
  <w:abstractNum w:abstractNumId="202">
    <w:nsid w:val="4E0B9A87"/>
    <w:multiLevelType w:val="hybridMultilevel"/>
    <w:lvl w:ilvl="0">
      <w:lvlJc w:val="left"/>
      <w:lvlText w:val="(%1)"/>
      <w:numFmt w:val="lowerLetter"/>
      <w:start w:val="2"/>
    </w:lvl>
  </w:abstractNum>
  <w:abstractNum w:abstractNumId="203">
    <w:nsid w:val="434BAE75"/>
    <w:multiLevelType w:val="hybridMultilevel"/>
    <w:lvl w:ilvl="0">
      <w:lvlJc w:val="left"/>
      <w:lvlText w:val="(%1)"/>
      <w:numFmt w:val="lowerLetter"/>
      <w:start w:val="3"/>
    </w:lvl>
  </w:abstractNum>
  <w:abstractNum w:abstractNumId="204">
    <w:nsid w:val="4F38F265"/>
    <w:multiLevelType w:val="hybridMultilevel"/>
    <w:lvl w:ilvl="0">
      <w:lvlJc w:val="left"/>
      <w:lvlText w:val="%1."/>
      <w:numFmt w:val="decimal"/>
      <w:start w:val="6"/>
    </w:lvl>
    <w:lvl w:ilvl="1">
      <w:lvlJc w:val="left"/>
      <w:lvlText w:val="(%2)"/>
      <w:numFmt w:val="lowerLetter"/>
      <w:start w:val="1"/>
    </w:lvl>
  </w:abstractNum>
  <w:abstractNum w:abstractNumId="205">
    <w:nsid w:val="4C502870"/>
    <w:multiLevelType w:val="hybridMultilevel"/>
    <w:lvl w:ilvl="0">
      <w:lvlJc w:val="left"/>
      <w:lvlText w:val="%1."/>
      <w:numFmt w:val="decimal"/>
      <w:start w:val="8"/>
    </w:lvl>
  </w:abstractNum>
  <w:abstractNum w:abstractNumId="206">
    <w:nsid w:val="1DE8725A"/>
    <w:multiLevelType w:val="hybridMultilevel"/>
    <w:lvl w:ilvl="0">
      <w:lvlJc w:val="left"/>
      <w:lvlText w:val="(%1)"/>
      <w:numFmt w:val="lowerLetter"/>
      <w:start w:val="1"/>
    </w:lvl>
  </w:abstractNum>
  <w:abstractNum w:abstractNumId="207">
    <w:nsid w:val="6A37288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2019-12-13T00:58:06Z</dcterms:created>
  <dcterms:modified xsi:type="dcterms:W3CDTF">2019-12-13T00:58:06Z</dcterms:modified>
</cp:coreProperties>
</file>