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February 16,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55"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16, 2006, the Compensation Committee (“Committee”) of the Board of Trustees of Federal Realty Investment Trust (“Trust”) approved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following compensation arrangements for the Trust’s named executive officers: (a) 2006 fiscal year base salaries, effective as of January 1, 2006, as follows: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Donald C. Wood, President and Chief Executive Officer – $600,000; Dawn M. Becker, Executive Vice President-General Counsel and Secretary – $250,000;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Jeffrey S. Berkes, Executive Vice President-Chief Investment Officer – $300,000; and Larry E. Finger, Executive Vice President-Chief Financial Officer –</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$350,000; (b) bonus payments pursuant to the Trust’s annual incentive bonus plan applicable to all corporate employees, determined on the basis of the funds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operations achieved by the Trust in fiscal year 2005 and the individual performance of each of the named executive officers; (c) equity awards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Trust’s long-term incentive award program applicable to all of the Trust’s officers and participants in its internal leadership and development program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determined on the basis of the Trust’s relative total return to shareholders from January 2003 through December 2005, absolute total return to shareholders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January 2004 through December 2005 and return on invested capital from January 2004 through December 2005; and (d) a one-time restricted stock award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$250,000 for each of Ms. Becker and Mr. Berkes for their work on the condominium sales at Santana Row.</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February 17, 2006, the Board of Trustees of the Trust, on recommendation of the Nominating and Corporate Governance Committee, increased the annual retainer for Trustees to $80,000 and the annual retainer for the non-executive Chairman of the Board to $135,000, an increase in each case of $10,000 per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February 17, 2006, the Board of Trustees of the Trust, on recommendation of the Nominating and Corporate Governance Committee, adopted an amendment to Article II, Section 8 of the Trust’s Bylaws regarding election of Trustees. Under the new provision, a Trustee must receive a majority of votes cast at a meeting to be elected in any uncontested election and a plurality of votes cast at a meeting to be elected in any contested election. A copy of the amendment is filed herewith as an exhibit, and a copy of the revised Bylaws, including the amended provision, will be filed as an exhibit to our next applicable periodic report or registration statement. The effective date of the amendment was February 17, 2006.</w:t>
      </w:r>
    </w:p>
    <w:p>
      <w:pPr>
        <w:spacing w:after="0" w:line="150" w:lineRule="exact"/>
        <w:rPr>
          <w:sz w:val="20"/>
          <w:szCs w:val="20"/>
          <w:color w:val="auto"/>
        </w:rPr>
      </w:pPr>
    </w:p>
    <w:p>
      <w:pPr>
        <w:ind w:left="60"/>
        <w:spacing w:after="0"/>
        <w:tabs>
          <w:tab w:leader="none" w:pos="9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83" w:lineRule="exact"/>
        <w:rPr>
          <w:sz w:val="20"/>
          <w:szCs w:val="20"/>
          <w:color w:val="auto"/>
        </w:rPr>
      </w:pPr>
    </w:p>
    <w:p>
      <w:pPr>
        <w:ind w:left="1300" w:right="8660" w:hanging="360"/>
        <w:spacing w:after="0" w:line="394" w:lineRule="auto"/>
        <w:tabs>
          <w:tab w:leader="none" w:pos="1300" w:val="left"/>
        </w:tabs>
        <w:numPr>
          <w:ilvl w:val="0"/>
          <w:numId w:val="2"/>
        </w:numPr>
        <w:rPr>
          <w:rFonts w:ascii="Arial" w:cs="Arial" w:eastAsia="Arial" w:hAnsi="Arial"/>
          <w:sz w:val="15"/>
          <w:szCs w:val="15"/>
          <w:color w:val="auto"/>
        </w:rPr>
      </w:pPr>
      <w:r>
        <w:rPr>
          <w:rFonts w:ascii="Arial" w:cs="Arial" w:eastAsia="Arial" w:hAnsi="Arial"/>
          <w:sz w:val="15"/>
          <w:szCs w:val="15"/>
          <w:color w:val="auto"/>
        </w:rPr>
        <w:t>Financial Statements Not applicable.</w:t>
      </w:r>
    </w:p>
    <w:p>
      <w:pPr>
        <w:ind w:left="1300" w:right="7800" w:hanging="360"/>
        <w:spacing w:after="0" w:line="328"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 Not applicable.</w:t>
      </w:r>
    </w:p>
    <w:p>
      <w:pPr>
        <w:spacing w:after="0" w:line="1" w:lineRule="exact"/>
        <w:rPr>
          <w:rFonts w:ascii="Arial" w:cs="Arial" w:eastAsia="Arial" w:hAnsi="Arial"/>
          <w:sz w:val="18"/>
          <w:szCs w:val="18"/>
          <w:color w:val="auto"/>
        </w:rPr>
      </w:pPr>
    </w:p>
    <w:p>
      <w:pPr>
        <w:ind w:left="1300" w:right="8100" w:hanging="360"/>
        <w:spacing w:after="0" w:line="369"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Shell Company Transactions Not applicable.</w:t>
      </w:r>
    </w:p>
    <w:p>
      <w:pPr>
        <w:spacing w:after="0" w:line="1" w:lineRule="exact"/>
        <w:rPr>
          <w:rFonts w:ascii="Arial" w:cs="Arial" w:eastAsia="Arial" w:hAnsi="Arial"/>
          <w:sz w:val="16"/>
          <w:szCs w:val="16"/>
          <w:color w:val="auto"/>
        </w:rPr>
      </w:pPr>
    </w:p>
    <w:p>
      <w:pPr>
        <w:ind w:left="1300" w:hanging="36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76"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The following Exhibit is included in the Form 8-K:</w:t>
      </w:r>
    </w:p>
    <w:p>
      <w:pPr>
        <w:spacing w:after="0" w:line="18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0</wp:posOffset>
            </wp:positionV>
            <wp:extent cx="17322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6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Amendment to Bylaws</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February 23, 2006</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Bylaws</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Section 8. VOTING. A plurality of all the votes cast at a meeting of shareholders duly called and at which a quorum is present shall be sufficient to elect a Trustee at any meeting where the number of nominees exceeds the number of Trustees to be elected. A majority of all the votes cast at a meeting of shareholders duly called and at which a quorum is present shall be sufficient to elect a Trustee at any meeting where the number of nominees is the same as the number of Trustees to be elected. For purposes of this Section, a majority of the votes cast means that the number of shares voted “for” a Trustee must exceed 50% of the votes cast with respect to that Trustee. Each share may be voted for as many individuals as there are Trustees to be elected and for whose election the share is entitled to be voted. A majority of the votes cast at a meeting of shareholders duly called and at which a quorum is present shall be sufficient to approve any other matter which may properly come before the meeting, unless more than a majority of the votes cast is required herein or by statute or by the Declaration of Trust. Unless otherwise provided in the Declaration of Trust, each outstanding share, regardless of class, shall be entitled to one vote on each matter submitted to a vote at a meeting of shareholders.</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2019-12-13T00:45:38Z</dcterms:created>
  <dcterms:modified xsi:type="dcterms:W3CDTF">2019-12-13T00:45:38Z</dcterms:modified>
</cp:coreProperties>
</file>