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499"/>
        <w:spacing w:after="0"/>
        <w:rPr>
          <w:sz w:val="20"/>
          <w:szCs w:val="20"/>
          <w:color w:val="auto"/>
        </w:rPr>
      </w:pPr>
      <w:r>
        <w:rPr>
          <w:rFonts w:ascii="Courier New" w:cs="Courier New" w:eastAsia="Courier New" w:hAnsi="Courier New"/>
          <w:sz w:val="16"/>
          <w:szCs w:val="16"/>
          <w:color w:val="auto"/>
        </w:rPr>
        <w:t>Filed pursuant to Rule 424(b)(3)</w:t>
      </w:r>
    </w:p>
    <w:p>
      <w:pPr>
        <w:spacing w:after="0" w:line="7" w:lineRule="exact"/>
        <w:rPr>
          <w:sz w:val="24"/>
          <w:szCs w:val="24"/>
          <w:color w:val="auto"/>
        </w:rPr>
      </w:pPr>
    </w:p>
    <w:p>
      <w:pPr>
        <w:jc w:val="right"/>
        <w:ind w:right="2499"/>
        <w:spacing w:after="0"/>
        <w:rPr>
          <w:sz w:val="20"/>
          <w:szCs w:val="20"/>
          <w:color w:val="auto"/>
        </w:rPr>
      </w:pPr>
      <w:r>
        <w:rPr>
          <w:rFonts w:ascii="Courier New" w:cs="Courier New" w:eastAsia="Courier New" w:hAnsi="Courier New"/>
          <w:sz w:val="16"/>
          <w:szCs w:val="16"/>
          <w:color w:val="auto"/>
        </w:rPr>
        <w:t>Registration No. 333-63619</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Prospectus Supplement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30, 1998)</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[LOGO OF FEDERAL REALTY INVESTMENT TRUST]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$175,000,000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 3/4% Notes due December 1, 2009</w:t>
      </w:r>
    </w:p>
    <w:p>
      <w:pPr>
        <w:spacing w:after="0" w:line="195" w:lineRule="exact"/>
        <w:rPr>
          <w:sz w:val="24"/>
          <w:szCs w:val="24"/>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We will pay interest on the notes on a semi-annual basis on June 1 and Decem-ber 1 of each year, beginning June 1, 2000. Interest will accrue from November 30, 1999.</w:t>
      </w:r>
    </w:p>
    <w:p>
      <w:pPr>
        <w:spacing w:after="0" w:line="185" w:lineRule="exact"/>
        <w:rPr>
          <w:sz w:val="24"/>
          <w:szCs w:val="24"/>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We may redeem the notes in whole or in part at any time before maturity at the redemption price described on page S-21.</w:t>
      </w:r>
    </w:p>
    <w:p>
      <w:pPr>
        <w:spacing w:after="0" w:line="183" w:lineRule="exact"/>
        <w:rPr>
          <w:sz w:val="24"/>
          <w:szCs w:val="24"/>
          <w:color w:val="auto"/>
        </w:rPr>
      </w:pPr>
    </w:p>
    <w:p>
      <w:pPr>
        <w:ind w:right="3279"/>
        <w:spacing w:after="0" w:line="252" w:lineRule="auto"/>
        <w:rPr>
          <w:sz w:val="20"/>
          <w:szCs w:val="20"/>
          <w:color w:val="auto"/>
        </w:rPr>
      </w:pPr>
      <w:r>
        <w:rPr>
          <w:rFonts w:ascii="Courier New" w:cs="Courier New" w:eastAsia="Courier New" w:hAnsi="Courier New"/>
          <w:sz w:val="16"/>
          <w:szCs w:val="16"/>
          <w:color w:val="auto"/>
        </w:rPr>
        <w:t>The notes will be unsecured and will rank equally with all of our other unsecured senior indebtedness.</w:t>
      </w:r>
    </w:p>
    <w:p>
      <w:pPr>
        <w:spacing w:after="0" w:line="183" w:lineRule="exact"/>
        <w:rPr>
          <w:sz w:val="24"/>
          <w:szCs w:val="24"/>
          <w:color w:val="auto"/>
        </w:rPr>
      </w:pPr>
    </w:p>
    <w:p>
      <w:pPr>
        <w:jc w:val="both"/>
        <w:ind w:right="2699"/>
        <w:spacing w:after="0" w:line="249"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4"/>
          <w:szCs w:val="24"/>
          <w:color w:val="auto"/>
        </w:rPr>
      </w:pPr>
    </w:p>
    <w:p>
      <w:pPr>
        <w:ind w:left="980"/>
        <w:spacing w:after="0"/>
        <w:tabs>
          <w:tab w:leader="none" w:pos="2220" w:val="left"/>
        </w:tabs>
        <w:rPr>
          <w:sz w:val="20"/>
          <w:szCs w:val="20"/>
          <w:color w:val="auto"/>
        </w:rPr>
      </w:pPr>
      <w:r>
        <w:rPr>
          <w:rFonts w:ascii="Courier New" w:cs="Courier New" w:eastAsia="Courier New" w:hAnsi="Courier New"/>
          <w:sz w:val="16"/>
          <w:szCs w:val="16"/>
          <w:color w:val="auto"/>
        </w:rPr>
        <w:t>Price to</w:t>
      </w:r>
      <w:r>
        <w:rPr>
          <w:sz w:val="20"/>
          <w:szCs w:val="20"/>
          <w:color w:val="auto"/>
        </w:rPr>
        <w:tab/>
      </w:r>
      <w:r>
        <w:rPr>
          <w:rFonts w:ascii="Courier New" w:cs="Courier New" w:eastAsia="Courier New" w:hAnsi="Courier New"/>
          <w:sz w:val="16"/>
          <w:szCs w:val="16"/>
          <w:color w:val="auto"/>
        </w:rPr>
        <w:t>Discounts and Proceeds to</w:t>
      </w:r>
    </w:p>
    <w:p>
      <w:pPr>
        <w:spacing w:after="0" w:line="7" w:lineRule="exact"/>
        <w:rPr>
          <w:sz w:val="24"/>
          <w:szCs w:val="24"/>
          <w:color w:val="auto"/>
        </w:rPr>
      </w:pPr>
    </w:p>
    <w:p>
      <w:pPr>
        <w:ind w:left="980"/>
        <w:spacing w:after="0"/>
        <w:tabs>
          <w:tab w:leader="none" w:pos="2220" w:val="left"/>
          <w:tab w:leader="none" w:pos="3600" w:val="left"/>
        </w:tabs>
        <w:rPr>
          <w:sz w:val="20"/>
          <w:szCs w:val="20"/>
          <w:color w:val="auto"/>
        </w:rPr>
      </w:pPr>
      <w:r>
        <w:rPr>
          <w:rFonts w:ascii="Courier New" w:cs="Courier New" w:eastAsia="Courier New" w:hAnsi="Courier New"/>
          <w:sz w:val="16"/>
          <w:szCs w:val="16"/>
          <w:color w:val="auto"/>
        </w:rPr>
        <w:t>Public(1)</w:t>
      </w:r>
      <w:r>
        <w:rPr>
          <w:sz w:val="20"/>
          <w:szCs w:val="20"/>
          <w:color w:val="auto"/>
        </w:rPr>
        <w:tab/>
      </w:r>
      <w:r>
        <w:rPr>
          <w:rFonts w:ascii="Courier New" w:cs="Courier New" w:eastAsia="Courier New" w:hAnsi="Courier New"/>
          <w:sz w:val="16"/>
          <w:szCs w:val="16"/>
          <w:color w:val="auto"/>
        </w:rPr>
        <w:t>Commissions</w:t>
      </w:r>
      <w:r>
        <w:rPr>
          <w:sz w:val="20"/>
          <w:szCs w:val="20"/>
          <w:color w:val="auto"/>
        </w:rPr>
        <w:tab/>
      </w:r>
      <w:r>
        <w:rPr>
          <w:rFonts w:ascii="Courier New" w:cs="Courier New" w:eastAsia="Courier New" w:hAnsi="Courier New"/>
          <w:sz w:val="16"/>
          <w:szCs w:val="16"/>
          <w:color w:val="auto"/>
        </w:rPr>
        <w:t>us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Per note</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99.416%</w:t>
            </w:r>
          </w:p>
        </w:tc>
        <w:tc>
          <w:tcPr>
            <w:tcW w:w="1220" w:type="dxa"/>
            <w:vAlign w:val="bottom"/>
          </w:tcPr>
          <w:p>
            <w:pPr>
              <w:jc w:val="center"/>
              <w:ind w:right="439"/>
              <w:spacing w:after="0"/>
              <w:rPr>
                <w:sz w:val="20"/>
                <w:szCs w:val="20"/>
                <w:color w:val="auto"/>
              </w:rPr>
            </w:pPr>
            <w:r>
              <w:rPr>
                <w:rFonts w:ascii="Courier New" w:cs="Courier New" w:eastAsia="Courier New" w:hAnsi="Courier New"/>
                <w:sz w:val="16"/>
                <w:szCs w:val="16"/>
                <w:color w:val="auto"/>
              </w:rPr>
              <w:t>.650%</w:t>
            </w:r>
          </w:p>
        </w:tc>
        <w:tc>
          <w:tcPr>
            <w:tcW w:w="1520" w:type="dxa"/>
            <w:vAlign w:val="bottom"/>
          </w:tcPr>
          <w:p>
            <w:pPr>
              <w:ind w:left="160"/>
              <w:spacing w:after="0"/>
              <w:rPr>
                <w:sz w:val="20"/>
                <w:szCs w:val="20"/>
                <w:color w:val="auto"/>
              </w:rPr>
            </w:pPr>
            <w:r>
              <w:rPr>
                <w:rFonts w:ascii="Courier New" w:cs="Courier New" w:eastAsia="Courier New" w:hAnsi="Courier New"/>
                <w:sz w:val="16"/>
                <w:szCs w:val="16"/>
                <w:color w:val="auto"/>
              </w:rPr>
              <w:t>98.766%</w:t>
            </w:r>
          </w:p>
        </w:tc>
      </w:tr>
      <w:tr>
        <w:trPr>
          <w:trHeight w:val="188"/>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84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8"/>
        </w:trPr>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Total</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$173,978,000</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$1,137,500</w:t>
            </w:r>
          </w:p>
        </w:tc>
        <w:tc>
          <w:tcPr>
            <w:tcW w:w="1520" w:type="dxa"/>
            <w:vAlign w:val="bottom"/>
          </w:tcPr>
          <w:p>
            <w:pPr>
              <w:ind w:left="160"/>
              <w:spacing w:after="0"/>
              <w:rPr>
                <w:sz w:val="20"/>
                <w:szCs w:val="20"/>
                <w:color w:val="auto"/>
              </w:rPr>
            </w:pPr>
            <w:r>
              <w:rPr>
                <w:rFonts w:ascii="Courier New" w:cs="Courier New" w:eastAsia="Courier New" w:hAnsi="Courier New"/>
                <w:sz w:val="16"/>
                <w:szCs w:val="16"/>
                <w:color w:val="auto"/>
              </w:rPr>
              <w:t>$172,840,500</w:t>
            </w:r>
          </w:p>
        </w:tc>
      </w:tr>
      <w:tr>
        <w:trPr>
          <w:trHeight w:val="188"/>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84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4"/>
          <w:szCs w:val="24"/>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(1)Plus accrued interest from November 30, 1999, if settlement occurs after that date.</w:t>
      </w:r>
    </w:p>
    <w:p>
      <w:pPr>
        <w:spacing w:after="0" w:line="183" w:lineRule="exact"/>
        <w:rPr>
          <w:sz w:val="24"/>
          <w:szCs w:val="24"/>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The notes will be ready for delivery in book-entry form only through The De-pository Trust Company on or about November 30, 1999.</w:t>
      </w:r>
    </w:p>
    <w:p>
      <w:pPr>
        <w:spacing w:after="0" w:line="183" w:lineRule="exact"/>
        <w:rPr>
          <w:sz w:val="24"/>
          <w:szCs w:val="24"/>
          <w:color w:val="auto"/>
        </w:rPr>
      </w:pPr>
    </w:p>
    <w:p>
      <w:pPr>
        <w:spacing w:after="0"/>
        <w:tabs>
          <w:tab w:leader="none" w:pos="6040" w:val="left"/>
        </w:tabs>
        <w:rPr>
          <w:sz w:val="20"/>
          <w:szCs w:val="20"/>
          <w:color w:val="auto"/>
        </w:rPr>
      </w:pPr>
      <w:r>
        <w:rPr>
          <w:rFonts w:ascii="Courier New" w:cs="Courier New" w:eastAsia="Courier New" w:hAnsi="Courier New"/>
          <w:sz w:val="16"/>
          <w:szCs w:val="16"/>
          <w:color w:val="auto"/>
        </w:rPr>
        <w:t>Goldman, Sachs &amp; Co.</w:t>
      </w:r>
      <w:r>
        <w:rPr>
          <w:sz w:val="20"/>
          <w:szCs w:val="20"/>
          <w:color w:val="auto"/>
        </w:rPr>
        <w:tab/>
      </w:r>
      <w:r>
        <w:rPr>
          <w:rFonts w:ascii="Courier New" w:cs="Courier New" w:eastAsia="Courier New" w:hAnsi="Courier New"/>
          <w:sz w:val="16"/>
          <w:szCs w:val="16"/>
          <w:color w:val="auto"/>
        </w:rPr>
        <w:t>J.P. Morgan &amp; Co.</w:t>
      </w:r>
    </w:p>
    <w:p>
      <w:pPr>
        <w:spacing w:after="0" w:line="195"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First Union Securities, Inc.</w:t>
      </w:r>
    </w:p>
    <w:p>
      <w:pPr>
        <w:spacing w:after="0" w:line="195" w:lineRule="exact"/>
        <w:rPr>
          <w:sz w:val="24"/>
          <w:szCs w:val="24"/>
          <w:color w:val="auto"/>
        </w:rPr>
      </w:pPr>
    </w:p>
    <w:p>
      <w:pPr>
        <w:ind w:left="2340"/>
        <w:spacing w:after="0"/>
        <w:rPr>
          <w:sz w:val="20"/>
          <w:szCs w:val="20"/>
          <w:color w:val="auto"/>
        </w:rPr>
      </w:pPr>
      <w:r>
        <w:rPr>
          <w:rFonts w:ascii="Courier New" w:cs="Courier New" w:eastAsia="Courier New" w:hAnsi="Courier New"/>
          <w:sz w:val="16"/>
          <w:szCs w:val="16"/>
          <w:color w:val="auto"/>
        </w:rPr>
        <w:t>PNC Capital Markets, Inc.</w:t>
      </w:r>
    </w:p>
    <w:p>
      <w:pPr>
        <w:spacing w:after="0" w:line="195" w:lineRule="exact"/>
        <w:rPr>
          <w:sz w:val="24"/>
          <w:szCs w:val="24"/>
          <w:color w:val="auto"/>
        </w:rPr>
      </w:pPr>
    </w:p>
    <w:p>
      <w:pPr>
        <w:ind w:left="5480"/>
        <w:spacing w:after="0"/>
        <w:rPr>
          <w:sz w:val="20"/>
          <w:szCs w:val="20"/>
          <w:color w:val="auto"/>
        </w:rPr>
      </w:pPr>
      <w:r>
        <w:rPr>
          <w:rFonts w:ascii="Courier New" w:cs="Courier New" w:eastAsia="Courier New" w:hAnsi="Courier New"/>
          <w:sz w:val="16"/>
          <w:szCs w:val="16"/>
          <w:color w:val="auto"/>
        </w:rPr>
        <w:t>Warburg Dillon Read LLC</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November 23, 1999</w:t>
      </w:r>
    </w:p>
    <w:p>
      <w:pPr>
        <w:sectPr>
          <w:pgSz w:w="11900" w:h="16838" w:orient="portrait"/>
          <w:cols w:equalWidth="0" w:num="1">
            <w:col w:w="10219"/>
          </w:cols>
          <w:pgMar w:left="240" w:top="618" w:right="1440" w:bottom="1440" w:gutter="0" w:footer="0" w:header="0"/>
        </w:sectPr>
      </w:pPr>
    </w:p>
    <w:bookmarkStart w:id="1" w:name="page2"/>
    <w:bookmarkEnd w:id="1"/>
    <w:p>
      <w:pPr>
        <w:ind w:right="2699" w:firstLine="293"/>
        <w:spacing w:after="0" w:line="249" w:lineRule="auto"/>
        <w:rPr>
          <w:sz w:val="20"/>
          <w:szCs w:val="20"/>
          <w:color w:val="auto"/>
        </w:rPr>
      </w:pPr>
      <w:r>
        <w:rPr>
          <w:rFonts w:ascii="Courier New" w:cs="Courier New" w:eastAsia="Courier New" w:hAnsi="Courier New"/>
          <w:sz w:val="16"/>
          <w:szCs w:val="16"/>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and the accompanying prospectus is accurate as of their dates. Our business, financial condition, results of operations and prospects may have changed since then.</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7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Prospectus Supplement</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Federal Realty Investment Trust</w:t>
      </w:r>
      <w:r>
        <w:rPr>
          <w:sz w:val="20"/>
          <w:szCs w:val="20"/>
          <w:color w:val="auto"/>
        </w:rPr>
        <w:tab/>
      </w:r>
      <w:r>
        <w:rPr>
          <w:rFonts w:ascii="Courier New" w:cs="Courier New" w:eastAsia="Courier New" w:hAnsi="Courier New"/>
          <w:sz w:val="15"/>
          <w:szCs w:val="15"/>
          <w:color w:val="auto"/>
        </w:rPr>
        <w:t>S-3</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Recent Developments</w:t>
      </w:r>
      <w:r>
        <w:rPr>
          <w:sz w:val="20"/>
          <w:szCs w:val="20"/>
          <w:color w:val="auto"/>
        </w:rPr>
        <w:tab/>
      </w:r>
      <w:r>
        <w:rPr>
          <w:rFonts w:ascii="Courier New" w:cs="Courier New" w:eastAsia="Courier New" w:hAnsi="Courier New"/>
          <w:sz w:val="15"/>
          <w:szCs w:val="15"/>
          <w:color w:val="auto"/>
        </w:rPr>
        <w:t>S-4</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Ratios of Earnings to Fixed Charges</w:t>
      </w:r>
      <w:r>
        <w:rPr>
          <w:sz w:val="20"/>
          <w:szCs w:val="20"/>
          <w:color w:val="auto"/>
        </w:rPr>
        <w:tab/>
      </w:r>
      <w:r>
        <w:rPr>
          <w:rFonts w:ascii="Courier New" w:cs="Courier New" w:eastAsia="Courier New" w:hAnsi="Courier New"/>
          <w:sz w:val="15"/>
          <w:szCs w:val="15"/>
          <w:color w:val="auto"/>
        </w:rPr>
        <w:t>S-5</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5"/>
          <w:szCs w:val="15"/>
          <w:color w:val="auto"/>
        </w:rPr>
        <w:t>S-5</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Capitalization</w:t>
      </w:r>
      <w:r>
        <w:rPr>
          <w:sz w:val="20"/>
          <w:szCs w:val="20"/>
          <w:color w:val="auto"/>
        </w:rPr>
        <w:tab/>
      </w:r>
      <w:r>
        <w:rPr>
          <w:rFonts w:ascii="Courier New" w:cs="Courier New" w:eastAsia="Courier New" w:hAnsi="Courier New"/>
          <w:sz w:val="15"/>
          <w:szCs w:val="15"/>
          <w:color w:val="auto"/>
        </w:rPr>
        <w:t>S-6</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Selected Consolidated Financial Data</w:t>
      </w:r>
      <w:r>
        <w:rPr>
          <w:sz w:val="20"/>
          <w:szCs w:val="20"/>
          <w:color w:val="auto"/>
        </w:rPr>
        <w:tab/>
      </w:r>
      <w:r>
        <w:rPr>
          <w:rFonts w:ascii="Courier New" w:cs="Courier New" w:eastAsia="Courier New" w:hAnsi="Courier New"/>
          <w:sz w:val="15"/>
          <w:szCs w:val="15"/>
          <w:color w:val="auto"/>
        </w:rPr>
        <w:t>S-7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 Analysis of Financial Condition and Results</w:t>
      </w:r>
    </w:p>
    <w:p>
      <w:pPr>
        <w:spacing w:after="0" w:line="7" w:lineRule="exact"/>
        <w:rPr>
          <w:sz w:val="20"/>
          <w:szCs w:val="20"/>
          <w:color w:val="auto"/>
        </w:rPr>
      </w:pPr>
    </w:p>
    <w:p>
      <w:pPr>
        <w:ind w:left="100"/>
        <w:spacing w:after="0"/>
        <w:tabs>
          <w:tab w:leader="dot" w:pos="7220" w:val="left"/>
        </w:tabs>
        <w:rPr>
          <w:sz w:val="20"/>
          <w:szCs w:val="20"/>
          <w:color w:val="auto"/>
        </w:rPr>
      </w:pPr>
      <w:r>
        <w:rPr>
          <w:rFonts w:ascii="Courier New" w:cs="Courier New" w:eastAsia="Courier New" w:hAnsi="Courier New"/>
          <w:sz w:val="16"/>
          <w:szCs w:val="16"/>
          <w:color w:val="auto"/>
        </w:rPr>
        <w:t>of Operations</w:t>
      </w:r>
      <w:r>
        <w:rPr>
          <w:sz w:val="20"/>
          <w:szCs w:val="20"/>
          <w:color w:val="auto"/>
        </w:rPr>
        <w:tab/>
      </w:r>
      <w:r>
        <w:rPr>
          <w:rFonts w:ascii="Courier New" w:cs="Courier New" w:eastAsia="Courier New" w:hAnsi="Courier New"/>
          <w:sz w:val="15"/>
          <w:szCs w:val="15"/>
          <w:color w:val="auto"/>
        </w:rPr>
        <w:t>S-8</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Business Strategy</w:t>
      </w:r>
      <w:r>
        <w:rPr>
          <w:sz w:val="20"/>
          <w:szCs w:val="20"/>
          <w:color w:val="auto"/>
        </w:rPr>
        <w:tab/>
      </w:r>
      <w:r>
        <w:rPr>
          <w:rFonts w:ascii="Courier New" w:cs="Courier New" w:eastAsia="Courier New" w:hAnsi="Courier New"/>
          <w:sz w:val="15"/>
          <w:szCs w:val="15"/>
          <w:color w:val="auto"/>
        </w:rPr>
        <w:t>S-12</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Management</w:t>
      </w:r>
      <w:r>
        <w:rPr>
          <w:sz w:val="20"/>
          <w:szCs w:val="20"/>
          <w:color w:val="auto"/>
        </w:rPr>
        <w:tab/>
      </w:r>
      <w:r>
        <w:rPr>
          <w:rFonts w:ascii="Courier New" w:cs="Courier New" w:eastAsia="Courier New" w:hAnsi="Courier New"/>
          <w:sz w:val="15"/>
          <w:szCs w:val="15"/>
          <w:color w:val="auto"/>
        </w:rPr>
        <w:t>S-15</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Property Information</w:t>
      </w:r>
      <w:r>
        <w:rPr>
          <w:sz w:val="20"/>
          <w:szCs w:val="20"/>
          <w:color w:val="auto"/>
        </w:rPr>
        <w:tab/>
      </w:r>
      <w:r>
        <w:rPr>
          <w:rFonts w:ascii="Courier New" w:cs="Courier New" w:eastAsia="Courier New" w:hAnsi="Courier New"/>
          <w:sz w:val="15"/>
          <w:szCs w:val="15"/>
          <w:color w:val="auto"/>
        </w:rPr>
        <w:t>S-16</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Description of Notes</w:t>
      </w:r>
      <w:r>
        <w:rPr>
          <w:sz w:val="20"/>
          <w:szCs w:val="20"/>
          <w:color w:val="auto"/>
        </w:rPr>
        <w:tab/>
      </w:r>
      <w:r>
        <w:rPr>
          <w:rFonts w:ascii="Courier New" w:cs="Courier New" w:eastAsia="Courier New" w:hAnsi="Courier New"/>
          <w:sz w:val="15"/>
          <w:szCs w:val="15"/>
          <w:color w:val="auto"/>
        </w:rPr>
        <w:t>S-21</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Federal Income Tax Considerations</w:t>
      </w:r>
      <w:r>
        <w:rPr>
          <w:sz w:val="20"/>
          <w:szCs w:val="20"/>
          <w:color w:val="auto"/>
        </w:rPr>
        <w:tab/>
      </w:r>
      <w:r>
        <w:rPr>
          <w:rFonts w:ascii="Courier New" w:cs="Courier New" w:eastAsia="Courier New" w:hAnsi="Courier New"/>
          <w:sz w:val="15"/>
          <w:szCs w:val="15"/>
          <w:color w:val="auto"/>
        </w:rPr>
        <w:t>S-25</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Underwriting</w:t>
      </w:r>
      <w:r>
        <w:rPr>
          <w:sz w:val="20"/>
          <w:szCs w:val="20"/>
          <w:color w:val="auto"/>
        </w:rPr>
        <w:tab/>
      </w:r>
      <w:r>
        <w:rPr>
          <w:rFonts w:ascii="Courier New" w:cs="Courier New" w:eastAsia="Courier New" w:hAnsi="Courier New"/>
          <w:sz w:val="15"/>
          <w:szCs w:val="15"/>
          <w:color w:val="auto"/>
        </w:rPr>
        <w:t>S-27</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5"/>
          <w:szCs w:val="15"/>
          <w:color w:val="auto"/>
        </w:rPr>
        <w:t>S-27</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Prospectus</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Available Information</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Incorporation of Certain Documents by Reference</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The Trust</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Ratios of Earnings to Fixed Charges</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Description of Debt Securities</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Description of Preferred Shares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Description of Common Shares</w:t>
      </w:r>
      <w:r>
        <w:rPr>
          <w:sz w:val="20"/>
          <w:szCs w:val="20"/>
          <w:color w:val="auto"/>
        </w:rPr>
        <w:tab/>
      </w:r>
      <w:r>
        <w:rPr>
          <w:rFonts w:ascii="Courier New" w:cs="Courier New" w:eastAsia="Courier New" w:hAnsi="Courier New"/>
          <w:sz w:val="16"/>
          <w:szCs w:val="16"/>
          <w:color w:val="auto"/>
        </w:rPr>
        <w:t>22</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Federal Income Tax Considerations</w:t>
      </w:r>
      <w:r>
        <w:rPr>
          <w:sz w:val="20"/>
          <w:szCs w:val="20"/>
          <w:color w:val="auto"/>
        </w:rPr>
        <w:tab/>
      </w:r>
      <w:r>
        <w:rPr>
          <w:rFonts w:ascii="Courier New" w:cs="Courier New" w:eastAsia="Courier New" w:hAnsi="Courier New"/>
          <w:sz w:val="16"/>
          <w:szCs w:val="16"/>
          <w:color w:val="auto"/>
        </w:rPr>
        <w:t>23</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Plan of Distribution</w:t>
      </w:r>
      <w:r>
        <w:rPr>
          <w:sz w:val="20"/>
          <w:szCs w:val="20"/>
          <w:color w:val="auto"/>
        </w:rPr>
        <w:tab/>
      </w:r>
      <w:r>
        <w:rPr>
          <w:rFonts w:ascii="Courier New" w:cs="Courier New" w:eastAsia="Courier New" w:hAnsi="Courier New"/>
          <w:sz w:val="16"/>
          <w:szCs w:val="16"/>
          <w:color w:val="auto"/>
        </w:rPr>
        <w:t>24</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Legal Opinions</w:t>
      </w:r>
      <w:r>
        <w:rPr>
          <w:sz w:val="20"/>
          <w:szCs w:val="20"/>
          <w:color w:val="auto"/>
        </w:rPr>
        <w:tab/>
      </w:r>
      <w:r>
        <w:rPr>
          <w:rFonts w:ascii="Courier New" w:cs="Courier New" w:eastAsia="Courier New" w:hAnsi="Courier New"/>
          <w:sz w:val="16"/>
          <w:szCs w:val="16"/>
          <w:color w:val="auto"/>
        </w:rPr>
        <w:t>25</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25</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680" w:right="1440" w:bottom="1440" w:gutter="0" w:footer="0" w:header="0"/>
        </w:sectPr>
      </w:pPr>
    </w:p>
    <w:bookmarkStart w:id="2" w:name="page3"/>
    <w:bookmarkEnd w:id="2"/>
    <w:p>
      <w:pPr>
        <w:jc w:val="center"/>
        <w:ind w:right="2499"/>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Founded in 1962, we are a self-administered equity real estate investment trust that owns, manages, develops and redevelops prime retail properties in the Northeast, Mid-Atlantic and West Coast regions. At September 30, 1999, we owned 123 retail properties and one apartment complex. We have traditionally focused our investment efforts on undervalued community and neighborhood shopping centers anchored by supermarkets, drug stores or high volume, value oriented retailers providing consumer goods. After acquiring these types of properties, we have significantly enhanced their operating performance through renovation, expansion, reconfiguration and retenanting programs. With our investment in late 1993 in four city blocks of downtown Bethesda, Maryland, we began the expansion of our traditional investment focus to include "Main Street Retail" properties--retail buildings and mixed-use properties in prime urban shopping areas. Recognizing a trend of consumer shopping preferences and retailer expansion to main streets, in 1994, we formed a wholly owned subsidiary, Street Retail Inc., to pursue this investment strategy. Today, we are the largest landlord on a number of dynamic main streets. We also have an inventory of land parcels under our control for the purpose of developing multi-use projects that center around the retail component.</w:t>
      </w:r>
    </w:p>
    <w:p>
      <w:pPr>
        <w:spacing w:after="0" w:line="186"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have traditionally operated the company as a single business segment. During the fourth quarter of 1998, however, we changed our operating structure to an asset management model, where small, focused teams are responsible for a portfolio of assets. As a result, we have divided our portfolio of properties into three operating regions: the Northeast, the Mid-Atlantic and the West Coast. Each region is operated under the direction of a regional chief operating officer, with dedicated leasing, property management and financial staffs.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continually evaluate our properties for renovation, retenanting and expansion opportunities. Similarly, we regularly review our portfolio and from time to time consider selling certain of our properties. Our operating results are affected by general economic and real estate conditions, including conditions specific to the markets where our properties are located.</w:t>
      </w:r>
    </w:p>
    <w:p>
      <w:pPr>
        <w:spacing w:after="0" w:line="187" w:lineRule="exact"/>
        <w:rPr>
          <w:sz w:val="20"/>
          <w:szCs w:val="20"/>
          <w:color w:val="auto"/>
        </w:rPr>
      </w:pPr>
    </w:p>
    <w:p>
      <w:pPr>
        <w:ind w:right="2879" w:firstLine="293"/>
        <w:spacing w:after="0" w:line="252" w:lineRule="auto"/>
        <w:rPr>
          <w:sz w:val="20"/>
          <w:szCs w:val="20"/>
          <w:color w:val="auto"/>
        </w:rPr>
      </w:pPr>
      <w:r>
        <w:rPr>
          <w:rFonts w:ascii="Courier New" w:cs="Courier New" w:eastAsia="Courier New" w:hAnsi="Courier New"/>
          <w:sz w:val="16"/>
          <w:szCs w:val="16"/>
          <w:color w:val="auto"/>
        </w:rPr>
        <w:t>We have benefited, and expect to continue to benefit, from the following characteristics of our operations:</w:t>
      </w:r>
    </w:p>
    <w:p>
      <w:pPr>
        <w:spacing w:after="0" w:line="183" w:lineRule="exact"/>
        <w:rPr>
          <w:sz w:val="20"/>
          <w:szCs w:val="20"/>
          <w:color w:val="auto"/>
        </w:rPr>
      </w:pPr>
    </w:p>
    <w:p>
      <w:pPr>
        <w:ind w:left="400" w:right="3079" w:hanging="204"/>
        <w:spacing w:after="0" w:line="250" w:lineRule="auto"/>
        <w:tabs>
          <w:tab w:leader="none" w:pos="4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Contractual rents. During the twelve months ended September 30, 1999, 97.6% of our retail rental income was contractual minimum rent plus expense recoveries and was not derived from percentage rents.</w:t>
      </w:r>
    </w:p>
    <w:p>
      <w:pPr>
        <w:spacing w:after="0" w:line="185" w:lineRule="exact"/>
        <w:rPr>
          <w:sz w:val="20"/>
          <w:szCs w:val="20"/>
          <w:color w:val="auto"/>
        </w:rPr>
      </w:pPr>
    </w:p>
    <w:p>
      <w:pPr>
        <w:ind w:left="400" w:right="2879" w:hanging="204"/>
        <w:spacing w:after="0" w:line="250"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Diverse tenant base. In 1998, our retail rental income was derived from approximately 2,300 tenants, with no single tenant or corporate entity accounting for more than 3% of our retail rental income.</w:t>
      </w:r>
    </w:p>
    <w:p>
      <w:pPr>
        <w:spacing w:after="0" w:line="185" w:lineRule="exact"/>
        <w:rPr>
          <w:sz w:val="20"/>
          <w:szCs w:val="20"/>
          <w:color w:val="auto"/>
        </w:rPr>
      </w:pPr>
    </w:p>
    <w:p>
      <w:pPr>
        <w:ind w:left="400" w:right="2699" w:hanging="204"/>
        <w:spacing w:after="0" w:line="249" w:lineRule="auto"/>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growth. Property net operating income (rental income plus other property income, less rental expenses and real estate taxes) increased at an annual average rate of 7.4% over the past five years, increasing from $83 million in 1994 to $110 million in 1998 for properties owned during all of the periods.</w:t>
      </w:r>
    </w:p>
    <w:p>
      <w:pPr>
        <w:spacing w:after="0" w:line="187" w:lineRule="exact"/>
        <w:rPr>
          <w:sz w:val="20"/>
          <w:szCs w:val="20"/>
          <w:color w:val="auto"/>
        </w:rPr>
      </w:pPr>
    </w:p>
    <w:p>
      <w:pPr>
        <w:ind w:left="400" w:right="2799" w:hanging="204"/>
        <w:spacing w:after="0" w:line="249" w:lineRule="auto"/>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Favorable lease structure. Our typical shopping center lease includes provisions for at least partial recapture of property operating expenses and real estate taxes. Through September 30, 1999, we recovered 81% of property operating expenses and 73% of real estate taxes.</w:t>
      </w:r>
    </w:p>
    <w:p>
      <w:pPr>
        <w:spacing w:after="0" w:line="188" w:lineRule="exact"/>
        <w:rPr>
          <w:sz w:val="20"/>
          <w:szCs w:val="20"/>
          <w:color w:val="auto"/>
        </w:rPr>
      </w:pPr>
    </w:p>
    <w:p>
      <w:pPr>
        <w:ind w:left="400" w:right="2699" w:hanging="204"/>
        <w:spacing w:after="0" w:line="249" w:lineRule="auto"/>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Strong demand for our assets. During the twelve months ended September 30, 1999, we signed leases for 1,444,000 square feet of retail space. On a same space basis, we re-leased 1,075,000 square feet of retail space at an average increase in rent per square foot of 20%.</w:t>
      </w:r>
    </w:p>
    <w:p>
      <w:pPr>
        <w:spacing w:after="0" w:line="188" w:lineRule="exact"/>
        <w:rPr>
          <w:sz w:val="20"/>
          <w:szCs w:val="20"/>
          <w:color w:val="auto"/>
        </w:rPr>
      </w:pPr>
    </w:p>
    <w:p>
      <w:pPr>
        <w:ind w:left="400" w:right="2979" w:hanging="204"/>
        <w:spacing w:after="0" w:line="250"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Excellent demographics. Our properties tend to be located in densely populated, affluent markets where limited land availability and zoning restrictions limit the development of new competitive products.</w:t>
      </w:r>
    </w:p>
    <w:p>
      <w:pPr>
        <w:spacing w:after="0" w:line="185" w:lineRule="exact"/>
        <w:rPr>
          <w:sz w:val="20"/>
          <w:szCs w:val="20"/>
          <w:color w:val="auto"/>
        </w:rPr>
      </w:pPr>
    </w:p>
    <w:p>
      <w:pPr>
        <w:ind w:left="400" w:right="2699" w:hanging="204"/>
        <w:spacing w:after="0" w:line="249" w:lineRule="auto"/>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 term operating history. Since we were founded, our revenues have increased consistently through many real estate and economic cycles. As a result, we have been able to increase our common dividend each and every year for the past 32 years.</w:t>
      </w:r>
    </w:p>
    <w:p>
      <w:pPr>
        <w:spacing w:after="0" w:line="188" w:lineRule="exact"/>
        <w:rPr>
          <w:sz w:val="20"/>
          <w:szCs w:val="20"/>
          <w:color w:val="auto"/>
        </w:rPr>
      </w:pPr>
    </w:p>
    <w:p>
      <w:pPr>
        <w:jc w:val="both"/>
        <w:ind w:right="2699" w:firstLine="293"/>
        <w:spacing w:after="0" w:line="250" w:lineRule="auto"/>
        <w:rPr>
          <w:sz w:val="20"/>
          <w:szCs w:val="20"/>
          <w:color w:val="auto"/>
        </w:rPr>
      </w:pPr>
      <w:r>
        <w:rPr>
          <w:rFonts w:ascii="Courier New" w:cs="Courier New" w:eastAsia="Courier New" w:hAnsi="Courier New"/>
          <w:sz w:val="16"/>
          <w:szCs w:val="16"/>
          <w:color w:val="auto"/>
        </w:rPr>
        <w:t>We are organized as a Maryland real estate investment trust. Our executive offices are located at 1626 East Jefferson Street, Rockville, Maryland 20852 and our telephone number is (301) 998-8100.</w:t>
      </w: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219"/>
          </w:cols>
          <w:pgMar w:left="240" w:top="680" w:right="1440" w:bottom="939" w:gutter="0" w:footer="0" w:header="0"/>
        </w:sectPr>
      </w:pPr>
    </w:p>
    <w:bookmarkStart w:id="3" w:name="page4"/>
    <w:bookmarkEnd w:id="3"/>
    <w:p>
      <w:pPr>
        <w:ind w:left="2940"/>
        <w:spacing w:after="0"/>
        <w:rPr>
          <w:sz w:val="20"/>
          <w:szCs w:val="20"/>
          <w:color w:val="auto"/>
        </w:rPr>
      </w:pPr>
      <w:r>
        <w:rPr>
          <w:rFonts w:ascii="Courier New" w:cs="Courier New" w:eastAsia="Courier New" w:hAnsi="Courier New"/>
          <w:sz w:val="16"/>
          <w:szCs w:val="16"/>
          <w:color w:val="auto"/>
        </w:rPr>
        <w:t>RECENT DEVELOPMENTS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 Quarter Operating Results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On November 3, 1999, we announced our operating results for the third quarter of 1999. Our track record of increasing operating results continued as funds from operations for the third quarter of 1999 increased 14% to $24.4 million from $21.4 million in the third quarter of 1998. Funds from operations also improved for the first nine months of 1999, increasing 14% to $72.3 million from $63.6 million in 1998. At September 30, 1999, our overall stabilized occupancy was 95%. Excluding a property that has been sold since September 30, 1999, the overall stabilized occupancy was 96%. During the third quarter of 1999, we signed leases for 430,000 square feet of retail space. On a same space basis, we re-leased 324,000 square feet of retail space at an average increase in rent per square foot of 27%. The weighted average rent on these leases was $20.34 per square foot compared to the previous average rent of $16.02 per square foot. A comparison of property operations for the third quarter of 1999 versus the third quarter of 1998 shows the following:</w:t>
      </w:r>
    </w:p>
    <w:p>
      <w:pPr>
        <w:spacing w:after="0" w:line="187" w:lineRule="exact"/>
        <w:rPr>
          <w:sz w:val="20"/>
          <w:szCs w:val="20"/>
          <w:color w:val="auto"/>
        </w:rPr>
      </w:pPr>
    </w:p>
    <w:p>
      <w:pPr>
        <w:ind w:left="400" w:right="2879" w:hanging="204"/>
        <w:spacing w:after="0" w:line="249"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Rental income increased 12% to $62.0 million in 1999 from $55.4 million in 1998. When adjusted to exclude properties acquired and sold during 1998 and 1999, rental income increased 7% to $57.9 million in 1999 from $54.2 million in 1998.</w:t>
      </w:r>
    </w:p>
    <w:p>
      <w:pPr>
        <w:spacing w:after="0" w:line="188" w:lineRule="exact"/>
        <w:rPr>
          <w:sz w:val="20"/>
          <w:szCs w:val="20"/>
          <w:color w:val="auto"/>
        </w:rPr>
      </w:pPr>
    </w:p>
    <w:p>
      <w:pPr>
        <w:ind w:left="400" w:right="2879" w:hanging="204"/>
        <w:spacing w:after="0" w:line="250"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operating income increased 17% to $47.8 million in 1999 from $40.9 million in 1998. On a same center basis, net operating income increased 11% to $44.4 million in 1999 from $39.9 million in 1998.</w:t>
      </w:r>
    </w:p>
    <w:p>
      <w:pPr>
        <w:spacing w:after="0" w:line="185" w:lineRule="exact"/>
        <w:rPr>
          <w:sz w:val="20"/>
          <w:szCs w:val="20"/>
          <w:color w:val="auto"/>
        </w:rPr>
      </w:pPr>
    </w:p>
    <w:p>
      <w:pPr>
        <w:ind w:left="400" w:right="3379" w:hanging="204"/>
        <w:spacing w:after="0" w:line="250"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margins, defined as property net operating income as a percentage of property revenues, improved from 68.8% for the third quarter of 1998 to 70.2% for the third quarter of 1999.</w:t>
      </w:r>
    </w:p>
    <w:p>
      <w:pPr>
        <w:spacing w:after="0" w:line="18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Also during the third quarter of 1999, in continuing to explore strategic alternatives to maximize shareholder value, we considered spinning off certain of our assets (primarily those related to the development and operation of our Main Street Retail program) in a taxable transaction to shareholders. Shortly thereafter, our remaining assets were to be merged with another publicly traded shopping center company in exchange for cash and stock consideration. On September 24, 1999, we announced that the merger negotiations were terminated and that the spin off was being reevaluated. Although there are currently no plans to consummate a spin off or merger transaction, management continues to evaluate ways to maximize shareholder values and has renewed its focus on maximizing the profitability of our operating portfolio.</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Creation of Chief Operating Officer Position</w:t>
      </w:r>
    </w:p>
    <w:p>
      <w:pPr>
        <w:spacing w:after="0" w:line="19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On November 3, 1999, we announced the appointment of Donald C. Wood as Chief Operating Officer. Our regional asset management approach, which was implemented in 1998, coupled with a compensation program tied to achievement of regional goals, has been recognized as an effective way to reduce bureaucracy and empower and develop key managers. The Chief Operating Officer will have direct responsibility for the operating and financial performance and the long-term value enhancement of our operating properties.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Redevelopments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During the first nine months of 1999, we acquired a 90% interest in three buildings in Hollywood, California for a total cash investment by us of $23.7 million. The first two buildings contain 120,000 and 64,000 leasable square feet, respectively. The third building is vacant pending redevelopment. In addition, during the first nine months of 1999, we invested $7.2 million in mortgage notes receivable with an average weighted interest rate of 10%. Though we believe that current market conditions generally do not favor acquisitions, we will continue to purchase assets that support favorable risk-adjusted returns.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intend to continue our practice of redeveloping and expanding properties within our portfolio. During the first nine months of 1999, we spent $45 million for the renovation and redevelopment of certain properties. We believe that the risk-adjusted returns on these projects are beneficial to shareholders in addition to enhancing the long-term value of these properties.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Financings</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We primarily utilize our $300 million unsecured line of credit to fund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capital expenditures. As of November 1, 1999, there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$205.0 million outstanding under our credit facility. Our credit facility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entered into in December 1997 for a term of five years. Borrowings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facility bear interest at 65 basis points over the London Interbank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Offered Rate ("LIBOR"). The weighted average interest rate on borrowings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nine months ended</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19"/>
          </w:cols>
          <w:pgMar w:left="240" w:top="680" w:right="1440" w:bottom="0" w:gutter="0" w:footer="0" w:header="0"/>
        </w:sectPr>
      </w:pPr>
    </w:p>
    <w:bookmarkStart w:id="4" w:name="page5"/>
    <w:bookmarkEnd w:id="4"/>
    <w:p>
      <w:pPr>
        <w:ind w:right="2599"/>
        <w:spacing w:after="0" w:line="250" w:lineRule="auto"/>
        <w:rPr>
          <w:sz w:val="20"/>
          <w:szCs w:val="20"/>
          <w:color w:val="auto"/>
        </w:rPr>
      </w:pPr>
      <w:r>
        <w:rPr>
          <w:rFonts w:ascii="Courier New" w:cs="Courier New" w:eastAsia="Courier New" w:hAnsi="Courier New"/>
          <w:sz w:val="16"/>
          <w:szCs w:val="16"/>
          <w:color w:val="auto"/>
        </w:rPr>
        <w:t>September 30, 1999 was 5.9%. Our credit facility requires fees and has various covenants including maintenance of a minimum shareholders' equity and maximum ratio of debt to net worth.</w:t>
      </w:r>
    </w:p>
    <w:p>
      <w:pPr>
        <w:spacing w:after="0" w:line="185" w:lineRule="exact"/>
        <w:rPr>
          <w:sz w:val="20"/>
          <w:szCs w:val="20"/>
          <w:color w:val="auto"/>
        </w:rPr>
      </w:pPr>
    </w:p>
    <w:p>
      <w:pPr>
        <w:ind w:right="2799" w:firstLine="293"/>
        <w:spacing w:after="0" w:line="249" w:lineRule="auto"/>
        <w:rPr>
          <w:sz w:val="20"/>
          <w:szCs w:val="20"/>
          <w:color w:val="auto"/>
        </w:rPr>
      </w:pPr>
      <w:r>
        <w:rPr>
          <w:rFonts w:ascii="Courier New" w:cs="Courier New" w:eastAsia="Courier New" w:hAnsi="Courier New"/>
          <w:sz w:val="16"/>
          <w:szCs w:val="16"/>
          <w:color w:val="auto"/>
        </w:rPr>
        <w:t>In October 1999, we sold Northeast Plaza Shopping Center in Atlanta, Georgia for $19.6 million in cash, realizing a loss of $6.4 million. Separately, mortgage notes receivable of $5.3 million were repaid in October 1999. The cash proceeds from these transactions were used to pay down our credit facility.</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95" w:lineRule="exact"/>
        <w:rPr>
          <w:sz w:val="20"/>
          <w:szCs w:val="20"/>
          <w:color w:val="auto"/>
        </w:rPr>
      </w:pPr>
    </w:p>
    <w:p>
      <w:pPr>
        <w:ind w:right="2599" w:firstLine="293"/>
        <w:spacing w:after="0" w:line="252" w:lineRule="auto"/>
        <w:rPr>
          <w:sz w:val="20"/>
          <w:szCs w:val="20"/>
          <w:color w:val="auto"/>
        </w:rPr>
      </w:pPr>
      <w:r>
        <w:rPr>
          <w:rFonts w:ascii="Courier New" w:cs="Courier New" w:eastAsia="Courier New" w:hAnsi="Courier New"/>
          <w:sz w:val="16"/>
          <w:szCs w:val="16"/>
          <w:color w:val="auto"/>
        </w:rPr>
        <w:t>The following table sets forth our consolidated ratios of earnings to fixed charges for the periods shown:</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20" w:type="dxa"/>
            <w:vAlign w:val="bottom"/>
          </w:tcPr>
          <w:p>
            <w:pPr>
              <w:ind w:left="300"/>
              <w:spacing w:after="0"/>
              <w:rPr>
                <w:sz w:val="20"/>
                <w:szCs w:val="20"/>
                <w:color w:val="auto"/>
              </w:rPr>
            </w:pPr>
            <w:r>
              <w:rPr>
                <w:rFonts w:ascii="Courier New" w:cs="Courier New" w:eastAsia="Courier New" w:hAnsi="Courier New"/>
                <w:sz w:val="16"/>
                <w:szCs w:val="16"/>
                <w:color w:val="auto"/>
              </w:rPr>
              <w:t>Nine Months Ended</w:t>
            </w:r>
          </w:p>
        </w:tc>
        <w:tc>
          <w:tcPr>
            <w:tcW w:w="820" w:type="dxa"/>
            <w:vAlign w:val="bottom"/>
          </w:tcPr>
          <w:p>
            <w:pPr>
              <w:spacing w:after="0"/>
              <w:rPr>
                <w:sz w:val="15"/>
                <w:szCs w:val="15"/>
                <w:color w:val="auto"/>
              </w:rPr>
            </w:pPr>
          </w:p>
        </w:tc>
      </w:tr>
      <w:tr>
        <w:trPr>
          <w:trHeight w:val="188"/>
        </w:trPr>
        <w:tc>
          <w:tcPr>
            <w:tcW w:w="25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Year Ended December</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20" w:type="dxa"/>
            <w:vAlign w:val="bottom"/>
          </w:tcPr>
          <w:p>
            <w:pPr>
              <w:ind w:left="500"/>
              <w:spacing w:after="0"/>
              <w:rPr>
                <w:sz w:val="20"/>
                <w:szCs w:val="20"/>
                <w:color w:val="auto"/>
              </w:rPr>
            </w:pPr>
            <w:r>
              <w:rPr>
                <w:rFonts w:ascii="Courier New" w:cs="Courier New" w:eastAsia="Courier New" w:hAnsi="Courier New"/>
                <w:sz w:val="16"/>
                <w:szCs w:val="16"/>
                <w:color w:val="auto"/>
              </w:rPr>
              <w:t>September 30,</w:t>
            </w:r>
          </w:p>
        </w:tc>
        <w:tc>
          <w:tcPr>
            <w:tcW w:w="820" w:type="dxa"/>
            <w:vAlign w:val="bottom"/>
          </w:tcPr>
          <w:p>
            <w:pPr>
              <w:spacing w:after="0"/>
              <w:rPr>
                <w:sz w:val="16"/>
                <w:szCs w:val="16"/>
                <w:color w:val="auto"/>
              </w:rPr>
            </w:pPr>
          </w:p>
        </w:tc>
      </w:tr>
      <w:tr>
        <w:trPr>
          <w:trHeight w:val="188"/>
        </w:trPr>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1160" w:type="dxa"/>
            <w:vAlign w:val="bottom"/>
          </w:tcPr>
          <w:p>
            <w:pPr>
              <w:ind w:left="280"/>
              <w:spacing w:after="0"/>
              <w:rPr>
                <w:sz w:val="20"/>
                <w:szCs w:val="20"/>
                <w:color w:val="auto"/>
              </w:rPr>
            </w:pPr>
            <w:r>
              <w:rPr>
                <w:rFonts w:ascii="Courier New" w:cs="Courier New" w:eastAsia="Courier New" w:hAnsi="Courier New"/>
                <w:sz w:val="16"/>
                <w:szCs w:val="16"/>
                <w:color w:val="auto"/>
              </w:rPr>
              <w:t>1998</w:t>
            </w:r>
          </w:p>
        </w:tc>
        <w:tc>
          <w:tcPr>
            <w:tcW w:w="2020" w:type="dxa"/>
            <w:vAlign w:val="bottom"/>
          </w:tcPr>
          <w:p>
            <w:pPr>
              <w:ind w:left="700"/>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120" w:type="dxa"/>
            <w:vAlign w:val="bottom"/>
          </w:tcPr>
          <w:p>
            <w:pPr>
              <w:spacing w:after="0"/>
              <w:rPr>
                <w:sz w:val="20"/>
                <w:szCs w:val="20"/>
                <w:color w:val="auto"/>
              </w:rPr>
            </w:pPr>
            <w:r>
              <w:rPr>
                <w:rFonts w:ascii="Courier New" w:cs="Courier New" w:eastAsia="Courier New" w:hAnsi="Courier New"/>
                <w:sz w:val="16"/>
                <w:szCs w:val="16"/>
                <w:color w:val="auto"/>
              </w:rPr>
              <w:t>1.61x</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1.55x</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1.59x</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1.70x</w:t>
            </w:r>
          </w:p>
        </w:tc>
        <w:tc>
          <w:tcPr>
            <w:tcW w:w="1160" w:type="dxa"/>
            <w:vAlign w:val="bottom"/>
          </w:tcPr>
          <w:p>
            <w:pPr>
              <w:ind w:left="280"/>
              <w:spacing w:after="0"/>
              <w:rPr>
                <w:sz w:val="20"/>
                <w:szCs w:val="20"/>
                <w:color w:val="auto"/>
              </w:rPr>
            </w:pPr>
            <w:r>
              <w:rPr>
                <w:rFonts w:ascii="Courier New" w:cs="Courier New" w:eastAsia="Courier New" w:hAnsi="Courier New"/>
                <w:sz w:val="16"/>
                <w:szCs w:val="16"/>
                <w:color w:val="auto"/>
              </w:rPr>
              <w:t>1.65x</w:t>
            </w:r>
          </w:p>
        </w:tc>
        <w:tc>
          <w:tcPr>
            <w:tcW w:w="2020" w:type="dxa"/>
            <w:vAlign w:val="bottom"/>
          </w:tcPr>
          <w:p>
            <w:pPr>
              <w:ind w:left="700"/>
              <w:spacing w:after="0"/>
              <w:rPr>
                <w:sz w:val="20"/>
                <w:szCs w:val="20"/>
                <w:color w:val="auto"/>
              </w:rPr>
            </w:pPr>
            <w:r>
              <w:rPr>
                <w:rFonts w:ascii="Courier New" w:cs="Courier New" w:eastAsia="Courier New" w:hAnsi="Courier New"/>
                <w:sz w:val="16"/>
                <w:szCs w:val="16"/>
                <w:color w:val="auto"/>
              </w:rPr>
              <w:t>1.63x</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1.71x</w:t>
            </w:r>
          </w:p>
        </w:tc>
      </w:tr>
    </w:tbl>
    <w:p>
      <w:pPr>
        <w:spacing w:after="0" w:line="380"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ratios of earnings to fixed charges were computed by dividing earnings by fixed charges. For this purpose, earnings consist of income before gain on sale of real estate and fixed charges. Fixed charges consist of interest expense (including interest costs capitalized) and the portion of rent expense representing an interest factor. The ratio of earnings to combined fixed charges and preferred dividends was 1.64x and 1.46x for the years ended December 31, 1997 and 1998 and 1.43x and 1.54x for the nine months ended September 30, 1998 and 1999. There were no preferred dividends paid prior to 1997; as a result, the ratio of earnings to combined fixed charges and preferred dividends for the years ended December 31, 1994 through 1996 are unchanged from the ratios presented above.</w:t>
      </w:r>
    </w:p>
    <w:p>
      <w:pPr>
        <w:spacing w:after="0" w:line="18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USE OF PROCEEDS</w:t>
      </w:r>
    </w:p>
    <w:p>
      <w:pPr>
        <w:spacing w:after="0" w:line="195" w:lineRule="exact"/>
        <w:rPr>
          <w:sz w:val="20"/>
          <w:szCs w:val="20"/>
          <w:color w:val="auto"/>
        </w:rPr>
      </w:pPr>
    </w:p>
    <w:p>
      <w:pPr>
        <w:ind w:right="2879" w:firstLine="293"/>
        <w:spacing w:after="0" w:line="249" w:lineRule="auto"/>
        <w:rPr>
          <w:sz w:val="20"/>
          <w:szCs w:val="20"/>
          <w:color w:val="auto"/>
        </w:rPr>
      </w:pPr>
      <w:r>
        <w:rPr>
          <w:rFonts w:ascii="Courier New" w:cs="Courier New" w:eastAsia="Courier New" w:hAnsi="Courier New"/>
          <w:sz w:val="16"/>
          <w:szCs w:val="16"/>
          <w:color w:val="auto"/>
        </w:rPr>
        <w:t>The net proceeds to us from the sale of the notes offered hereby are estimated to be $172.8 million less expenses of this offering. We intend to use $100 million of the proceeds to repay our senior notes that mature on January 15, 2000 and the remainder to pay down our credit facility.</w:t>
      </w:r>
    </w:p>
    <w:p>
      <w:pPr>
        <w:spacing w:after="0" w:line="188"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At September 30, 1999, the interest rate on our credit facility was 5.9% and at November 1, 1999, there was $205.0 million outstanding. Affiliates of First Union Securities, Inc., PNC Capital Markets, Inc. and Warburg Dillon Read LLC, three of the underwriters of the offering, are lenders on our credit facility and, upon application of the net proceeds from the offering of the notes, will receive their proportionate share of the amount of the credit facility to be repaid.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10219"/>
          </w:cols>
          <w:pgMar w:left="240" w:top="680" w:right="1440" w:bottom="1440" w:gutter="0" w:footer="0" w:header="0"/>
        </w:sectPr>
      </w:pPr>
    </w:p>
    <w:bookmarkStart w:id="5" w:name="page6"/>
    <w:bookmarkEnd w:id="5"/>
    <w:p>
      <w:pPr>
        <w:jc w:val="center"/>
        <w:ind w:right="2599"/>
        <w:spacing w:after="0"/>
        <w:rPr>
          <w:sz w:val="20"/>
          <w:szCs w:val="20"/>
          <w:color w:val="auto"/>
        </w:rPr>
      </w:pPr>
      <w:r>
        <w:rPr>
          <w:rFonts w:ascii="Courier New" w:cs="Courier New" w:eastAsia="Courier New" w:hAnsi="Courier New"/>
          <w:sz w:val="16"/>
          <w:szCs w:val="16"/>
          <w:color w:val="auto"/>
        </w:rPr>
        <w:t>CAPITALIZATION</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following table sets forth our capitalization as of September 30, 1999, and as adjusted to give effect to the sale of the notes offered hereby and application of a portion of the proceeds therefrom to repay $100 million of senior notes that mature on January 15, 2000.</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September 30, 1999</w:t>
            </w:r>
          </w:p>
        </w:tc>
      </w:tr>
      <w:tr>
        <w:trPr>
          <w:trHeight w:val="188"/>
        </w:trPr>
        <w:tc>
          <w:tcPr>
            <w:tcW w:w="5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w:t>
            </w:r>
          </w:p>
        </w:tc>
      </w:tr>
      <w:tr>
        <w:trPr>
          <w:trHeight w:val="188"/>
        </w:trPr>
        <w:tc>
          <w:tcPr>
            <w:tcW w:w="5040" w:type="dxa"/>
            <w:vAlign w:val="bottom"/>
          </w:tcPr>
          <w:p>
            <w:pPr>
              <w:spacing w:after="0"/>
              <w:rPr>
                <w:sz w:val="16"/>
                <w:szCs w:val="16"/>
                <w:color w:val="auto"/>
              </w:rPr>
            </w:pPr>
          </w:p>
        </w:tc>
        <w:tc>
          <w:tcPr>
            <w:tcW w:w="156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Historical</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Adjusted</w:t>
            </w:r>
          </w:p>
        </w:tc>
      </w:tr>
      <w:tr>
        <w:trPr>
          <w:trHeight w:val="188"/>
        </w:trPr>
        <w:tc>
          <w:tcPr>
            <w:tcW w:w="5040" w:type="dxa"/>
            <w:vAlign w:val="bottom"/>
          </w:tcPr>
          <w:p>
            <w:pPr>
              <w:spacing w:after="0"/>
              <w:rPr>
                <w:sz w:val="16"/>
                <w:szCs w:val="16"/>
                <w:color w:val="auto"/>
              </w:rPr>
            </w:pPr>
          </w:p>
        </w:tc>
        <w:tc>
          <w:tcPr>
            <w:tcW w:w="15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16"/>
                <w:szCs w:val="16"/>
                <w:color w:val="auto"/>
              </w:rPr>
            </w:pPr>
          </w:p>
        </w:tc>
        <w:tc>
          <w:tcPr>
            <w:tcW w:w="15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(in thousands)</w:t>
            </w:r>
          </w:p>
        </w:tc>
        <w:tc>
          <w:tcPr>
            <w:tcW w:w="1120" w:type="dxa"/>
            <w:vAlign w:val="bottom"/>
          </w:tcPr>
          <w:p>
            <w:pPr>
              <w:spacing w:after="0"/>
              <w:rPr>
                <w:sz w:val="16"/>
                <w:szCs w:val="16"/>
                <w:color w:val="auto"/>
              </w:rPr>
            </w:pP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Debt:</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Mortgages payable................................</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50,684</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50,684</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Obligations under capital leases.................</w:t>
            </w:r>
          </w:p>
        </w:tc>
        <w:tc>
          <w:tcPr>
            <w:tcW w:w="5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122,124</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122,124</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Notes payable, primarily bank lines and</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notes(1)........................................</w:t>
            </w:r>
          </w:p>
        </w:tc>
        <w:tc>
          <w:tcPr>
            <w:tcW w:w="5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341,805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268,964</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Senior notes.....................................</w:t>
            </w:r>
          </w:p>
        </w:tc>
        <w:tc>
          <w:tcPr>
            <w:tcW w:w="5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335,000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410,000</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Convertible subordinated debentures..............</w:t>
            </w:r>
          </w:p>
        </w:tc>
        <w:tc>
          <w:tcPr>
            <w:tcW w:w="5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75,289</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75,289</w:t>
            </w:r>
          </w:p>
        </w:tc>
      </w:tr>
      <w:tr>
        <w:trPr>
          <w:trHeight w:val="188"/>
        </w:trPr>
        <w:tc>
          <w:tcPr>
            <w:tcW w:w="5040" w:type="dxa"/>
            <w:vAlign w:val="bottom"/>
          </w:tcPr>
          <w:p>
            <w:pPr>
              <w:spacing w:after="0"/>
              <w:rPr>
                <w:sz w:val="16"/>
                <w:szCs w:val="16"/>
                <w:color w:val="auto"/>
              </w:rPr>
            </w:pPr>
          </w:p>
        </w:tc>
        <w:tc>
          <w:tcPr>
            <w:tcW w:w="15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Total debt.....................................</w:t>
            </w:r>
          </w:p>
        </w:tc>
        <w:tc>
          <w:tcPr>
            <w:tcW w:w="5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924,902</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927,061</w:t>
            </w:r>
          </w:p>
        </w:tc>
      </w:tr>
      <w:tr>
        <w:trPr>
          <w:trHeight w:val="188"/>
        </w:trPr>
        <w:tc>
          <w:tcPr>
            <w:tcW w:w="5040" w:type="dxa"/>
            <w:vAlign w:val="bottom"/>
          </w:tcPr>
          <w:p>
            <w:pPr>
              <w:spacing w:after="0"/>
              <w:rPr>
                <w:sz w:val="16"/>
                <w:szCs w:val="16"/>
                <w:color w:val="auto"/>
              </w:rPr>
            </w:pPr>
          </w:p>
        </w:tc>
        <w:tc>
          <w:tcPr>
            <w:tcW w:w="15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Preferred shares.................................</w:t>
            </w:r>
          </w:p>
        </w:tc>
        <w:tc>
          <w:tcPr>
            <w:tcW w:w="5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100,000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Common shares of beneficial interest.............</w:t>
            </w:r>
          </w:p>
        </w:tc>
        <w:tc>
          <w:tcPr>
            <w:tcW w:w="5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404</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404</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 in capital.......................</w:t>
            </w:r>
          </w:p>
        </w:tc>
        <w:tc>
          <w:tcPr>
            <w:tcW w:w="5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712,434</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712,434</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Accumulated distributions in excess of Trust net</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income..........................................</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(280,143)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(280,143)</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( 22,986)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( 22,986)</w:t>
            </w:r>
          </w:p>
        </w:tc>
      </w:tr>
      <w:tr>
        <w:trPr>
          <w:trHeight w:val="188"/>
        </w:trPr>
        <w:tc>
          <w:tcPr>
            <w:tcW w:w="5040" w:type="dxa"/>
            <w:vAlign w:val="bottom"/>
          </w:tcPr>
          <w:p>
            <w:pPr>
              <w:spacing w:after="0"/>
              <w:rPr>
                <w:sz w:val="16"/>
                <w:szCs w:val="16"/>
                <w:color w:val="auto"/>
              </w:rPr>
            </w:pPr>
          </w:p>
        </w:tc>
        <w:tc>
          <w:tcPr>
            <w:tcW w:w="15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Total shareholders' equity.....................</w:t>
            </w:r>
          </w:p>
        </w:tc>
        <w:tc>
          <w:tcPr>
            <w:tcW w:w="5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509,709</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509,709</w:t>
            </w:r>
          </w:p>
        </w:tc>
      </w:tr>
      <w:tr>
        <w:trPr>
          <w:trHeight w:val="188"/>
        </w:trPr>
        <w:tc>
          <w:tcPr>
            <w:tcW w:w="5040" w:type="dxa"/>
            <w:vAlign w:val="bottom"/>
          </w:tcPr>
          <w:p>
            <w:pPr>
              <w:spacing w:after="0"/>
              <w:rPr>
                <w:sz w:val="16"/>
                <w:szCs w:val="16"/>
                <w:color w:val="auto"/>
              </w:rPr>
            </w:pPr>
          </w:p>
        </w:tc>
        <w:tc>
          <w:tcPr>
            <w:tcW w:w="15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Total capitalization.........................</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1,434,611</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$1,436,770</w:t>
            </w:r>
          </w:p>
        </w:tc>
      </w:tr>
      <w:tr>
        <w:trPr>
          <w:trHeight w:val="188"/>
        </w:trPr>
        <w:tc>
          <w:tcPr>
            <w:tcW w:w="5040" w:type="dxa"/>
            <w:vAlign w:val="bottom"/>
          </w:tcPr>
          <w:p>
            <w:pPr>
              <w:spacing w:after="0"/>
              <w:rPr>
                <w:sz w:val="16"/>
                <w:szCs w:val="16"/>
                <w:color w:val="auto"/>
              </w:rPr>
            </w:pPr>
          </w:p>
        </w:tc>
        <w:tc>
          <w:tcPr>
            <w:tcW w:w="15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799" w:hanging="400"/>
        <w:spacing w:after="0" w:line="252"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$213 million drawn on the credit facility, $125 million on a term note with banks and $3.8 million in miscellaneous notes payable.</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219"/>
          </w:cols>
          <w:pgMar w:left="240" w:top="680" w:right="1440" w:bottom="1440" w:gutter="0" w:footer="0" w:header="0"/>
        </w:sectPr>
      </w:pPr>
    </w:p>
    <w:bookmarkStart w:id="6" w:name="page7"/>
    <w:bookmarkEnd w:id="6"/>
    <w:p>
      <w:pPr>
        <w:spacing w:after="0" w:line="1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95" w:lineRule="exact"/>
        <w:rPr>
          <w:sz w:val="20"/>
          <w:szCs w:val="20"/>
          <w:color w:val="auto"/>
        </w:rPr>
      </w:pPr>
    </w:p>
    <w:p>
      <w:pPr>
        <w:ind w:right="2940" w:firstLine="293"/>
        <w:spacing w:after="0" w:line="249" w:lineRule="auto"/>
        <w:rPr>
          <w:sz w:val="20"/>
          <w:szCs w:val="20"/>
          <w:color w:val="auto"/>
        </w:rPr>
      </w:pPr>
      <w:r>
        <w:rPr>
          <w:rFonts w:ascii="Courier New" w:cs="Courier New" w:eastAsia="Courier New" w:hAnsi="Courier New"/>
          <w:sz w:val="16"/>
          <w:szCs w:val="16"/>
          <w:color w:val="auto"/>
        </w:rPr>
        <w:t>The following table sets forth our selected consolidated financial data and should be read in conjunction with the consolidated financial statements and notes incorporated by reference in the accompanying prospectus. Our selected operating, other and balance sheet data for the years ended through December 31, 1998 and for the periods then ended have been derived from financial statements audited by Grant Thornton LLP, independent accountants. The unaudited financial data for the nine months ended September 30, 1999 and 1998 includes all adjustments, consisting of normal recurring accruals, which we consider necessary for the fair presentation of our financial position and the results of operations for such period. The results for the nine month period may not be indicative of the results to be expected for the full year.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20"/>
                <w:szCs w:val="20"/>
                <w:color w:val="auto"/>
              </w:rPr>
            </w:pPr>
            <w:r>
              <w:rPr>
                <w:rFonts w:ascii="Courier New" w:cs="Courier New" w:eastAsia="Courier New" w:hAnsi="Courier New"/>
                <w:sz w:val="16"/>
                <w:szCs w:val="16"/>
                <w:color w:val="auto"/>
              </w:rPr>
              <w:t>(in thousands, except</w:t>
            </w:r>
          </w:p>
        </w:tc>
        <w:tc>
          <w:tcPr>
            <w:tcW w:w="300" w:type="dxa"/>
            <w:vAlign w:val="bottom"/>
          </w:tcPr>
          <w:p>
            <w:pPr>
              <w:spacing w:after="0"/>
              <w:rPr>
                <w:sz w:val="15"/>
                <w:szCs w:val="15"/>
                <w:color w:val="auto"/>
              </w:rPr>
            </w:pPr>
          </w:p>
        </w:tc>
        <w:tc>
          <w:tcPr>
            <w:tcW w:w="2100" w:type="dxa"/>
            <w:vAlign w:val="bottom"/>
            <w:gridSpan w:val="3"/>
          </w:tcPr>
          <w:p>
            <w:pPr>
              <w:jc w:val="center"/>
              <w:ind w:right="359"/>
              <w:spacing w:after="0"/>
              <w:rPr>
                <w:sz w:val="20"/>
                <w:szCs w:val="20"/>
                <w:color w:val="auto"/>
              </w:rPr>
            </w:pPr>
            <w:r>
              <w:rPr>
                <w:rFonts w:ascii="Courier New" w:cs="Courier New" w:eastAsia="Courier New" w:hAnsi="Courier New"/>
                <w:sz w:val="16"/>
                <w:szCs w:val="16"/>
                <w:color w:val="auto"/>
              </w:rPr>
              <w:t>Nine months ended</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ratio</w:t>
            </w:r>
          </w:p>
        </w:tc>
        <w:tc>
          <w:tcPr>
            <w:tcW w:w="300" w:type="dxa"/>
            <w:vAlign w:val="bottom"/>
          </w:tcPr>
          <w:p>
            <w:pPr>
              <w:spacing w:after="0"/>
              <w:rPr>
                <w:sz w:val="16"/>
                <w:szCs w:val="16"/>
                <w:color w:val="auto"/>
              </w:rPr>
            </w:pPr>
          </w:p>
        </w:tc>
        <w:tc>
          <w:tcPr>
            <w:tcW w:w="2100" w:type="dxa"/>
            <w:vAlign w:val="bottom"/>
            <w:gridSpan w:val="3"/>
          </w:tcPr>
          <w:p>
            <w:pPr>
              <w:jc w:val="center"/>
              <w:ind w:right="359"/>
              <w:spacing w:after="0"/>
              <w:rPr>
                <w:sz w:val="20"/>
                <w:szCs w:val="20"/>
                <w:color w:val="auto"/>
              </w:rPr>
            </w:pPr>
            <w:r>
              <w:rPr>
                <w:rFonts w:ascii="Courier New" w:cs="Courier New" w:eastAsia="Courier New" w:hAnsi="Courier New"/>
                <w:sz w:val="16"/>
                <w:szCs w:val="16"/>
                <w:color w:val="auto"/>
              </w:rPr>
              <w:t>September 30,</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Year ended December 31,</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information and per share</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1995</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data)</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jc w:val="center"/>
              <w:ind w:right="379"/>
              <w:spacing w:after="0"/>
              <w:rPr>
                <w:sz w:val="20"/>
                <w:szCs w:val="20"/>
                <w:color w:val="auto"/>
              </w:rPr>
            </w:pPr>
            <w:r>
              <w:rPr>
                <w:rFonts w:ascii="Courier New" w:cs="Courier New" w:eastAsia="Courier New" w:hAnsi="Courier New"/>
                <w:sz w:val="16"/>
                <w:szCs w:val="16"/>
                <w:color w:val="auto"/>
              </w:rPr>
              <w:t>(unaudited)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6"/>
        </w:trPr>
        <w:tc>
          <w:tcPr>
            <w:tcW w:w="254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Rental income...........</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181,078</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162,041</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222,186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188,529</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164,887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142,841</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$128,133</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Other property income...</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8,176</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7,613</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10,347</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9,705</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9,816</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7,435</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5,698</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5,779</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3,928</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5,945</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6,037</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4,352</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4,113</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3,933</w:t>
            </w:r>
          </w:p>
        </w:tc>
      </w:tr>
      <w:tr>
        <w:trPr>
          <w:trHeight w:val="188"/>
        </w:trPr>
        <w:tc>
          <w:tcPr>
            <w:tcW w:w="254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195,033</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173,582</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238,478</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204,271</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179,055</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154,389</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137,764</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45,507</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39,736</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55,125</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47,288</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45,555</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39,268</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31,462</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amortization...........</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37,313</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33,384</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46,047</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41,399</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38,154</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34,901</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29,801</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Property expenses.......</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57,398</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52,549</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72,761</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62,369</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57,098</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49,564</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47,927</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General, administrative</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and other..............</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10,888</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13,401</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16,461</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11,744</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9,100</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7,305</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7,716</w:t>
            </w:r>
          </w:p>
        </w:tc>
      </w:tr>
      <w:tr>
        <w:trPr>
          <w:trHeight w:val="188"/>
        </w:trPr>
        <w:tc>
          <w:tcPr>
            <w:tcW w:w="254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151,106</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139,070</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190,394</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162,800</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149,907</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131,038</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116,906</w:t>
            </w:r>
          </w:p>
        </w:tc>
      </w:tr>
      <w:tr>
        <w:trPr>
          <w:trHeight w:val="188"/>
        </w:trPr>
        <w:tc>
          <w:tcPr>
            <w:tcW w:w="254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Income before investors'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 and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gain on sale of real</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estate..................</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43,927</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34,512</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48,084</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41,471</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29,148</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23,351</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20,858</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Investors' share of</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(2,322)</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(2,335)</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(3,124)</w:t>
            </w:r>
          </w:p>
        </w:tc>
        <w:tc>
          <w:tcPr>
            <w:tcW w:w="200" w:type="dxa"/>
            <w:vAlign w:val="bottom"/>
          </w:tcPr>
          <w:p>
            <w:pPr>
              <w:spacing w:after="0"/>
              <w:rPr>
                <w:sz w:val="16"/>
                <w:szCs w:val="16"/>
                <w:color w:val="auto"/>
              </w:rPr>
            </w:pPr>
          </w:p>
        </w:tc>
        <w:tc>
          <w:tcPr>
            <w:tcW w:w="12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(1,342)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(394)</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(392)</w:t>
            </w:r>
          </w:p>
        </w:tc>
      </w:tr>
      <w:tr>
        <w:trPr>
          <w:trHeight w:val="188"/>
        </w:trPr>
        <w:tc>
          <w:tcPr>
            <w:tcW w:w="254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Income before gain (loss)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on sale of real estate..</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41,605</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32,177</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44,960</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40,129</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28,754</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23,655</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20,466</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Gain (loss) on sale of</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real estate.............</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(7,050)</w:t>
            </w:r>
          </w:p>
        </w:tc>
        <w:tc>
          <w:tcPr>
            <w:tcW w:w="240" w:type="dxa"/>
            <w:vAlign w:val="bottom"/>
          </w:tcPr>
          <w:p>
            <w:pPr>
              <w:spacing w:after="0"/>
              <w:rPr>
                <w:sz w:val="16"/>
                <w:szCs w:val="16"/>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6,375</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(545)</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34,555</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32,177</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44,960</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46,504</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28,742</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23,110</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20,466</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Dividends on preferred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(5,963)</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(5,963)</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(7,950)</w:t>
            </w:r>
          </w:p>
        </w:tc>
        <w:tc>
          <w:tcPr>
            <w:tcW w:w="200" w:type="dxa"/>
            <w:vAlign w:val="bottom"/>
          </w:tcPr>
          <w:p>
            <w:pPr>
              <w:spacing w:after="0"/>
              <w:rPr>
                <w:sz w:val="16"/>
                <w:szCs w:val="16"/>
                <w:color w:val="auto"/>
              </w:rPr>
            </w:pPr>
          </w:p>
        </w:tc>
        <w:tc>
          <w:tcPr>
            <w:tcW w:w="12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(1,877)</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income available for</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common shareholders.....</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28,592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26,214</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37,010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44,627</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28,742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23,110</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$ 20,466</w:t>
            </w:r>
          </w:p>
        </w:tc>
      </w:tr>
      <w:tr>
        <w:trPr>
          <w:trHeight w:val="188"/>
        </w:trPr>
        <w:tc>
          <w:tcPr>
            <w:tcW w:w="254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Basic...................</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39,534</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39,115</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39,174</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38,475</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33,175</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31,481</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30,267</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Diluted.................</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40,639</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39,953</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40,080</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38,988</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33,573</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31,860</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30,679</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Distributions declared on</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common shares...........</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59,487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57,827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69,512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66,636</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56,607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51,392</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$ 48,196</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Distributions declared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per common share........</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1.33</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1.30</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1.66</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1.61</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1.57</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cash provided by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operating</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activities(1)...........</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74,681</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61,641</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90,427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72,170</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65,648</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65,117</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$ 45,199</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cash provided by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financing</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activities(1)...........</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20,666</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88,052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97,406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213,175</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96,691</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75,769</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$ 39,626</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cash used in</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investing</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activities(1)...........</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97,487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156,784</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187,646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279,343</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161,819</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134,360</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$ 90,465</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Funds from</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operations(2)...........</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72,278</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63,617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86,536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79,733</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65,254</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57,034</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$ 50,404</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Ratio of earnings to</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fixed charges(3)(4).....</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1.71x</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1.63x</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1.65x</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1.70x</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1.59x</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1.55x</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1.61x</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Ratio of funds from</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operations to fixed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charges(2)(4)...........</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2.42x</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2.46x</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2.46x</w:t>
            </w:r>
          </w:p>
        </w:tc>
        <w:tc>
          <w:tcPr>
            <w:tcW w:w="2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2.50x</w:t>
            </w:r>
          </w:p>
        </w:tc>
        <w:tc>
          <w:tcPr>
            <w:tcW w:w="2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2.35x</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2.35x</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2.52x</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Ratio of earnings to</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combined fixed charges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and preferred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bl>
    <w:p>
      <w:pPr>
        <w:sectPr>
          <w:pgSz w:w="11900" w:h="16853" w:orient="portrait"/>
          <w:cols w:equalWidth="0" w:num="1">
            <w:col w:w="10560"/>
          </w:cols>
          <w:pgMar w:left="240" w:top="680" w:right="10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dividends(3)(4).........</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1.54x</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1.43x</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1.46x</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1.64x</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Ratio of funds from</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operations to combined</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fixed charges and</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preferred</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dividends(2)(4).........</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2.17x</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2.17x</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2.18x</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2.42x</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Real estate assets, at</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cost....................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$1,729,174</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$1,616,271</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$1,642,136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$1,453,639</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$1,147,865</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$1,009,682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$852,722</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1,541,882</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1,457,307</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1,484,317</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1,316,573</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1,035,306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886,154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751,804</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Total debt...............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924,902</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818,828</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846,928</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670,890</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585,584</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512,586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372,877</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1,032,173</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922,279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954,370</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762,763</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646,421</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558,686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408,582</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Redeemable preferred</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shares..................</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509,709</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535,028</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529,947</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553,810</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388,885</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327,468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343,222</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Number of common shares</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outstanding.............</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40,312</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40,003</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40,080</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39,148</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35,886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32,160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31,609</w:t>
            </w:r>
          </w:p>
        </w:tc>
      </w:tr>
    </w:tbl>
    <w:p>
      <w:pPr>
        <w:spacing w:after="0" w:line="380" w:lineRule="exact"/>
        <w:rPr>
          <w:sz w:val="20"/>
          <w:szCs w:val="20"/>
          <w:color w:val="auto"/>
        </w:rPr>
      </w:pPr>
    </w:p>
    <w:p>
      <w:pPr>
        <w:ind w:left="400" w:right="3040" w:hanging="400"/>
        <w:spacing w:after="0" w:line="248"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 See Consolidated Statements of Cash Flows incorporated by reference in the accompanying prospectus.</w:t>
      </w:r>
    </w:p>
    <w:p>
      <w:pPr>
        <w:spacing w:after="0" w:line="1" w:lineRule="exact"/>
        <w:rPr>
          <w:rFonts w:ascii="Courier New" w:cs="Courier New" w:eastAsia="Courier New" w:hAnsi="Courier New"/>
          <w:sz w:val="16"/>
          <w:szCs w:val="16"/>
          <w:color w:val="auto"/>
        </w:rPr>
      </w:pPr>
    </w:p>
    <w:p>
      <w:pPr>
        <w:ind w:left="400" w:right="2840" w:hanging="400"/>
        <w:spacing w:after="0" w:line="248"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by the National Association of Real Estate Investment Trusts ("NAREIT") as income available for common shareholders before depreciation and amortization of real estate assets and before extraordinary items and significant non-recurring events plus or minus losses or gains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w:t>
      </w:r>
    </w:p>
    <w:p>
      <w:pPr>
        <w:spacing w:after="0" w:line="6" w:lineRule="exact"/>
        <w:rPr>
          <w:rFonts w:ascii="Courier New" w:cs="Courier New" w:eastAsia="Courier New" w:hAnsi="Courier New"/>
          <w:sz w:val="16"/>
          <w:szCs w:val="16"/>
          <w:color w:val="auto"/>
        </w:rPr>
      </w:pPr>
    </w:p>
    <w:p>
      <w:pPr>
        <w:ind w:left="400" w:right="3120" w:hanging="400"/>
        <w:spacing w:after="0" w:line="248"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computing this ratio, earnings consist of income before gain (loss) on sale of real estate plus fixed charges.</w:t>
      </w:r>
    </w:p>
    <w:p>
      <w:pPr>
        <w:spacing w:after="0" w:line="1" w:lineRule="exact"/>
        <w:rPr>
          <w:rFonts w:ascii="Courier New" w:cs="Courier New" w:eastAsia="Courier New" w:hAnsi="Courier New"/>
          <w:sz w:val="16"/>
          <w:szCs w:val="16"/>
          <w:color w:val="auto"/>
        </w:rPr>
      </w:pPr>
    </w:p>
    <w:p>
      <w:pPr>
        <w:ind w:left="400" w:right="2840" w:hanging="400"/>
        <w:spacing w:after="0" w:line="250"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charges consist of interest on borrowed funds (including capitalized interest), amortization of debt discount and expenses and the portion of rent expense representing an interest factor.</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S-7</w:t>
      </w:r>
    </w:p>
    <w:p>
      <w:pPr>
        <w:sectPr>
          <w:pgSz w:w="11900" w:h="16838" w:orient="portrait"/>
          <w:cols w:equalWidth="0" w:num="1">
            <w:col w:w="10460"/>
          </w:cols>
          <w:pgMar w:left="240" w:top="142" w:right="1199" w:bottom="1440" w:gutter="0" w:footer="0" w:header="0"/>
        </w:sectPr>
      </w:pPr>
    </w:p>
    <w:bookmarkStart w:id="8" w:name="page9"/>
    <w:bookmarkEnd w:id="8"/>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following discussion should be read in conjunction with the consolidated financial statements and notes thereto incorporated by reference into the accompanying prospectus. Certain statements made in this discussion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Such factors include, among others, general economic and business conditions which will affect credit-worthiness of tenants, financing availability and cost, retailing trends and rental rates; risks of real estate development and acquisitions; governmental and environmental regulations; and competition with other real estate companies and technology. Portions of this discussion include certain forward-looking statements about our and management's intentions and expectations. Although these intentions and expectations are based upon reasonable assumptions, many factors, such as general economic conditions, local and national real estate conditions, increases in interest rates and operating costs, may cause actual results to differ materially from current expectations.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Strategic Transactions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exploring strategic alternatives to maximize shareholder value, we considered spinning off certain of our assets (primarily those related to the development and operation of our Main Street Retail program) in a taxable transaction to shareholders. Shortly thereafter, our remaining assets were to be merged with another publicly traded shopping center company in exchange for cash and stock consideration. On September 24, 1999, we announced that merger negotiations were terminated and that the spin off was being reevaluated.</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preparing for these transactions, we incurred expenses of approximately $2.5 million related to legal, accounting, tax and other advisory services related to the spin off and the merger. Such costs have been expensed in their entirety in the third quarter of 1999 and are reflected as administrative expenses in the consolidated statement of operations.</w:t>
      </w:r>
    </w:p>
    <w:p>
      <w:pPr>
        <w:spacing w:after="0" w:line="187" w:lineRule="exact"/>
        <w:rPr>
          <w:sz w:val="20"/>
          <w:szCs w:val="20"/>
          <w:color w:val="auto"/>
        </w:rPr>
      </w:pPr>
    </w:p>
    <w:p>
      <w:pPr>
        <w:ind w:right="2599" w:firstLine="293"/>
        <w:spacing w:after="0" w:line="250" w:lineRule="auto"/>
        <w:rPr>
          <w:sz w:val="20"/>
          <w:szCs w:val="20"/>
          <w:color w:val="auto"/>
        </w:rPr>
      </w:pPr>
      <w:r>
        <w:rPr>
          <w:rFonts w:ascii="Courier New" w:cs="Courier New" w:eastAsia="Courier New" w:hAnsi="Courier New"/>
          <w:sz w:val="16"/>
          <w:szCs w:val="16"/>
          <w:color w:val="auto"/>
        </w:rPr>
        <w:t>While management continues to evaluate alternatives to maximize shareholder value, there are currently no plans to consummate a spin off or merger transaction.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We meet our liquidity requirements through net cash provided by operating activities, along with traditional debt and equity funding alternatives available to us.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Net cash provided by operating activities was $74.7 million in the first nine months of 1999 and $61.6 million in the first nine months of 1998, of which $57.1 million and $55.3 million, respectively, was distributed to shareholders. Contributions from newly acquired properties and from retenanted and redeveloped properties, as more fully described below, were the primary sources of these increases.</w:t>
      </w:r>
    </w:p>
    <w:p>
      <w:pPr>
        <w:spacing w:after="0" w:line="187" w:lineRule="exact"/>
        <w:rPr>
          <w:sz w:val="20"/>
          <w:szCs w:val="20"/>
          <w:color w:val="auto"/>
        </w:rPr>
      </w:pPr>
    </w:p>
    <w:p>
      <w:pPr>
        <w:ind w:right="2799" w:firstLine="293"/>
        <w:spacing w:after="0" w:line="249" w:lineRule="auto"/>
        <w:rPr>
          <w:sz w:val="20"/>
          <w:szCs w:val="20"/>
          <w:color w:val="auto"/>
        </w:rPr>
      </w:pPr>
      <w:r>
        <w:rPr>
          <w:rFonts w:ascii="Courier New" w:cs="Courier New" w:eastAsia="Courier New" w:hAnsi="Courier New"/>
          <w:sz w:val="16"/>
          <w:szCs w:val="16"/>
          <w:color w:val="auto"/>
        </w:rPr>
        <w:t>Net cash used in investing activities was $97.5 million during the first nine months of 1999 and $156.8 million during the first nine months of 1998. We purchased real estate totaling $26.3 million during the first nine months of 1999 and $123.1 million in the first nine months of 1998, requiring cash outlays of $23.7 million and $92.9 million, respectively. During these two periods, we expended an additional $65.0 million and $46.3 million, respectively, in capital improvements to our properties. We invested $7.2 million during the first nine months of 1999 and $17.5 million during the first nine months of 1998 in mortgage notes receivable with an average weighted interest rate of 10%.</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During the first nine months of 1999, we acquired a 90% interest in three buildings in Hollywood, California for a total cash investment by us of $23.7 million. The first two buildings contain 120,000 and 64,000 leasable square feet, respectively. The third building is vacant pending redevelopment.</w:t>
      </w:r>
    </w:p>
    <w:p>
      <w:pPr>
        <w:spacing w:after="0" w:line="188"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invested approximately $26.0 million during the first nine months of 1999 in predevelopment and development projects in Bethesda, Maryland; Los Gatos, California; San Antonio, Texas; and Arlington, Virginia. We continue to identify additional development opportunities.</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10219"/>
          </w:cols>
          <w:pgMar w:left="240" w:top="680" w:right="1440" w:bottom="0" w:gutter="0" w:footer="0" w:header="0"/>
        </w:sectPr>
      </w:pPr>
    </w:p>
    <w:bookmarkStart w:id="9" w:name="page10"/>
    <w:bookmarkEnd w:id="9"/>
    <w:p>
      <w:pPr>
        <w:spacing w:after="0" w:line="19" w:lineRule="exact"/>
        <w:rPr>
          <w:sz w:val="20"/>
          <w:szCs w:val="20"/>
          <w:color w:val="auto"/>
        </w:rPr>
      </w:pPr>
    </w:p>
    <w:p>
      <w:pPr>
        <w:ind w:right="2799" w:firstLine="293"/>
        <w:spacing w:after="0" w:line="249" w:lineRule="auto"/>
        <w:rPr>
          <w:sz w:val="20"/>
          <w:szCs w:val="20"/>
          <w:color w:val="auto"/>
        </w:rPr>
      </w:pPr>
      <w:r>
        <w:rPr>
          <w:rFonts w:ascii="Courier New" w:cs="Courier New" w:eastAsia="Courier New" w:hAnsi="Courier New"/>
          <w:sz w:val="16"/>
          <w:szCs w:val="16"/>
          <w:color w:val="auto"/>
        </w:rPr>
        <w:t>In October 1999, we sold Northeast Plaza Shopping Center in Atlanta, Georgia for $19.6 million in cash, realizing a loss of $6.4 million. Separately, mortgage notes receivable of $5.3 million were repaid in October 1999. The cash from these transactions was used to pay down our line of credit.</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Net cash provided by financing activities, before dividend payments, was</w:t>
      </w:r>
    </w:p>
    <w:p>
      <w:pPr>
        <w:spacing w:after="0" w:line="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$77.8 million in the first nine months of 1999 and $143.4 million in the first nine months of 1998. We utilized our $300 million unsecured line of credit to fund acquisitions and capital expenditures in 1999. At September 30, 1999, there was $213.0 million outstanding under this credit facility, which also represents the maximum drawn during the first nine months of the year. At November 1, 1999 borrowings under the line were $205.0 million. The weighted average interest rate on borrowings for the nine months ended September 30, 1999 was 5.9%. The credit facility requires fees and has various covenants, including the maintenance of a minimum shareholders' equity and a maximum ratio of debt to net worth.</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Capital requirements for the remainder of 1999 relate to our new development efforts, improvements and redevelopments on existing properties, and tenant work and allowances. Initial funding for such projects is expected to be provided under the credit facility.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95" w:lineRule="exact"/>
        <w:rPr>
          <w:sz w:val="20"/>
          <w:szCs w:val="20"/>
          <w:color w:val="auto"/>
        </w:rPr>
      </w:pPr>
    </w:p>
    <w:p>
      <w:pPr>
        <w:ind w:right="2699" w:firstLine="293"/>
        <w:spacing w:after="0" w:line="250" w:lineRule="auto"/>
        <w:rPr>
          <w:sz w:val="20"/>
          <w:szCs w:val="20"/>
          <w:color w:val="auto"/>
        </w:rPr>
      </w:pPr>
      <w:r>
        <w:rPr>
          <w:rFonts w:ascii="Courier New" w:cs="Courier New" w:eastAsia="Courier New" w:hAnsi="Courier New"/>
          <w:sz w:val="16"/>
          <w:szCs w:val="16"/>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8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Pursuant to the provisions of the Congressional Plaza partnership agreement, in the event of the exercise of put options by another partner, we would be required to purchase a 37.5% interest of Congressional Plaza at its then fair market value. Based on management's current estimate of fair market value, our estimated liability upon exercise of the put option is approximately $27 million. On January 1, 1999, the Loehmann's Plaza limited partnership agreement was amended to extend the partnership to December 31, 2000 and to delete the put and call options.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Under the terms of certain other partnership agreements, if certain leasing and revenue levels are obtained for the properties owned by the partnerships, the limited partners may require us to purchase their partnership interests at a formula price based upon net operating income. The purchase price may be paid in cash or our common shares at the election of the limited partners. In certain of these partnerships, if the limited partners do not redeem their interests, we may choose to purchase the limited partnership interest upon the same terms.</w:t>
      </w:r>
    </w:p>
    <w:p>
      <w:pPr>
        <w:spacing w:after="0" w:line="187" w:lineRule="exact"/>
        <w:rPr>
          <w:sz w:val="20"/>
          <w:szCs w:val="20"/>
          <w:color w:val="auto"/>
        </w:rPr>
      </w:pPr>
    </w:p>
    <w:p>
      <w:pPr>
        <w:ind w:right="2699" w:firstLine="293"/>
        <w:spacing w:after="0" w:line="250" w:lineRule="auto"/>
        <w:rPr>
          <w:sz w:val="20"/>
          <w:szCs w:val="20"/>
          <w:color w:val="auto"/>
        </w:rPr>
      </w:pPr>
      <w:r>
        <w:rPr>
          <w:rFonts w:ascii="Courier New" w:cs="Courier New" w:eastAsia="Courier New" w:hAnsi="Courier New"/>
          <w:sz w:val="16"/>
          <w:szCs w:val="16"/>
          <w:color w:val="auto"/>
        </w:rPr>
        <w:t>Under the terms of other partnership agreements, the partners may exchange their 814,589 operating units into cash or the same number of our common shares, at our option.</w:t>
      </w:r>
    </w:p>
    <w:p>
      <w:pPr>
        <w:spacing w:after="0" w:line="18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We have reviewed the software and hardware systems used internally to operate our business, in order to assess their ability to handle the "year 2000 issue" which generally refers to the inability of systems hardware and software to correctly identify two-digit references to specific calendar years, beginning with 2000. The year 2000 issue can affect us directly by impairing our internal data-based operations or processing and indirectly by impairing our suppliers' and tenants' data-based operations or processing. We have identified and evaluated the year 2000 compliance of our internal systems. We believe that the remediation of all accounting systems and other systems of high priority is complete; however, testing is still ongoing. In addition, we have requested information concerning and reviewed the equipment at our properties, including the use of embedded chips in machinery. Based on the review and since we primarily own shopping centers and street retail buildings with limited use of technology, we believe we are year 2000 compliant.</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We have requested information from our major banks, tenants and suppliers to determine their year 2000 compliance in order to assess the possibility of any major year 2000 risk to us related to these parties' year 2000 noncompliance. Based on their responses, we do not believe there is any material risk to us in these areas.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addition, we are developing, with the aid of an outside consultant, a business continuity plan for our critical internal systems, which is to be completed during the fourth quarter. Management does not anticipate needing to employ the plan. Costs spent to date and projections of future costs are not expected to exceed $75,000.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Net income and funds from operations have been affected by our recent acquisition, redevelopment and financing activities. We have historically reported our funds from operations in addition to our net income and net cash provided by operating activities. Funds from operations is a supplemental</w:t>
      </w:r>
    </w:p>
    <w:p>
      <w:pPr>
        <w:sectPr>
          <w:pgSz w:w="11900" w:h="16857" w:orient="portrait"/>
          <w:cols w:equalWidth="0" w:num="1">
            <w:col w:w="10219"/>
          </w:cols>
          <w:pgMar w:left="240" w:top="680"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measure of real estate companies' operating performance.</w:t>
      </w:r>
    </w:p>
    <w:p>
      <w:pPr>
        <w:sectPr>
          <w:pgSz w:w="11900" w:h="16838" w:orient="portrait"/>
          <w:cols w:equalWidth="0" w:num="1">
            <w:col w:w="10219"/>
          </w:cols>
          <w:pgMar w:left="240" w:top="142" w:right="1440" w:bottom="1440" w:gutter="0" w:footer="0" w:header="0"/>
        </w:sectPr>
      </w:pP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142" w:right="1440" w:bottom="1440" w:gutter="0" w:footer="0" w:header="0"/>
          <w:type w:val="continuous"/>
        </w:sectPr>
      </w:pPr>
    </w:p>
    <w:bookmarkStart w:id="11" w:name="page12"/>
    <w:bookmarkEnd w:id="11"/>
    <w:p>
      <w:pPr>
        <w:spacing w:after="0" w:line="19"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NAREIT defines funds from operations as follows: income available for common shareholders before depreciation and amortization of real estate assets and before extraordinary items and significant non-recurring events plus or minus losses or gains on sale of real estate. Effective January 1, 2000, the NAREIT definition of funds from operations will change to include significant non-recurring events. Following the effective date of the change, we will comply with the new NAREIT definition and restate our funds from operations for any required prior periods.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w:t>
      </w:r>
    </w:p>
    <w:p>
      <w:pPr>
        <w:spacing w:after="0" w:line="187" w:lineRule="exact"/>
        <w:rPr>
          <w:sz w:val="20"/>
          <w:szCs w:val="20"/>
          <w:color w:val="auto"/>
        </w:rPr>
      </w:pPr>
    </w:p>
    <w:p>
      <w:pPr>
        <w:ind w:right="2599" w:firstLine="293"/>
        <w:spacing w:after="0" w:line="252" w:lineRule="auto"/>
        <w:rPr>
          <w:sz w:val="20"/>
          <w:szCs w:val="20"/>
          <w:color w:val="auto"/>
        </w:rPr>
      </w:pPr>
      <w:r>
        <w:rPr>
          <w:rFonts w:ascii="Courier New" w:cs="Courier New" w:eastAsia="Courier New" w:hAnsi="Courier New"/>
          <w:sz w:val="16"/>
          <w:szCs w:val="16"/>
          <w:color w:val="auto"/>
        </w:rPr>
        <w:t>The reconciliation of net income to funds from operations is as follows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5"/>
                <w:szCs w:val="15"/>
                <w:color w:val="auto"/>
              </w:rPr>
            </w:pPr>
          </w:p>
        </w:tc>
        <w:tc>
          <w:tcPr>
            <w:tcW w:w="18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Nine months ended</w:t>
            </w:r>
          </w:p>
        </w:tc>
        <w:tc>
          <w:tcPr>
            <w:tcW w:w="1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3900" w:type="dxa"/>
            <w:vAlign w:val="bottom"/>
          </w:tcPr>
          <w:p>
            <w:pPr>
              <w:spacing w:after="0"/>
              <w:rPr>
                <w:sz w:val="16"/>
                <w:szCs w:val="16"/>
                <w:color w:val="auto"/>
              </w:rPr>
            </w:pPr>
          </w:p>
        </w:tc>
        <w:tc>
          <w:tcPr>
            <w:tcW w:w="18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September 30,</w:t>
            </w:r>
          </w:p>
        </w:tc>
        <w:tc>
          <w:tcPr>
            <w:tcW w:w="200" w:type="dxa"/>
            <w:vAlign w:val="bottom"/>
          </w:tcPr>
          <w:p>
            <w:pPr>
              <w:spacing w:after="0"/>
              <w:rPr>
                <w:sz w:val="16"/>
                <w:szCs w:val="16"/>
                <w:color w:val="auto"/>
              </w:rPr>
            </w:pPr>
          </w:p>
        </w:tc>
        <w:tc>
          <w:tcPr>
            <w:tcW w:w="170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39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3900" w:type="dxa"/>
            <w:vAlign w:val="bottom"/>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90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shareholders--basic....................</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$ 28,592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$ 26,214</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12,198</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5,532</w:t>
            </w: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Estimated loss on sale of real estate...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7,050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Nonrecurring charge.....................</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4,665</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4,665</w:t>
            </w:r>
          </w:p>
        </w:tc>
      </w:tr>
      <w:tr>
        <w:trPr>
          <w:trHeight w:val="188"/>
        </w:trPr>
        <w:tc>
          <w:tcPr>
            <w:tcW w:w="39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of real</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estate assets..........................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33,849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30,229</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11,232</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10,323</w:t>
            </w:r>
          </w:p>
        </w:tc>
      </w:tr>
      <w:tr>
        <w:trPr>
          <w:trHeight w:val="188"/>
        </w:trPr>
        <w:tc>
          <w:tcPr>
            <w:tcW w:w="3900" w:type="dxa"/>
            <w:vAlign w:val="bottom"/>
          </w:tcPr>
          <w:p>
            <w:pPr>
              <w:spacing w:after="0"/>
              <w:rPr>
                <w:sz w:val="20"/>
                <w:szCs w:val="20"/>
                <w:color w:val="auto"/>
              </w:rPr>
            </w:pPr>
            <w:r>
              <w:rPr>
                <w:rFonts w:ascii="Courier New" w:cs="Courier New" w:eastAsia="Courier New" w:hAnsi="Courier New"/>
                <w:sz w:val="16"/>
                <w:szCs w:val="16"/>
                <w:color w:val="auto"/>
              </w:rPr>
              <w:t>Amortization of initial direct costs of</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leases.................................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2,235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1,827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775</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646</w:t>
            </w:r>
          </w:p>
        </w:tc>
      </w:tr>
      <w:tr>
        <w:trPr>
          <w:trHeight w:val="188"/>
        </w:trPr>
        <w:tc>
          <w:tcPr>
            <w:tcW w:w="3900" w:type="dxa"/>
            <w:vAlign w:val="bottom"/>
          </w:tcPr>
          <w:p>
            <w:pPr>
              <w:spacing w:after="0"/>
              <w:rPr>
                <w:sz w:val="20"/>
                <w:szCs w:val="20"/>
                <w:color w:val="auto"/>
              </w:rPr>
            </w:pPr>
            <w:r>
              <w:rPr>
                <w:rFonts w:ascii="Courier New" w:cs="Courier New" w:eastAsia="Courier New" w:hAnsi="Courier New"/>
                <w:sz w:val="16"/>
                <w:szCs w:val="16"/>
                <w:color w:val="auto"/>
              </w:rPr>
              <w:t>Income attributable to operating</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partnership units......................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552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268</w:t>
            </w:r>
          </w:p>
        </w:tc>
      </w:tr>
      <w:tr>
        <w:trPr>
          <w:trHeight w:val="188"/>
        </w:trPr>
        <w:tc>
          <w:tcPr>
            <w:tcW w:w="3900" w:type="dxa"/>
            <w:vAlign w:val="bottom"/>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Funds from operations...................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$ 72,278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$ 63,617</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24,396</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21,434</w:t>
            </w:r>
          </w:p>
        </w:tc>
      </w:tr>
      <w:tr>
        <w:trPr>
          <w:trHeight w:val="188"/>
        </w:trPr>
        <w:tc>
          <w:tcPr>
            <w:tcW w:w="3900" w:type="dxa"/>
            <w:vAlign w:val="bottom"/>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September 30, 1999 and 1998</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Results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Rental income, which consists of minimum rent, percentage rent and cost recoveries, increased 12% from $162.0 million in the first nine months of 1998 to $181.1 million in the first nine months of 1999. If properties acquired in 1999 and 1998 are excluded, rental income increased 6%, due primarily to the favorable impact of redeveloped and retenanted centers.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Other property income includes items such as utility reimbursements, telephone income, merchant association dues, late fees, lease termination fees and temporary tenant income. Other property income increased 7% from $7.6 million in the first nine months of 1998 to $8.2 million in the first nine months of 1999. Increases in temporary tenant income, an area identified by us as one with additional growth opportunity, and lease termination fees surpassed decreases in telephone income and decreases in marketing dues, as we discontinued marketing funds at certain shopping centers in 1999.</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Rental expenses increased 11% from $35.3 million in the first nine months of 1998 to $39.1 million in the first nine months of 1999. If rental expenses are adjusted for properties acquired in 1999 and 1998, rental expenses increased 5% from $35.1 million in 1998 to $36.9 million in 1999. There was a decrease in marketing expenses consistent with the decrease in marketing dues, but this decrease was outweighed by increases in snow removal costs and the write off of tenant work and lease costs associated with several stores operated by a bankrupt tenant.</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Real estate taxes increased 6% from $17.3 million in the first nine months of 1998 to $18.3 million in the first nine months of 1999. If real estate taxes are adjusted for properties acquired in 1999 and 1998, real estate taxes remained relatively constant. Increased taxes on recently redeveloped properties were offset by a refund resulting from the reassessment of a 1997 acquisition.</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Depreciation and amortization expenses increased 12% from $33.4 million in the first nine months of 1998 to $37.3 million in the first nine months of 1999 reflecting the impact of property acquisitions and recent tenant work and property improvements.</w:t>
      </w:r>
    </w:p>
    <w:p>
      <w:pPr>
        <w:spacing w:after="0" w:line="188"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During the first nine months of 1999, we incurred interest expense of $50.3 million, of which $4.8 million was capitalized, as compared to 1998's $44.0 million, of which $4.2 million was capitalized. The increase in interest expense reflects the additional debt issued to fund our acquisition and capital improvement programs. This combination of higher leverage with low interest rates has positively impacted our net income and funds from operations. The ratio of earnings to combined fixed charges and preferred</w:t>
      </w:r>
    </w:p>
    <w:p>
      <w:pPr>
        <w:sectPr>
          <w:pgSz w:w="11900" w:h="16858" w:orient="portrait"/>
          <w:cols w:equalWidth="0" w:num="1">
            <w:col w:w="10219"/>
          </w:cols>
          <w:pgMar w:left="240" w:top="680"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dividends was 1.54x and 1.43x for the first nine months of 1999 and 1998,</w:t>
      </w:r>
    </w:p>
    <w:p>
      <w:pPr>
        <w:sectPr>
          <w:pgSz w:w="11900" w:h="16838" w:orient="portrait"/>
          <w:cols w:equalWidth="0" w:num="1">
            <w:col w:w="10219"/>
          </w:cols>
          <w:pgMar w:left="240" w:top="142" w:right="1440" w:bottom="1440" w:gutter="0" w:footer="0" w:header="0"/>
        </w:sectPr>
      </w:pP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S-10</w:t>
      </w:r>
    </w:p>
    <w:p>
      <w:pPr>
        <w:sectPr>
          <w:pgSz w:w="11900" w:h="16838" w:orient="portrait"/>
          <w:cols w:equalWidth="0" w:num="1">
            <w:col w:w="10219"/>
          </w:cols>
          <w:pgMar w:left="240" w:top="142" w:right="1440" w:bottom="1440" w:gutter="0" w:footer="0" w:header="0"/>
          <w:type w:val="continuous"/>
        </w:sectPr>
      </w:pPr>
    </w:p>
    <w:bookmarkStart w:id="13" w:name="page14"/>
    <w:bookmarkEnd w:id="13"/>
    <w:p>
      <w:pPr>
        <w:ind w:right="2879"/>
        <w:spacing w:after="0" w:line="249" w:lineRule="auto"/>
        <w:rPr>
          <w:sz w:val="20"/>
          <w:szCs w:val="20"/>
          <w:color w:val="auto"/>
        </w:rPr>
      </w:pPr>
      <w:r>
        <w:rPr>
          <w:rFonts w:ascii="Courier New" w:cs="Courier New" w:eastAsia="Courier New" w:hAnsi="Courier New"/>
          <w:sz w:val="16"/>
          <w:szCs w:val="16"/>
          <w:color w:val="auto"/>
        </w:rPr>
        <w:t>respectively. The ratio of earnings to fixed charges was 1.71x and 1.63x during the first nine months of 1999 and 1998, respectively. The ratio of funds from operations to combined fixed charges and preferred dividends was 2.17x for both the first nine months of 1999 and 1998.</w:t>
      </w:r>
    </w:p>
    <w:p>
      <w:pPr>
        <w:spacing w:after="0" w:line="188"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Administrative expenses decreased from $13.4 million in the first nine months of 1998 to $10.9 million in the first nine months of 1999. During the third quarter of 1998, we recorded a $4.7 million charge related to a comprehensive restructuring program. During the third quarter of 1999, we incurred expenses of approximately $2.5 million related to legal, accounting, tax and other advisory services related to the spin off and the merger transactions discussed under "Strategic Transactions" above. Such costs have been expensed in their entirety in the third quarter of 1999. There are currently no plans to consummate a spin off or merger transaction.</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During the second quarter of 1999, we recorded a $7.1 million charge, representing the estimated loss on a potential sale of certain assets, principally Northeast Plaza in Atlanta, Georgia, thereby valuing the assets at their estimated fair value less estimated costs to sell. On October 18, 1999, we sold the 448,000 square foot Northeast Plaza shopping center for $19.6 million, realizing a loss of $6.4 million.</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As a result of the foregoing items, net income before estimated loss on the sale of real estate increased from $32.2 million in the first nine months of 1998 to $41.6 million in the first nine months of 1999, with net income increasing from $32.2 million during the first nine months of 1998 to $34.6 million during the first nine months of 1999 and net income available for common shareholders increasing from $26.2 million to $28.6 million.</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expect growth in net income before loss on sale of real estate and funds from operations during the remainder of 1999 both from contributions of our recent acquisitions and from contributions of our portfolio, primarily the properties undergoing redevelopment and retenanting. However, growth of net income from the portfolio is, in part, dependent on controlling expenses, some of which are beyond our complete control, such as snow removal, changes in the retailing environment and the potential impact of the internet. We currently expect that demand for our retail space should remain at levels similar to those in 1998. A weakening of the retail environment could, however, adversely impact us by increasing vacancies and decreasing rents. In past weak retail and real estate environments, we have been able to replace weak and bankrupt tenants with stronger tenants; management believes that due to the quality of our properties there will continue to be demand for our space. Growth in net income is also dependent on interest rates and controlling administrative costs. If interest rates increase, net income and funds from operations, as well as the ultimate cost of our development projects will be negatively impacted due to the variable interest rates on our revolving credit facilities. We are aggressively managing our administrative expenses through our reorganization efforts.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S-11</w:t>
      </w:r>
    </w:p>
    <w:p>
      <w:pPr>
        <w:sectPr>
          <w:pgSz w:w="11900" w:h="16838" w:orient="portrait"/>
          <w:cols w:equalWidth="0" w:num="1">
            <w:col w:w="10219"/>
          </w:cols>
          <w:pgMar w:left="240" w:top="680" w:right="1440" w:bottom="1440" w:gutter="0" w:footer="0" w:header="0"/>
        </w:sectPr>
      </w:pPr>
    </w:p>
    <w:bookmarkStart w:id="14" w:name="page15"/>
    <w:bookmarkEnd w:id="14"/>
    <w:p>
      <w:pPr>
        <w:ind w:left="3040"/>
        <w:spacing w:after="0"/>
        <w:rPr>
          <w:sz w:val="20"/>
          <w:szCs w:val="20"/>
          <w:color w:val="auto"/>
        </w:rPr>
      </w:pPr>
      <w:r>
        <w:rPr>
          <w:rFonts w:ascii="Courier New" w:cs="Courier New" w:eastAsia="Courier New" w:hAnsi="Courier New"/>
          <w:sz w:val="16"/>
          <w:szCs w:val="16"/>
          <w:color w:val="auto"/>
        </w:rPr>
        <w:t>BUSINESS STRATEGY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Portfolio</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An important part of our strategy is to own older, well-located properties in prime, densely populated and affluent areas and to enhance their operating performance through a program of renovation, expansion, reconfiguration and retenanting. This strategy has enabled us to increase revenues for each of the past ten years as shown in the following chart: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Revenues</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8"/>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(in millions)</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[BAR</w:t>
            </w:r>
          </w:p>
        </w:tc>
        <w:tc>
          <w:tcPr>
            <w:tcW w:w="5420" w:type="dxa"/>
            <w:vAlign w:val="bottom"/>
            <w:gridSpan w:val="7"/>
          </w:tcPr>
          <w:p>
            <w:pPr>
              <w:ind w:left="40"/>
              <w:spacing w:after="0"/>
              <w:rPr>
                <w:sz w:val="20"/>
                <w:szCs w:val="20"/>
                <w:color w:val="auto"/>
              </w:rPr>
            </w:pPr>
            <w:r>
              <w:rPr>
                <w:rFonts w:ascii="Courier New" w:cs="Courier New" w:eastAsia="Courier New" w:hAnsi="Courier New"/>
                <w:sz w:val="16"/>
                <w:szCs w:val="16"/>
                <w:color w:val="auto"/>
              </w:rPr>
              <w:t>GRAPH SHOWING PORTFOLIO REVENUES BY YEAR FROM 1990</w:t>
            </w:r>
          </w:p>
        </w:tc>
        <w:tc>
          <w:tcPr>
            <w:tcW w:w="68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4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THROUGH SEPTEMBER 30, 1999]</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6"/>
        </w:trPr>
        <w:tc>
          <w:tcPr>
            <w:tcW w:w="780" w:type="dxa"/>
            <w:vAlign w:val="bottom"/>
          </w:tcPr>
          <w:p>
            <w:pPr>
              <w:spacing w:after="0"/>
              <w:rPr>
                <w:sz w:val="20"/>
                <w:szCs w:val="20"/>
                <w:color w:val="auto"/>
              </w:rPr>
            </w:pPr>
            <w:r>
              <w:rPr>
                <w:rFonts w:ascii="Courier New" w:cs="Courier New" w:eastAsia="Courier New" w:hAnsi="Courier New"/>
                <w:sz w:val="16"/>
                <w:szCs w:val="16"/>
                <w:color w:val="auto"/>
              </w:rPr>
              <w:t>1990</w:t>
            </w: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1991</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1992</w:t>
            </w:r>
          </w:p>
        </w:tc>
        <w:tc>
          <w:tcPr>
            <w:tcW w:w="8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1995</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1996</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1997</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1998</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7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780" w:type="dxa"/>
            <w:vAlign w:val="bottom"/>
          </w:tcPr>
          <w:p>
            <w:pPr>
              <w:spacing w:after="0"/>
              <w:rPr>
                <w:sz w:val="20"/>
                <w:szCs w:val="20"/>
                <w:color w:val="auto"/>
              </w:rPr>
            </w:pPr>
            <w:r>
              <w:rPr>
                <w:rFonts w:ascii="Courier New" w:cs="Courier New" w:eastAsia="Courier New" w:hAnsi="Courier New"/>
                <w:sz w:val="16"/>
                <w:szCs w:val="16"/>
                <w:color w:val="auto"/>
              </w:rPr>
              <w:t>$ 91</w:t>
            </w: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$ 98</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$100</w:t>
            </w:r>
          </w:p>
        </w:tc>
        <w:tc>
          <w:tcPr>
            <w:tcW w:w="8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$115</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$138</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$154</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$179</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$204</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$238</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$260</w:t>
            </w:r>
          </w:p>
        </w:tc>
      </w:tr>
    </w:tbl>
    <w:p>
      <w:pPr>
        <w:spacing w:after="0" w:line="192"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Our portfolio has a track record of consistently increasing cash flow. We continually review all of our assets to assess their long-term value and their vulnerabilities in the future. We expect to selectively sell certain assets in a tax-efficient manner. Proceeds from any dispositions will be used to retire debt or to reinvest in operating or development assets which we believe offer strong risk-adjusted returns.</w:t>
      </w:r>
    </w:p>
    <w:p>
      <w:pPr>
        <w:spacing w:after="0" w:line="187" w:lineRule="exact"/>
        <w:rPr>
          <w:sz w:val="20"/>
          <w:szCs w:val="20"/>
          <w:color w:val="auto"/>
        </w:rPr>
      </w:pPr>
    </w:p>
    <w:p>
      <w:pPr>
        <w:ind w:right="3079" w:firstLine="293"/>
        <w:spacing w:after="0" w:line="250" w:lineRule="auto"/>
        <w:rPr>
          <w:sz w:val="20"/>
          <w:szCs w:val="20"/>
          <w:color w:val="auto"/>
        </w:rPr>
      </w:pPr>
      <w:r>
        <w:rPr>
          <w:rFonts w:ascii="Courier New" w:cs="Courier New" w:eastAsia="Courier New" w:hAnsi="Courier New"/>
          <w:sz w:val="16"/>
          <w:szCs w:val="16"/>
          <w:color w:val="auto"/>
        </w:rPr>
        <w:t>The properties have demonstrated their quality through their occupancy levels and rental growth over the past several years. Since 1991, the portfolio occupancy has ranged from 94%-96%, as shown on the chart below:</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Portfolio Occupancy Levels</w:t>
      </w:r>
    </w:p>
    <w:p>
      <w:pPr>
        <w:spacing w:after="0" w:line="19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[BAR GRAPH SHOWING PORTFOLIO OCCUPANCY LEVELS FROM 1991</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THROUGH SEPTEMBER 30, 1999]</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1991</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1992</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1995</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1996</w:t>
            </w: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1997</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94%</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96%</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95%</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94%</w:t>
            </w: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96%</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376"/>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S-12</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15" w:name="page16"/>
    <w:bookmarkEnd w:id="15"/>
    <w:p>
      <w:pPr>
        <w:ind w:right="2599" w:firstLine="293"/>
        <w:spacing w:after="0" w:line="249" w:lineRule="auto"/>
        <w:rPr>
          <w:sz w:val="20"/>
          <w:szCs w:val="20"/>
          <w:color w:val="auto"/>
        </w:rPr>
      </w:pPr>
      <w:r>
        <w:rPr>
          <w:rFonts w:ascii="Courier New" w:cs="Courier New" w:eastAsia="Courier New" w:hAnsi="Courier New"/>
          <w:sz w:val="16"/>
          <w:szCs w:val="16"/>
          <w:color w:val="auto"/>
        </w:rPr>
        <w:t>For the five years through September 30, 1999, minimum rent per square foot has increased from $9.53 to $14.60, an 8.9% compounded annual growth rate. By acquiring older assets, the portfolio is able to generate internal growth through the re-leasing of below-market leases. Since 1992, on a comparable space basis, we have produced an average 20% increase in new base rent from the previous base rent as shown in the following chart: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 Rollovers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5"/>
                <w:szCs w:val="15"/>
                <w:color w:val="auto"/>
              </w:rPr>
            </w:pPr>
          </w:p>
        </w:tc>
        <w:tc>
          <w:tcPr>
            <w:tcW w:w="2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Square Feet Increase over</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Leased</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Prior Rent</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532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1999..................</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761,000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1,090,000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1,121,000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1,300,000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1,300,000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770,000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880,000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851,000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Shopping Center Portfolio</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have always strived to own the highest quality assets in terms of long-term value appreciation. By focusing our acquisition efforts on properties with superior demographics, barriers to entry and in major metropolitan markets, the properties are able to achieve impressive operating results. In 1998, our reporting tenants' sales averaged over $280 per square foot, approximately 50% greater than the average sales at community and neighborhood centers throughout the United States of $190 per square foot, according to the National Research Bureau Shopping Center Database and Research Model. The shopping center assets are primarily located in infill locations in major metropolitan markets with superior demographics. The shopping center assets have an average density of 278,750 people within a five-mile radius with an average household income of approximately $72,000, as compared to the United States average of approximately $50,000.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Main Street Retail Program</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Over the past several years, consumers and retailers alike have returned in force to America's premier main streets. Consumers are increasingly seeking the convenience, entertainment and vitality main streets can provide. In 1994, we established a program to seize opportunities created by the growing trend of the revitalization of main street shopping districts and launched a program to selectively acquire and redevelop prime properties in established main street shopping districts. We intend to continue this strategy of targeting properties where the potential to generate immediate cash flow growth or the ability to add significant value through thoughtfully selected remerchandizing or redevelopment programs is available.</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are a dominant landlord on some of the most successful and dynamic streets in the United States. As of September 30, 1999, we owned 62 main street retail properties in 12 states and the District of Columbia. In nationally known retail districts from Greenwich, Connecticut, to Third Street Promenade in Santa Monica, California, we intend to continue to transform underutilized buildings into vibrant properties and put exciting retail and entertainment concepts on great streets. By creating value for the cities and communities these properties serve and the people who live in them, we believe we will not only enhance the communities but will enhance the value and stability of our portfolio. As population shifts continue and the growth in metropolitan markets increases demand for reinvigorated main streets, we believe that we are well positioned to lead in the creation and revitalization of urban retail landscapes.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S-13</w:t>
      </w:r>
    </w:p>
    <w:p>
      <w:pPr>
        <w:sectPr>
          <w:pgSz w:w="11900" w:h="16838" w:orient="portrait"/>
          <w:cols w:equalWidth="0" w:num="1">
            <w:col w:w="10219"/>
          </w:cols>
          <w:pgMar w:left="240" w:top="680" w:right="1440" w:bottom="1440" w:gutter="0" w:footer="0" w:header="0"/>
        </w:sectPr>
      </w:pPr>
    </w:p>
    <w:bookmarkStart w:id="16" w:name="page17"/>
    <w:bookmarkEnd w:id="16"/>
    <w:p>
      <w:pPr>
        <w:spacing w:after="0" w:line="12" w:lineRule="exact"/>
        <w:rPr>
          <w:sz w:val="20"/>
          <w:szCs w:val="20"/>
          <w:color w:val="auto"/>
        </w:rPr>
      </w:pPr>
    </w:p>
    <w:p>
      <w:pPr>
        <w:ind w:right="3179" w:firstLine="293"/>
        <w:spacing w:after="0" w:line="252" w:lineRule="auto"/>
        <w:rPr>
          <w:sz w:val="20"/>
          <w:szCs w:val="20"/>
          <w:color w:val="auto"/>
        </w:rPr>
      </w:pPr>
      <w:r>
        <w:rPr>
          <w:rFonts w:ascii="Courier New" w:cs="Courier New" w:eastAsia="Courier New" w:hAnsi="Courier New"/>
          <w:sz w:val="16"/>
          <w:szCs w:val="16"/>
          <w:color w:val="auto"/>
        </w:rPr>
        <w:t>The following table summarizes the growth of the Main Street Retail portfolio through September 30, 1999 (in thousands, except square feet):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Main Street Retail Portfolio</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w:t>
            </w:r>
          </w:p>
        </w:tc>
      </w:tr>
      <w:tr>
        <w:trPr>
          <w:trHeight w:val="188"/>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Ended</w:t>
            </w:r>
          </w:p>
        </w:tc>
      </w:tr>
      <w:tr>
        <w:trPr>
          <w:trHeight w:val="188"/>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rPr>
              <w:t>December 31,</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26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3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2680" w:type="dxa"/>
            <w:vAlign w:val="bottom"/>
          </w:tcPr>
          <w:p>
            <w:pPr>
              <w:spacing w:after="0"/>
              <w:rPr>
                <w:sz w:val="20"/>
                <w:szCs w:val="20"/>
                <w:color w:val="auto"/>
              </w:rPr>
            </w:pPr>
            <w:r>
              <w:rPr>
                <w:rFonts w:ascii="Courier New" w:cs="Courier New" w:eastAsia="Courier New" w:hAnsi="Courier New"/>
                <w:sz w:val="16"/>
                <w:szCs w:val="16"/>
                <w:color w:val="auto"/>
              </w:rPr>
              <w:t>Real Estate Assets(1)......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107,910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164,931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288,020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365,874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432,580</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9,310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20,555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31,998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42,643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37,000</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Net Operating Income.......</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3,994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12,538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20,345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28,660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25,341</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Square Feet(2).............</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532,944</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1,122,737</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1,502,807</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1,601,849</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1,798,181</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699" w:hanging="400"/>
        <w:spacing w:after="0" w:line="248"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September 30, 1999, includes $98 million related to new development in progress. The balance is comprised of both stabilized assets and assets which are in various stages of redevelopment.</w:t>
      </w:r>
    </w:p>
    <w:p>
      <w:pPr>
        <w:spacing w:after="0" w:line="1" w:lineRule="exact"/>
        <w:rPr>
          <w:rFonts w:ascii="Courier New" w:cs="Courier New" w:eastAsia="Courier New" w:hAnsi="Courier New"/>
          <w:sz w:val="16"/>
          <w:szCs w:val="16"/>
          <w:color w:val="auto"/>
        </w:rPr>
      </w:pPr>
    </w:p>
    <w:p>
      <w:pPr>
        <w:ind w:left="400" w:right="2799" w:hanging="400"/>
        <w:spacing w:after="0" w:line="252"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square footage for the third and fourth phases of Bethesda Row, Pentagon Row, Santana Row and San Antonio--Houston Street.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Main Street Retail Development</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intend to complete the development of our existing development projects and to pursue future opportunities to acquire land or other non-operating real estate in urban and suburban business districts for development of mixed-use projects with retail as a primary focus. Our efforts are focused on the creation of new main street, mixed-use districts in urban and close in, densely populated and affluent suburban markets. In addition to the retail component, these properties will contain a significant residential, hotel or office component or a combination thereof. As of September 30, 1999, we had approximately $98 million invested in our development projects.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Bethesda Row</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Bethesda Row in Bethesda, Maryland consists of eight buildings totaling more than 280,000 square feet encompassing five contiguous city blocks in the heart of downtown Bethesda's business district. With a blend of specialty retail totaling approximately 205,000 square feet and local office tenants totaling approximately 75,000 square feet, Bethesda Row is undergoing the fourth phase of a ten-year master redevelopment plan. Comprehensive streetscape improvements, including brick sidewalks, curbside landscaping, storefront enhancements and cafe-style seating, comprise an integral part of the master redevelopment plan. Currently, the third phase (Elm Street) and the fourth phase (Woodmont East) are under construction. Elm Street and Woodmont East are expected to be completed in the first quarter of 2000 and the second quarter of 2001,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Pentagon Row</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Located on an 18-acre parcel of land adjacent to the Fashion Centre at Pentagon City mall, Pentagon Row is a multi-level, mixed-use development that will feature more than 300,000 square feet of street-level retail, over 500 mid-rise apartment homes above the retail pedestal, and will include an array of specialty and convenience shops, innovative restaurants and entertainment venues. The development is convenient to public transit and major interstate arteries. The apartments will be developed by Post Properties, Inc., another publicly traded real estate investment trust. Construction on Pentagon Row began in July 1999 and we anticipate completion in the second quarter of 2001.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Santana Row</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Santana Row, located in San Jose, California, is a forty-two acre mixed-use development site in the heart of Silicon Valley. The development plan includes over 575,000 square feet of retail space centered around Santana Drive, the main street of the development. In addition, the project will include 1,200 residential units and a 200-room boutique hotel. Upon completion, Santana Drive will feature a central park lined with street-side cafes and a diverse, cosmopolitan mix of tenants.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Antonio--Houston Street</w:t>
      </w:r>
    </w:p>
    <w:p>
      <w:pPr>
        <w:spacing w:after="0" w:line="19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We own 11 properties in the three blocks of Houston Street in downtown San Antonio, Texas. Our development plan will remerchandise and redevelop the properties to create 250,000 square feet of retail space, 80,581 square feet of office or residential space, and two hotels containing approximately 400 rooms. A tiered promenade is planned to connect Houston Street to the River Walk, the number one tourist attraction in the State of Texas.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S-14</w:t>
      </w:r>
    </w:p>
    <w:p>
      <w:pPr>
        <w:sectPr>
          <w:pgSz w:w="11900" w:h="16850" w:orient="portrait"/>
          <w:cols w:equalWidth="0" w:num="1">
            <w:col w:w="10219"/>
          </w:cols>
          <w:pgMar w:left="240" w:top="680" w:right="1440" w:bottom="0" w:gutter="0" w:footer="0" w:header="0"/>
        </w:sectPr>
      </w:pPr>
    </w:p>
    <w:bookmarkStart w:id="17" w:name="page18"/>
    <w:bookmarkEnd w:id="17"/>
    <w:p>
      <w:pPr>
        <w:ind w:left="3320"/>
        <w:spacing w:after="0"/>
        <w:rPr>
          <w:sz w:val="20"/>
          <w:szCs w:val="20"/>
          <w:color w:val="auto"/>
        </w:rPr>
      </w:pPr>
      <w:r>
        <w:rPr>
          <w:rFonts w:ascii="Courier New" w:cs="Courier New" w:eastAsia="Courier New" w:hAnsi="Courier New"/>
          <w:sz w:val="16"/>
          <w:szCs w:val="16"/>
          <w:color w:val="auto"/>
        </w:rPr>
        <w:t>MANAGEMENT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Executive Officers and Trustees</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As of September 30, 1999, our executive officers and trustees were:</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82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Age</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Position with Trust</w:t>
            </w:r>
          </w:p>
        </w:tc>
      </w:tr>
      <w:tr>
        <w:trPr>
          <w:trHeight w:val="188"/>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1820" w:type="dxa"/>
            <w:vAlign w:val="bottom"/>
          </w:tcPr>
          <w:p>
            <w:pPr>
              <w:spacing w:after="0"/>
              <w:rPr>
                <w:sz w:val="16"/>
                <w:szCs w:val="16"/>
                <w:color w:val="auto"/>
              </w:rPr>
            </w:pPr>
          </w:p>
        </w:tc>
        <w:tc>
          <w:tcPr>
            <w:tcW w:w="78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w:t>
            </w:r>
          </w:p>
        </w:tc>
      </w:tr>
      <w:tr>
        <w:trPr>
          <w:trHeight w:val="376"/>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Steven</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J. Guttman.......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53</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President, Chief Executive Officer and Trustee</w:t>
            </w:r>
          </w:p>
        </w:tc>
      </w:tr>
      <w:tr>
        <w:trPr>
          <w:trHeight w:val="188"/>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Howard</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S. Biel..........</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52</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Senior Vice President and Chief Development Officer</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Nancy J. Herman.........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35</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Vice President--General Counsel and Secretary</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Ron D. Kaplan...........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36</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Senior Vice President--Capital Markets and Chief Investment Officer</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Cecily A. Ward..........</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53</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Vice President--Controller and Treasurer</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Donald C. Wood..........</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39</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Senior Vice President, Chief Operating Officer and Chief Financial Officer</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Mark S. Ordan...........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40</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Trustee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Kenneth D. Brody........</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56</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Trustee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A. Cornet de Ways</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66</w:t>
            </w:r>
          </w:p>
        </w:tc>
        <w:tc>
          <w:tcPr>
            <w:tcW w:w="7480" w:type="dxa"/>
            <w:vAlign w:val="bottom"/>
          </w:tcPr>
          <w:p>
            <w:pPr>
              <w:spacing w:after="0"/>
              <w:rPr>
                <w:sz w:val="16"/>
                <w:szCs w:val="16"/>
                <w:color w:val="auto"/>
              </w:rPr>
            </w:pPr>
          </w:p>
        </w:tc>
      </w:tr>
      <w:tr>
        <w:trPr>
          <w:trHeight w:val="188"/>
        </w:trPr>
        <w:tc>
          <w:tcPr>
            <w:tcW w:w="580" w:type="dxa"/>
            <w:vAlign w:val="bottom"/>
          </w:tcPr>
          <w:p>
            <w:pPr>
              <w:ind w:left="100"/>
              <w:spacing w:after="0"/>
              <w:rPr>
                <w:sz w:val="20"/>
                <w:szCs w:val="20"/>
                <w:color w:val="auto"/>
              </w:rPr>
            </w:pPr>
            <w:r>
              <w:rPr>
                <w:rFonts w:ascii="Courier New" w:cs="Courier New" w:eastAsia="Courier New" w:hAnsi="Courier New"/>
                <w:sz w:val="16"/>
                <w:szCs w:val="16"/>
                <w:color w:val="auto"/>
                <w:w w:val="95"/>
              </w:rPr>
              <w:t>Ruart</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Trustee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Walter F. Loeb..........</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75</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Trustee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Dennis L. Berman........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48</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Trustee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Kristin Gamble..........</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53</w:t>
            </w:r>
          </w:p>
        </w:tc>
        <w:tc>
          <w:tcPr>
            <w:tcW w:w="7480" w:type="dxa"/>
            <w:vAlign w:val="bottom"/>
          </w:tcPr>
          <w:p>
            <w:pPr>
              <w:ind w:left="60"/>
              <w:spacing w:after="0"/>
              <w:rPr>
                <w:sz w:val="20"/>
                <w:szCs w:val="20"/>
                <w:color w:val="auto"/>
              </w:rPr>
            </w:pPr>
            <w:r>
              <w:rPr>
                <w:rFonts w:ascii="Courier New" w:cs="Courier New" w:eastAsia="Courier New" w:hAnsi="Courier New"/>
                <w:sz w:val="16"/>
                <w:szCs w:val="16"/>
                <w:color w:val="auto"/>
              </w:rPr>
              <w:t>Trustee</w:t>
            </w:r>
          </w:p>
        </w:tc>
      </w:tr>
    </w:tbl>
    <w:p>
      <w:pPr>
        <w:spacing w:after="0" w:line="380" w:lineRule="exact"/>
        <w:rPr>
          <w:sz w:val="20"/>
          <w:szCs w:val="20"/>
          <w:color w:val="auto"/>
        </w:rPr>
      </w:pPr>
    </w:p>
    <w:p>
      <w:pPr>
        <w:ind w:right="2640" w:firstLine="293"/>
        <w:spacing w:after="0" w:line="249" w:lineRule="auto"/>
        <w:rPr>
          <w:sz w:val="20"/>
          <w:szCs w:val="20"/>
          <w:color w:val="auto"/>
        </w:rPr>
      </w:pPr>
      <w:r>
        <w:rPr>
          <w:rFonts w:ascii="Courier New" w:cs="Courier New" w:eastAsia="Courier New" w:hAnsi="Courier New"/>
          <w:sz w:val="16"/>
          <w:szCs w:val="16"/>
          <w:color w:val="auto"/>
        </w:rPr>
        <w:t>Steven J. Guttman has been our President and Chief Executive Officer since April 1980 and serves on our Board of Trustees. Mr. Guttman joined us in 1972. In 1975, he became Director of Acquisitions and in 1975 was promoted to Chief Operating Officer and became Managing Trustee in 1979. Mr. Guttman is currently serving his third term on the Board of Governors of NAREIT, where he previously served as Chairman and currently serves as a member of the Executive Committee. He has held active membership in the International Council of Shopping Centers since 1972 and served as Trustee from 1991-1997. Mr. Guttman is also a member of the Real Estate Center Advisory Board of the Wharton School of the University of Pennsylvania, is a member of the Executive Committee, and is Chairman of the Membership/Program Committee. Additionally, Mr. Guttman is a member of the Board of Advisors of the George Washington University Law School.</w:t>
      </w:r>
    </w:p>
    <w:p>
      <w:pPr>
        <w:spacing w:after="0" w:line="375" w:lineRule="exact"/>
        <w:rPr>
          <w:sz w:val="20"/>
          <w:szCs w:val="20"/>
          <w:color w:val="auto"/>
        </w:rPr>
      </w:pPr>
    </w:p>
    <w:p>
      <w:pPr>
        <w:ind w:right="2740" w:firstLine="293"/>
        <w:spacing w:after="0" w:line="249" w:lineRule="auto"/>
        <w:rPr>
          <w:sz w:val="20"/>
          <w:szCs w:val="20"/>
          <w:color w:val="auto"/>
        </w:rPr>
      </w:pPr>
      <w:r>
        <w:rPr>
          <w:rFonts w:ascii="Courier New" w:cs="Courier New" w:eastAsia="Courier New" w:hAnsi="Courier New"/>
          <w:sz w:val="16"/>
          <w:szCs w:val="16"/>
          <w:color w:val="auto"/>
        </w:rPr>
        <w:t>Howard S. Biel joined us in January 1998. He is currently Senior Vice President and Chief Development Officer. From 1991 through 1997, Mr. Biel was Regional Partner for Faison, where he was responsible for development in the Mid-Atlantic and Northeast regions. From 1986 through 1990, Mr. Biel was Executive Vice President for Western Development Corporation (now The Mills Corporation), where he oversaw the development and management of value oriented super-regional shopping malls. From 1979 through 1985, he was Senior Vice President for Development at the Edward J. DeBartolo Corporation.</w:t>
      </w:r>
    </w:p>
    <w:p>
      <w:pPr>
        <w:spacing w:after="0" w:line="187" w:lineRule="exact"/>
        <w:rPr>
          <w:sz w:val="20"/>
          <w:szCs w:val="20"/>
          <w:color w:val="auto"/>
        </w:rPr>
      </w:pPr>
    </w:p>
    <w:p>
      <w:pPr>
        <w:ind w:right="2640" w:firstLine="293"/>
        <w:spacing w:after="0" w:line="249" w:lineRule="auto"/>
        <w:rPr>
          <w:sz w:val="20"/>
          <w:szCs w:val="20"/>
          <w:color w:val="auto"/>
        </w:rPr>
      </w:pPr>
      <w:r>
        <w:rPr>
          <w:rFonts w:ascii="Courier New" w:cs="Courier New" w:eastAsia="Courier New" w:hAnsi="Courier New"/>
          <w:sz w:val="16"/>
          <w:szCs w:val="16"/>
          <w:color w:val="auto"/>
        </w:rPr>
        <w:t>Nancy J. Herman became our Vice President--General Counsel and Secretary in December 1998. In this position, Ms. Herman has overall responsibility for our legal affairs, human resources and administration. Ms. Herman joined us in 1990 as a staff attorney. Prior to joining us in 1990, Ms. Herman practiced real estate law at Hogan &amp; Hartson L.L.P.</w:t>
      </w:r>
    </w:p>
    <w:p>
      <w:pPr>
        <w:spacing w:after="0" w:line="187" w:lineRule="exact"/>
        <w:rPr>
          <w:sz w:val="20"/>
          <w:szCs w:val="20"/>
          <w:color w:val="auto"/>
        </w:rPr>
      </w:pPr>
    </w:p>
    <w:p>
      <w:pPr>
        <w:ind w:right="2640" w:firstLine="293"/>
        <w:spacing w:after="0" w:line="249" w:lineRule="auto"/>
        <w:rPr>
          <w:sz w:val="20"/>
          <w:szCs w:val="20"/>
          <w:color w:val="auto"/>
        </w:rPr>
      </w:pPr>
      <w:r>
        <w:rPr>
          <w:rFonts w:ascii="Courier New" w:cs="Courier New" w:eastAsia="Courier New" w:hAnsi="Courier New"/>
          <w:sz w:val="16"/>
          <w:szCs w:val="16"/>
          <w:color w:val="auto"/>
        </w:rPr>
        <w:t>Ron D. Kaplan joined us in November 1992. Mr. Kaplan is Senior Vice President--Capital Markets and Chief Investment Officer, and is responsible for our investment policies, strategic planning, capital raising and capital market transactions in addition to the maintenance of our relationships with institutional shareholders, lending institutions and the financial community. From its formation in 1994 through 1998, Mr. Kaplan was charged with managing Street Retail, Inc., a wholly owned subsidiary of ours specializing in the acquisition and development of main street retail properties. Mr. Kaplan was formerly a Vice President of Salomon Brothers Inc where he was responsible for capital raising and financial advisory services for public and private real estate companies.</w:t>
      </w:r>
    </w:p>
    <w:p>
      <w:pPr>
        <w:spacing w:after="0" w:line="187" w:lineRule="exact"/>
        <w:rPr>
          <w:sz w:val="20"/>
          <w:szCs w:val="20"/>
          <w:color w:val="auto"/>
        </w:rPr>
      </w:pPr>
    </w:p>
    <w:p>
      <w:pPr>
        <w:ind w:right="2840" w:firstLine="293"/>
        <w:spacing w:after="0" w:line="249" w:lineRule="auto"/>
        <w:rPr>
          <w:sz w:val="20"/>
          <w:szCs w:val="20"/>
          <w:color w:val="auto"/>
        </w:rPr>
      </w:pPr>
      <w:r>
        <w:rPr>
          <w:rFonts w:ascii="Courier New" w:cs="Courier New" w:eastAsia="Courier New" w:hAnsi="Courier New"/>
          <w:sz w:val="16"/>
          <w:szCs w:val="16"/>
          <w:color w:val="auto"/>
        </w:rPr>
        <w:t>Cecily A. Ward joined us in April 1987. Ms. Ward is currently Vice President--Controller and Treasurer. She oversees our accounting practices, maintains our financial records and prepares our financial reports. Prior to joining us, Ms. Ward, a certified public accountant, was with Grant Thornton LLP.</w:t>
      </w:r>
    </w:p>
    <w:p>
      <w:pPr>
        <w:spacing w:after="0" w:line="187" w:lineRule="exact"/>
        <w:rPr>
          <w:sz w:val="20"/>
          <w:szCs w:val="20"/>
          <w:color w:val="auto"/>
        </w:rPr>
      </w:pPr>
    </w:p>
    <w:p>
      <w:pPr>
        <w:ind w:right="2740" w:firstLine="293"/>
        <w:spacing w:after="0" w:line="249" w:lineRule="auto"/>
        <w:rPr>
          <w:sz w:val="20"/>
          <w:szCs w:val="20"/>
          <w:color w:val="auto"/>
        </w:rPr>
      </w:pPr>
      <w:r>
        <w:rPr>
          <w:rFonts w:ascii="Courier New" w:cs="Courier New" w:eastAsia="Courier New" w:hAnsi="Courier New"/>
          <w:sz w:val="16"/>
          <w:szCs w:val="16"/>
          <w:color w:val="auto"/>
        </w:rPr>
        <w:t>Donald C. Wood joined us in May 1998. He is currently Senior Vice President, Chief Financial Officer and Chief Operating Officer. Mr. Wood was promoted to Chief Operating Officer in November 1999, where he has direct responsibility for the operating and financial performance of our operating properties. Prior to joining us, Mr. Wood was Senior Vice President and Chief Financial Officer for Caesars World, Inc., a wholly owned subsidiary of ITT Corporation, where he was responsible for all aspects of finance throughout the company including strategic planning, process re-engineering, capital allocation and financial analysis. Prior to joining ITT in 1990, Mr. Wood was employed at Arthur Andersen &amp; Co. from 1982 where he served in numerous positions including audit manager.</w:t>
      </w:r>
    </w:p>
    <w:p>
      <w:pPr>
        <w:sectPr>
          <w:pgSz w:w="11900" w:h="16838" w:orient="portrait"/>
          <w:cols w:equalWidth="0" w:num="1">
            <w:col w:w="10260"/>
          </w:cols>
          <w:pgMar w:left="240" w:top="680" w:right="1399" w:bottom="0" w:gutter="0" w:footer="0" w:header="0"/>
        </w:sectPr>
      </w:pPr>
    </w:p>
    <w:bookmarkStart w:id="18" w:name="page19"/>
    <w:bookmarkEnd w:id="18"/>
    <w:p>
      <w:pPr>
        <w:ind w:left="242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9019"/>
          </w:cols>
          <w:pgMar w:left="1440" w:top="330" w:right="1440" w:bottom="1440" w:gutter="0" w:footer="0" w:header="0"/>
        </w:sectPr>
      </w:pPr>
    </w:p>
    <w:bookmarkStart w:id="19" w:name="page20"/>
    <w:bookmarkEnd w:id="19"/>
    <w:p>
      <w:pPr>
        <w:ind w:right="2599" w:firstLine="293"/>
        <w:spacing w:after="0" w:line="249" w:lineRule="auto"/>
        <w:rPr>
          <w:sz w:val="20"/>
          <w:szCs w:val="20"/>
          <w:color w:val="auto"/>
        </w:rPr>
      </w:pPr>
      <w:r>
        <w:rPr>
          <w:rFonts w:ascii="Courier New" w:cs="Courier New" w:eastAsia="Courier New" w:hAnsi="Courier New"/>
          <w:sz w:val="16"/>
          <w:szCs w:val="16"/>
          <w:color w:val="auto"/>
        </w:rPr>
        <w:t>Mark S. Ordan has been a trustee since 1996. Mr. Ordan is currently Partner, Bethesda Retail Partners, a retail venture capital and operating firm; Former Chief Executive Officer, Chartwell Health Management Inc.; Former Chairman, President and Chief Executive Officer, Fresh Fields Markets, Inc., a healthy foods supermarket; Trustee, Vassar College; and Director, Center for Science in the Public Interest. Mr. Ordan's term as a trustee will expire in 2002.</w:t>
      </w:r>
    </w:p>
    <w:p>
      <w:pPr>
        <w:spacing w:after="0" w:line="37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Kenneth D. Brody has been a trustee since 1997. Mr. Brody is Founding Partner, Winslow Partners LLC, a private equity investment firm; Former President and Chairman, Export-Import Bank of the United States; Director, Quest Diagnostics, Inc.; and Director, American Red Cross. Mr. Brody's term as a trustee will expire in 2000.</w:t>
      </w:r>
    </w:p>
    <w:p>
      <w:pPr>
        <w:spacing w:after="0" w:line="187" w:lineRule="exact"/>
        <w:rPr>
          <w:sz w:val="20"/>
          <w:szCs w:val="20"/>
          <w:color w:val="auto"/>
        </w:rPr>
      </w:pPr>
    </w:p>
    <w:p>
      <w:pPr>
        <w:ind w:right="3179" w:firstLine="293"/>
        <w:spacing w:after="0" w:line="249" w:lineRule="auto"/>
        <w:rPr>
          <w:sz w:val="20"/>
          <w:szCs w:val="20"/>
          <w:color w:val="auto"/>
        </w:rPr>
      </w:pPr>
      <w:r>
        <w:rPr>
          <w:rFonts w:ascii="Courier New" w:cs="Courier New" w:eastAsia="Courier New" w:hAnsi="Courier New"/>
          <w:sz w:val="16"/>
          <w:szCs w:val="16"/>
          <w:color w:val="auto"/>
        </w:rPr>
        <w:t>A. Cornet de Ways Ruart has been a trustee since 1983. Mr. Ruart is Director of SIPEF S.A., an international holding company principally of agricultural interests; and Director of Interbrew S.A., an international brewery. Mr. Ruart's term as a trustee will expire in 2000.</w:t>
      </w:r>
    </w:p>
    <w:p>
      <w:pPr>
        <w:spacing w:after="0" w:line="188"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Walter F. Loeb has been a trustee since 1991. Mr. Loeb is President, Loeb Associates Inc., a management consulting firm. Publisher, Loeb Retail Letter; Director, The Gymboree Corp.; Director, Mothers Work, Inc.; Director, Wet Seal, Inc., a women's apparel retailer; Director, Hudson's Bay Company, a Canadian chain of retail department stores and discount stores; Director, The Warnaco Group, Inc.; and Retired Principal and Senior Retail Analyst, Morgan Stanley &amp; Co., Inc. Mr. Loeb's term as a trustee will expire in 2000.</w:t>
      </w:r>
    </w:p>
    <w:p>
      <w:pPr>
        <w:spacing w:after="0" w:line="187" w:lineRule="exact"/>
        <w:rPr>
          <w:sz w:val="20"/>
          <w:szCs w:val="20"/>
          <w:color w:val="auto"/>
        </w:rPr>
      </w:pPr>
    </w:p>
    <w:p>
      <w:pPr>
        <w:ind w:right="3179" w:firstLine="293"/>
        <w:spacing w:after="0" w:line="249" w:lineRule="auto"/>
        <w:rPr>
          <w:sz w:val="20"/>
          <w:szCs w:val="20"/>
          <w:color w:val="auto"/>
        </w:rPr>
      </w:pPr>
      <w:r>
        <w:rPr>
          <w:rFonts w:ascii="Courier New" w:cs="Courier New" w:eastAsia="Courier New" w:hAnsi="Courier New"/>
          <w:sz w:val="16"/>
          <w:szCs w:val="16"/>
          <w:color w:val="auto"/>
        </w:rPr>
        <w:t>Dennis L. Berman has been a trustee since 1989. Mr. Berman is General Partner, Berman Enterprises, Vingarden Associates, GDR Partnerships, builders/developers; and Director, Beco Management, office building owners/managers. Mr. Berman's term as a trustee will expire in 2001.</w:t>
      </w:r>
    </w:p>
    <w:p>
      <w:pPr>
        <w:spacing w:after="0" w:line="188" w:lineRule="exact"/>
        <w:rPr>
          <w:sz w:val="20"/>
          <w:szCs w:val="20"/>
          <w:color w:val="auto"/>
        </w:rPr>
      </w:pPr>
    </w:p>
    <w:p>
      <w:pPr>
        <w:ind w:right="2799" w:firstLine="293"/>
        <w:spacing w:after="0" w:line="249" w:lineRule="auto"/>
        <w:rPr>
          <w:sz w:val="20"/>
          <w:szCs w:val="20"/>
          <w:color w:val="auto"/>
        </w:rPr>
      </w:pPr>
      <w:r>
        <w:rPr>
          <w:rFonts w:ascii="Courier New" w:cs="Courier New" w:eastAsia="Courier New" w:hAnsi="Courier New"/>
          <w:sz w:val="16"/>
          <w:szCs w:val="16"/>
          <w:color w:val="auto"/>
        </w:rPr>
        <w:t>Kristin Gamble has been a trustee since 1995. Ms. Gamble is President, Flood, Gamble Associates, Inc., an investment counseling firm; and Director, Ethan Allen Interiors, Inc., a furniture manufacturer and retailer. Ms. Gamble's term as a trustee will expire in 2001.</w:t>
      </w:r>
    </w:p>
    <w:p>
      <w:pPr>
        <w:spacing w:after="0" w:line="188"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PROPERTY INFORMATION</w:t>
      </w:r>
    </w:p>
    <w:p>
      <w:pPr>
        <w:spacing w:after="0" w:line="195" w:lineRule="exact"/>
        <w:rPr>
          <w:sz w:val="20"/>
          <w:szCs w:val="20"/>
          <w:color w:val="auto"/>
        </w:rPr>
      </w:pPr>
    </w:p>
    <w:p>
      <w:pPr>
        <w:ind w:right="2599" w:firstLine="293"/>
        <w:spacing w:after="0" w:line="250" w:lineRule="auto"/>
        <w:rPr>
          <w:sz w:val="20"/>
          <w:szCs w:val="20"/>
          <w:color w:val="auto"/>
        </w:rPr>
      </w:pPr>
      <w:r>
        <w:rPr>
          <w:rFonts w:ascii="Courier New" w:cs="Courier New" w:eastAsia="Courier New" w:hAnsi="Courier New"/>
          <w:sz w:val="16"/>
          <w:szCs w:val="16"/>
          <w:color w:val="auto"/>
        </w:rPr>
        <w:t>As of September 30, 1999, we owned 123 retail properties and one apartment complex located in the Northeast, the Mid-Atlantic and the West Coast regions. Set forth below is specified information relating to our properties.</w:t>
      </w:r>
    </w:p>
    <w:p>
      <w:pPr>
        <w:spacing w:after="0" w:line="185" w:lineRule="exact"/>
        <w:rPr>
          <w:sz w:val="20"/>
          <w:szCs w:val="20"/>
          <w:color w:val="auto"/>
        </w:rPr>
      </w:pPr>
    </w:p>
    <w:p>
      <w:pPr>
        <w:ind w:right="2979" w:firstLine="293"/>
        <w:spacing w:after="0" w:line="252" w:lineRule="auto"/>
        <w:rPr>
          <w:sz w:val="20"/>
          <w:szCs w:val="20"/>
          <w:color w:val="auto"/>
        </w:rPr>
      </w:pPr>
      <w:r>
        <w:rPr>
          <w:rFonts w:ascii="Courier New" w:cs="Courier New" w:eastAsia="Courier New" w:hAnsi="Courier New"/>
          <w:sz w:val="16"/>
          <w:szCs w:val="16"/>
          <w:color w:val="auto"/>
        </w:rPr>
        <w:t>A summary of our operations by geographic region is presented below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Nine months ended</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8"/>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9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September 30, 1999</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Mid-</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West</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0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Northeast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Atlantic</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Coast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250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Rental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75,596</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$ 82,710</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$ 22,772</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181,078</w:t>
            </w:r>
          </w:p>
        </w:tc>
      </w:tr>
      <w:tr>
        <w:trPr>
          <w:trHeight w:val="188"/>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Percentage of total</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rental income.........</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Other income.............</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4,419</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2,719</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1,038</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8,176</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5,779</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5,779</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Rental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(15,217)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(18,160)</w:t>
            </w:r>
          </w:p>
        </w:tc>
        <w:tc>
          <w:tcPr>
            <w:tcW w:w="10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(5,677)</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(39,054)</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Real estate tax..........</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(9,538)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(6,744)</w:t>
            </w:r>
          </w:p>
        </w:tc>
        <w:tc>
          <w:tcPr>
            <w:tcW w:w="10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(2,062)</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(18,344)</w:t>
            </w:r>
          </w:p>
        </w:tc>
      </w:tr>
      <w:tr>
        <w:trPr>
          <w:trHeight w:val="188"/>
        </w:trPr>
        <w:tc>
          <w:tcPr>
            <w:tcW w:w="250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Net operating income...</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55,260</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60,525</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16,071</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5,779</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137,635</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(45,507)</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(45,507)</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Administrative expense...</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(10,888)</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(10,888)</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(16,784)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(17,024)</w:t>
            </w:r>
          </w:p>
        </w:tc>
        <w:tc>
          <w:tcPr>
            <w:tcW w:w="10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(2,879)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(626)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(37,313)</w:t>
            </w:r>
          </w:p>
        </w:tc>
      </w:tr>
      <w:tr>
        <w:trPr>
          <w:trHeight w:val="188"/>
        </w:trPr>
        <w:tc>
          <w:tcPr>
            <w:tcW w:w="250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Income before investors'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share of operations.....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38,476</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$ 43,501</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$ 13,192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($51,242)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43,927</w:t>
            </w:r>
          </w:p>
        </w:tc>
      </w:tr>
      <w:tr>
        <w:trPr>
          <w:trHeight w:val="188"/>
        </w:trPr>
        <w:tc>
          <w:tcPr>
            <w:tcW w:w="250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Capital expenditures.....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24,407</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$ 17,401</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$ 53,160</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94,968</w:t>
            </w:r>
          </w:p>
        </w:tc>
      </w:tr>
      <w:tr>
        <w:trPr>
          <w:trHeight w:val="188"/>
        </w:trPr>
        <w:tc>
          <w:tcPr>
            <w:tcW w:w="250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Real estate assets.......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707,982</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$687,134</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$334,058</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$1,729,174</w:t>
            </w:r>
          </w:p>
        </w:tc>
      </w:tr>
      <w:tr>
        <w:trPr>
          <w:trHeight w:val="188"/>
        </w:trPr>
        <w:tc>
          <w:tcPr>
            <w:tcW w:w="250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Percentage of real</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estate assets.........</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250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52"/>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S-16</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680" w:right="1440" w:bottom="185"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The following table sets forth information concerning our properties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1999:</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Northeast Operating Region</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Cost as of Occupancy as of</w:t>
            </w:r>
          </w:p>
        </w:tc>
        <w:tc>
          <w:tcPr>
            <w:tcW w:w="2600" w:type="dxa"/>
            <w:vAlign w:val="bottom"/>
          </w:tcPr>
          <w:p>
            <w:pPr>
              <w:spacing w:after="0"/>
              <w:rPr>
                <w:sz w:val="15"/>
                <w:szCs w:val="15"/>
                <w:color w:val="auto"/>
              </w:rPr>
            </w:pPr>
          </w:p>
        </w:tc>
      </w:tr>
      <w:tr>
        <w:trPr>
          <w:trHeight w:val="188"/>
        </w:trPr>
        <w:tc>
          <w:tcPr>
            <w:tcW w:w="23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Year</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Square</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Acquisition</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September 30,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Principal</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Property</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Acquired</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Feet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Cost</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1999</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Tenants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78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376"/>
        </w:trPr>
        <w:tc>
          <w:tcPr>
            <w:tcW w:w="234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Allwood</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52,000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  3,920,000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4,167,000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Grand Union; Mandee's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Clifton,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Andorra</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259,000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14,778,000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18,023,000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96%</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Acme Markets; AMC</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Andorra Theater; Kohl's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Bala Cynwyd</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279,000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18,031,000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20,956,000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Lord &amp; Taylor; Acme</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Bala Cynwyd,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Markets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Blue Star</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394,000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29,922,000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34,877,000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89%</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Kohl's; Shop-Rite; Toys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Watchung,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"R" Us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Brick Plaza</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402,000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24,715,000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49,610,000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A &amp; P Supermarket;</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Brick,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Sports Authority; The</w:t>
            </w: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Bon Ton</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Bristol</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296,000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19,815,000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20,677,000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88%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Bradlees; Super Stop &amp;</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Bristol, CT</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Shop; T.J. Maxx</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Brunswick</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261,000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12,456,000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15,064,000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(2)</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A &amp; P Supermarket; Rite-</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North Brunswick,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Aide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Clifton</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3,646,000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4,590,000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91%</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Acme Markets; Drug Fair</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Clifton, NJ</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Crossroads</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173,000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16,246,000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21,339,000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93%</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Comp USA; Binny's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Highland Park, IL</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Beverage Golfsmith</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Dedham Plaza</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25,287,000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26,867,000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92%</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Ames; Cherry &amp; Webb</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Dedham, MA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Ellisburg Circle</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1992</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258,000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15,337,000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25,086,000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88%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Bed, Bath &amp; Beyond; Ross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Cherry Hill, NJ</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Dress for Less; Shop</w:t>
            </w: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Rite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Feasterville</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116,000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3,031,000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11,466,000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Office Max; Genuardi's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Feasterville,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Market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Finley</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313,000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18,796,000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24,939,000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93%</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Bed, Bath &amp; Beyond</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Downers Grove, IL</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Service Merchandise</w:t>
            </w: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Sports Authority</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Flourtown</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191,000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5,288,000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8,352,000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Kmart; Genuardi's Market</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Flourtown,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Fresh Meadows</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410,000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49,880,000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52,764,000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Cineplex Odeon; Filene's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Queens, NY</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Basement; Kmart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Garden Market</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134,000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7,506,000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8,206,000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88%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Dominick's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Western Springs, IL</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Gratiot Plaza</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1973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215,000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2,126,000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16,275,000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99%</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Bed, Bath &amp; Beyond</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Roseville, MI</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Farmer Jack</w:t>
            </w: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Drug Emporium</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Hamilton</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5,405,000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7,555,000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99%</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Shop-Rite; Steven's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Hamilton,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Furniture; A.C. Moore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Hauppauge</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131,000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24,053,000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25,613,000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Shop-Rite; Office Max</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Hauppauge, NY</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Huntington</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279,000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16,008,000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21,332,000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Bed, Bath &amp; Beyond;</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Huntington, NY(1)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Filene's Basement; Toys</w:t>
            </w: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"R" Us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Lancaster</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107,000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2,103,000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4,635,000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94%</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Giant Food; A.C. Moore</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Lancaster, PA(1)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Langhorne Square</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3,694,000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16,738,000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96%</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Redner's Supermarket;</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Levittown,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Drug Emporium; Marshalls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Lawrence Park</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338,000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12,883,000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22,058,000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93%</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Acme Markets; Jefferson</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Broomall,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HealthCARE; Quest/CHI</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Northeast</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297,000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11,748,000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20,745,000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88%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Burlington Coat Factory;</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Marshalls Bally's Total</w:t>
            </w: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Fitness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North Lake Commons</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129,000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11,133,000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12,752,000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Dominick's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Lake Zurich, IL</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Queen Anne Plaza</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149,000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11,776,000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14,191,000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T.J. Maxx; Victory</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Norwell, MA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Supermarket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Rutgers</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216,000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14,429,000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15,758,000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Edwards Super Food</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Franklin,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Store; Kmart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Saugus Plaza</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171,000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12,674,000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12,964,000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Kmart; Edwards Super</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Saugus, MA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Food Store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Troy</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202,000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8,319,000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20,241,000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Comp USA; Pathmark; A.C.</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Parsippany-Troy, NJ</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Moore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Willow Grove</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213,000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8,142,000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24,913,000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Barnes &amp; Noble;</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Willow Grove,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Marshalls; Toys "R" Us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Wynnewood</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257,000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21,814,000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33,303,000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98%</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Bed, Bath &amp; Beyond;</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Wynnewood,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Borders Books &amp; Music;</w:t>
            </w:r>
          </w:p>
        </w:tc>
      </w:tr>
      <w:tr>
        <w:trPr>
          <w:trHeight w:val="188"/>
        </w:trPr>
        <w:tc>
          <w:tcPr>
            <w:tcW w:w="234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Genuardi's Market</w:t>
            </w:r>
          </w:p>
        </w:tc>
      </w:tr>
      <w:tr>
        <w:trPr>
          <w:trHeight w:val="188"/>
        </w:trPr>
        <w:tc>
          <w:tcPr>
            <w:tcW w:w="234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6,962,000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$434,961,000</w:t>
            </w:r>
          </w:p>
        </w:tc>
        <w:tc>
          <w:tcPr>
            <w:tcW w:w="17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$616,056,000</w:t>
            </w:r>
          </w:p>
        </w:tc>
        <w:tc>
          <w:tcPr>
            <w:tcW w:w="1460" w:type="dxa"/>
            <w:vAlign w:val="bottom"/>
          </w:tcPr>
          <w:p>
            <w:pPr>
              <w:spacing w:after="0"/>
              <w:rPr>
                <w:sz w:val="16"/>
                <w:szCs w:val="16"/>
                <w:color w:val="auto"/>
              </w:rPr>
            </w:pPr>
          </w:p>
        </w:tc>
        <w:tc>
          <w:tcPr>
            <w:tcW w:w="2600" w:type="dxa"/>
            <w:vAlign w:val="bottom"/>
          </w:tcPr>
          <w:p>
            <w:pPr>
              <w:spacing w:after="0"/>
              <w:rPr>
                <w:sz w:val="16"/>
                <w:szCs w:val="16"/>
                <w:color w:val="auto"/>
              </w:rPr>
            </w:pPr>
          </w:p>
        </w:tc>
      </w:tr>
    </w:tbl>
    <w:p>
      <w:pPr>
        <w:sectPr>
          <w:pgSz w:w="11900" w:h="16838" w:orient="portrait"/>
          <w:cols w:equalWidth="0" w:num="1">
            <w:col w:w="11340"/>
          </w:cols>
          <w:pgMar w:left="240" w:top="680" w:right="319" w:bottom="0" w:gutter="0" w:footer="0" w:header="0"/>
        </w:sectPr>
      </w:pPr>
    </w:p>
    <w:bookmarkStart w:id="21" w:name="page22"/>
    <w:bookmarkEnd w:id="21"/>
    <w:p>
      <w:pPr>
        <w:ind w:left="252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9019"/>
          </w:cols>
          <w:pgMar w:left="1440" w:top="330"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Total Cost as of Occupancy as of</w:t>
            </w:r>
          </w:p>
        </w:tc>
        <w:tc>
          <w:tcPr>
            <w:tcW w:w="2580" w:type="dxa"/>
            <w:vAlign w:val="bottom"/>
          </w:tcPr>
          <w:p>
            <w:pPr>
              <w:spacing w:after="0"/>
              <w:rPr>
                <w:sz w:val="15"/>
                <w:szCs w:val="15"/>
                <w:color w:val="auto"/>
              </w:rPr>
            </w:pPr>
          </w:p>
        </w:tc>
      </w:tr>
      <w:tr>
        <w:trPr>
          <w:trHeight w:val="188"/>
        </w:trPr>
        <w:tc>
          <w:tcPr>
            <w:tcW w:w="2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Square</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8"/>
              </w:rPr>
              <w:t>Acquisition</w:t>
            </w:r>
          </w:p>
        </w:tc>
        <w:tc>
          <w:tcPr>
            <w:tcW w:w="17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September 30,</w:t>
            </w:r>
          </w:p>
        </w:tc>
        <w:tc>
          <w:tcPr>
            <w:tcW w:w="4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September 30, Principal</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Property</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Acquired</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Feet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Cost</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1999</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Tenants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080" w:type="dxa"/>
            <w:vAlign w:val="bottom"/>
            <w:gridSpan w:val="8"/>
          </w:tcPr>
          <w:p>
            <w:pPr>
              <w:ind w:left="300"/>
              <w:spacing w:after="0"/>
              <w:rPr>
                <w:sz w:val="20"/>
                <w:szCs w:val="20"/>
                <w:color w:val="auto"/>
              </w:rPr>
            </w:pPr>
            <w:r>
              <w:rPr>
                <w:rFonts w:ascii="Courier New" w:cs="Courier New" w:eastAsia="Courier New" w:hAnsi="Courier New"/>
                <w:sz w:val="16"/>
                <w:szCs w:val="16"/>
                <w:color w:val="auto"/>
              </w:rPr>
              <w:t>--------- --------- ------------ ---------------- --------------- ------------------------</w:t>
            </w:r>
          </w:p>
        </w:tc>
      </w:tr>
      <w:tr>
        <w:trPr>
          <w:trHeight w:val="376"/>
        </w:trPr>
        <w:tc>
          <w:tcPr>
            <w:tcW w:w="2440" w:type="dxa"/>
            <w:vAlign w:val="bottom"/>
          </w:tcPr>
          <w:p>
            <w:pPr>
              <w:spacing w:after="0"/>
              <w:rPr>
                <w:sz w:val="20"/>
                <w:szCs w:val="20"/>
                <w:color w:val="auto"/>
              </w:rPr>
            </w:pPr>
            <w:r>
              <w:rPr>
                <w:rFonts w:ascii="Courier New" w:cs="Courier New" w:eastAsia="Courier New" w:hAnsi="Courier New"/>
                <w:sz w:val="16"/>
                <w:szCs w:val="16"/>
                <w:color w:val="auto"/>
              </w:rPr>
              <w:t>Main Street Retail</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Properties</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Central Avenue</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11,000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2,203,000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3,259,000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Legg Mason; Imaginarium</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Westfield, NJ</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Coolidge Corner</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3,757,000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3,983,000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Best Cellars Wine</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Brookline, MA</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Evanston (two buildings)</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3,616,000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4,157,000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79%</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The Gap</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Evanston, IL</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Food Stuffs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Forest Hills (four</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92,000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15,453,000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21,318,000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97%(3)</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Duane Reade</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Forest Hills, NY</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Greenwich Avenue (four</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1995-1996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81,000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27,650,000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29,080,000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Saks Fifth Avenue;</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Banana Republic</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Greenwich, CT</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Oak Street</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4,205,000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4,222,000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Versace</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Chicago, IL</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West Hartford (seven</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103,000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15,492,000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16,014,000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98%</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Charles Schwab;</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Blockbuster Video</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West Hartford, CT</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Westport (two buildings)</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9,658,000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9,893,000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Pottery Barn; Eddie</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Westport, CT</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Bauer</w:t>
            </w:r>
          </w:p>
        </w:tc>
      </w:tr>
      <w:tr>
        <w:trPr>
          <w:trHeight w:val="188"/>
        </w:trPr>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20" w:type="dxa"/>
            <w:vAlign w:val="bottom"/>
            <w:gridSpan w:val="5"/>
          </w:tcPr>
          <w:p>
            <w:pPr>
              <w:jc w:val="right"/>
              <w:ind w:right="59"/>
              <w:spacing w:after="0"/>
              <w:rPr>
                <w:sz w:val="20"/>
                <w:szCs w:val="20"/>
                <w:color w:val="auto"/>
              </w:rPr>
            </w:pPr>
            <w:r>
              <w:rPr>
                <w:rFonts w:ascii="Courier New" w:cs="Courier New" w:eastAsia="Courier New" w:hAnsi="Courier New"/>
                <w:sz w:val="16"/>
                <w:szCs w:val="16"/>
                <w:color w:val="auto"/>
              </w:rPr>
              <w:t>--------- ------------ ----------------</w:t>
            </w: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350,000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82,034,000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91,926,000</w:t>
            </w: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20" w:type="dxa"/>
            <w:vAlign w:val="bottom"/>
            <w:gridSpan w:val="5"/>
          </w:tcPr>
          <w:p>
            <w:pPr>
              <w:jc w:val="right"/>
              <w:ind w:right="59"/>
              <w:spacing w:after="0"/>
              <w:rPr>
                <w:sz w:val="20"/>
                <w:szCs w:val="20"/>
                <w:color w:val="auto"/>
              </w:rPr>
            </w:pPr>
            <w:r>
              <w:rPr>
                <w:rFonts w:ascii="Courier New" w:cs="Courier New" w:eastAsia="Courier New" w:hAnsi="Courier New"/>
                <w:sz w:val="16"/>
                <w:szCs w:val="16"/>
                <w:color w:val="auto"/>
              </w:rPr>
              <w:t>--------- ------------ ----------------</w:t>
            </w: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Total Northeast</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operating properties</w:t>
            </w:r>
          </w:p>
        </w:tc>
        <w:tc>
          <w:tcPr>
            <w:tcW w:w="1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7,312,000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8"/>
              </w:rPr>
              <w:t>516,995,000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707,982,000</w:t>
            </w: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20" w:type="dxa"/>
            <w:vAlign w:val="bottom"/>
            <w:gridSpan w:val="5"/>
          </w:tcPr>
          <w:p>
            <w:pPr>
              <w:jc w:val="right"/>
              <w:ind w:right="59"/>
              <w:spacing w:after="0"/>
              <w:rPr>
                <w:sz w:val="20"/>
                <w:szCs w:val="20"/>
                <w:color w:val="auto"/>
              </w:rPr>
            </w:pPr>
            <w:r>
              <w:rPr>
                <w:rFonts w:ascii="Courier New" w:cs="Courier New" w:eastAsia="Courier New" w:hAnsi="Courier New"/>
                <w:sz w:val="16"/>
                <w:szCs w:val="16"/>
                <w:color w:val="auto"/>
              </w:rPr>
              <w:t>========= ============ ================</w:t>
            </w: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376"/>
        </w:trPr>
        <w:tc>
          <w:tcPr>
            <w:tcW w:w="3460" w:type="dxa"/>
            <w:vAlign w:val="bottom"/>
            <w:gridSpan w:val="2"/>
          </w:tcPr>
          <w:p>
            <w:pPr>
              <w:spacing w:after="0"/>
              <w:rPr>
                <w:sz w:val="20"/>
                <w:szCs w:val="20"/>
                <w:color w:val="auto"/>
              </w:rPr>
            </w:pPr>
            <w:r>
              <w:rPr>
                <w:rFonts w:ascii="Courier New" w:cs="Courier New" w:eastAsia="Courier New" w:hAnsi="Courier New"/>
                <w:sz w:val="16"/>
                <w:szCs w:val="16"/>
                <w:color w:val="auto"/>
              </w:rPr>
              <w:t>Mid-Atlantic Operating Region</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Barracks Road</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1985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483,000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20,822,000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37,182,000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99%</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Harris Teeter; Kroger;</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Charlottesville, VA</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Bed Bath &amp; Beyond; Old</w:t>
            </w:r>
          </w:p>
        </w:tc>
      </w:tr>
      <w:tr>
        <w:trPr>
          <w:trHeight w:val="188"/>
        </w:trPr>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Navy</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Congressional Plaza</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1965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341,000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10,217,000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45,380,000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97%</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Buy Buy Baby; Fresh</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Fields; Tower Records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Courthouse Center</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38,000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3,619,000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3,656,000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86%</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Rockville Interiors</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Eastgate</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1986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159,000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7,383,000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11,925,000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94%</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Food Lion; A Southern</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Chapel Hill, NC</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Season</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Falls Plaza</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1967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69,000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1,265,000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8,185,000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Giant Food</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Falls Plaza--East Falls</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1972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71,000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1,073,000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3,344,000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CVS Pharmacy; Staples</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Church, VA</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Federal Plaza</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1989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242,000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28,111,000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60,478,000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99%</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Comp USA; T. J. Maxx;</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Ross Dress for Less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Gaithersburg Square</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208,000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12,972,000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23,126,000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94%</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Borders Books &amp; Music;</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Gaithersburg, MD</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Bed, Bath &amp; Beyond; Ross</w:t>
            </w:r>
          </w:p>
        </w:tc>
      </w:tr>
      <w:tr>
        <w:trPr>
          <w:trHeight w:val="188"/>
        </w:trPr>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Dress for Less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Governor Plaza</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1985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252,000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6,973,000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17,150,000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Office Depot; Syms; Comp</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Glen Burnie, MD</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USA</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Idylwood Plaza</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73,000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14,334,000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14,928,000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Fresh Fields</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Laurel</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1986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384,000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29,983,000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44,187,000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88%</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Giant Food; Marshalls;</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Laurel, MD</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Leesburg Plaza</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247,000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18,906,000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19,681,000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99%</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Kmart; Giant Food;</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Leesburg, VA</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Peebles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Loehmann's Plaza</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1983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242,000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16,333,000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21,913,000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98%</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Loehmann's; Linens N</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Fairfax, VA</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Things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Magruder's Center</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109,000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9,413,000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9,632,000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Magruder's; Tuesday</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Morning</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Mid-Pike Plaza</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1982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315,000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10,335,000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16,332,000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Bally's Total Fitness;</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Rockville, MD(1)</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Filene's Basement; G</w:t>
            </w:r>
          </w:p>
        </w:tc>
      </w:tr>
      <w:tr>
        <w:trPr>
          <w:trHeight w:val="188"/>
        </w:trPr>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Street Fabrics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Northeast Plaza</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1986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448,000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33,166,000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31,899,000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67%</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Mars Music Superstore;</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Atlanta, GA(4)</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Publix</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Old Keene Mill</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1976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92,000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1,636,000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4,896,000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93%</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Fresh Fields; One Stop</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Springfield, VA</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Pet &amp; Aquarium</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Pan Am</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218,000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21,623,000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24,276,000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93%</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Micro Center; Safeway;</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Fairfax, VA</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Michael's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Perring Plaza</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1985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412,000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9,261,000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23,914,000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Burlington Coat Factory;</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Baltimore, MD</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Home Depot; Metro Foods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Pike 7</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163,000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32,508,000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32,907,000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97%</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Staples; T. J. Maxx</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Tysons Corner, VA</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Quince Orchard</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240,000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11,146,000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16,741,000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99%</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Circuit City; Magruder's</w:t>
            </w: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Gaithersburg, MD</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Supermarket; Staples</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Rollingwood Apartments</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1971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282 units</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2,798,000</w:t>
            </w:r>
          </w:p>
        </w:tc>
        <w:tc>
          <w:tcPr>
            <w:tcW w:w="5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6,632,000</w:t>
            </w:r>
          </w:p>
        </w:tc>
        <w:tc>
          <w:tcPr>
            <w:tcW w:w="146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spacing w:after="0"/>
              <w:rPr>
                <w:sz w:val="16"/>
                <w:szCs w:val="16"/>
                <w:color w:val="auto"/>
              </w:rPr>
            </w:pP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Silver Spring, MD</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80" w:type="dxa"/>
            <w:vAlign w:val="bottom"/>
          </w:tcPr>
          <w:p>
            <w:pPr>
              <w:spacing w:after="0"/>
              <w:rPr>
                <w:sz w:val="16"/>
                <w:szCs w:val="16"/>
                <w:color w:val="auto"/>
              </w:rPr>
            </w:pPr>
          </w:p>
        </w:tc>
      </w:tr>
    </w:tbl>
    <w:p>
      <w:pPr>
        <w:sectPr>
          <w:pgSz w:w="11900" w:h="16838" w:orient="portrait"/>
          <w:cols w:equalWidth="0" w:num="1">
            <w:col w:w="11520"/>
          </w:cols>
          <w:pgMar w:left="240" w:top="1056" w:right="139" w:bottom="0" w:gutter="0" w:footer="0" w:header="0"/>
        </w:sectPr>
      </w:pPr>
    </w:p>
    <w:bookmarkStart w:id="23" w:name="page24"/>
    <w:bookmarkEnd w:id="23"/>
    <w:p>
      <w:pPr>
        <w:ind w:left="252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9019"/>
          </w:cols>
          <w:pgMar w:left="1440" w:top="330"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Total Occupancy</w:t>
            </w:r>
          </w:p>
        </w:tc>
        <w:tc>
          <w:tcPr>
            <w:tcW w:w="2540" w:type="dxa"/>
            <w:vAlign w:val="bottom"/>
          </w:tcPr>
          <w:p>
            <w:pPr>
              <w:spacing w:after="0"/>
              <w:rPr>
                <w:sz w:val="15"/>
                <w:szCs w:val="15"/>
                <w:color w:val="auto"/>
              </w:rPr>
            </w:pPr>
          </w:p>
        </w:tc>
      </w:tr>
      <w:tr>
        <w:trPr>
          <w:trHeight w:val="188"/>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Cost as of</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as of</w:t>
            </w: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Square</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Acquisition</w:t>
            </w:r>
          </w:p>
        </w:tc>
        <w:tc>
          <w:tcPr>
            <w:tcW w:w="2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September September</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Principal</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Property</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Acquired</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Feet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Cost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30, 1999</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30, 1999</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Tenants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680" w:type="dxa"/>
            <w:vAlign w:val="bottom"/>
            <w:gridSpan w:val="5"/>
          </w:tcPr>
          <w:p>
            <w:pPr>
              <w:ind w:left="300"/>
              <w:spacing w:after="0"/>
              <w:rPr>
                <w:sz w:val="20"/>
                <w:szCs w:val="20"/>
                <w:color w:val="auto"/>
              </w:rPr>
            </w:pPr>
            <w:r>
              <w:rPr>
                <w:rFonts w:ascii="Courier New" w:cs="Courier New" w:eastAsia="Courier New" w:hAnsi="Courier New"/>
                <w:sz w:val="16"/>
                <w:szCs w:val="16"/>
                <w:color w:val="auto"/>
              </w:rPr>
              <w:t>--------- --------- ------------ ------------ ---------</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r>
      <w:tr>
        <w:trPr>
          <w:trHeight w:val="376"/>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Tower</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109,000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17,688,000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17,810,000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95%</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Virginia Fine Wines;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Springfield, VA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Talbots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Tysons Station</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1978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841,000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3,379,000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100%</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Trader Joe's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Wildwood</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1969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85,000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10,172,000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15,448,000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100%</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CVS Pharmacy; Sutton</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Bethesda, MD</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Place Gourmet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Williamsburg</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1986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251,000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9,918,000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13,326,000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96%</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Food Lion; Peebles;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Williamsburg, VA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Rose's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Willow Lawn</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1983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449,000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10,915,000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55,363,000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92%</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Regal Cinema; Dillard's;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Richmond, VA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Hannaford Brothers</w:t>
            </w:r>
          </w:p>
        </w:tc>
      </w:tr>
      <w:tr>
        <w:trPr>
          <w:trHeight w:val="188"/>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5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 ------------</w:t>
            </w: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5,750,000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$353,411,000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$583,690,000</w:t>
            </w: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Main Street Retail</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Properties</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Bethesda Row</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284,000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$ 21,965,000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$ 35,208,000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99%</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Barnes &amp; Noble; Giant</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Bethesda, MD (1)</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Food; Giant Pharmacy</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Sam's Park N Shop</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11,159,000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11,694,000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100%</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Petco; Pizzeria Uno</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Washington, D.C.</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Winter Park (two</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28,000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6,837,000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6,854,000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90%</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Limited Express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Winter Park, FL</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The Village at</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362,000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24,569,000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27,683,000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92%</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Carlyle Grand Cafe;</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Shirlington</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Cineplex Odeon</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Shirlington, VA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376"/>
        </w:trPr>
        <w:tc>
          <w:tcPr>
            <w:tcW w:w="2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 ------------</w:t>
            </w:r>
          </w:p>
        </w:tc>
        <w:tc>
          <w:tcPr>
            <w:tcW w:w="10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88"/>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724,000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$ 64,530,000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$ 81,439,000</w:t>
            </w: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5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 ------------</w:t>
            </w: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Total Mid-Atlantic</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operating properties</w:t>
            </w:r>
          </w:p>
        </w:tc>
        <w:tc>
          <w:tcPr>
            <w:tcW w:w="10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6,474,000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$417,941,000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$665,129,000</w:t>
            </w: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5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 ============</w:t>
            </w: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376"/>
        </w:trPr>
        <w:tc>
          <w:tcPr>
            <w:tcW w:w="3380" w:type="dxa"/>
            <w:vAlign w:val="bottom"/>
            <w:gridSpan w:val="2"/>
          </w:tcPr>
          <w:p>
            <w:pPr>
              <w:spacing w:after="0"/>
              <w:rPr>
                <w:sz w:val="20"/>
                <w:szCs w:val="20"/>
                <w:color w:val="auto"/>
              </w:rPr>
            </w:pPr>
            <w:r>
              <w:rPr>
                <w:rFonts w:ascii="Courier New" w:cs="Courier New" w:eastAsia="Courier New" w:hAnsi="Courier New"/>
                <w:sz w:val="16"/>
                <w:szCs w:val="16"/>
                <w:color w:val="auto"/>
              </w:rPr>
              <w:t>West Coast Operating Region</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Escondido</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221,000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23,652,000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24,308,000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98%</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Toys "R" Us; T. J. Maxx</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Escondido, CA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Kings Court</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78,000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10,714,000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10,620,000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100%</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Lunardi's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Los Gatos, CA(5)</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Long's Drug Store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Peninsula</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296,000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44,168,000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45,572,000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97%</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Von's Pavilion</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Palos Verdes, CA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T. J. Maxx</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Uptown</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16,103,000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16,348,000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98%</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Elephant's Deli</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Portland, OR</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Zupan's Market</w:t>
            </w:r>
          </w:p>
        </w:tc>
      </w:tr>
      <w:tr>
        <w:trPr>
          <w:trHeight w:val="188"/>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5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 ------------</w:t>
            </w: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695,000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$ 94,637,000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$ 96,848,000</w:t>
            </w: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Main Street Retail</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Properties</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Colorado Boulevard (two</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1996-1998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67,000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$9,394,000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$12,829,000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100%(3)</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Pottery Barn</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Pasadena, CA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Fifth Avenue (five</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64,000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5,196,000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9,080,000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100%(3)</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Urban Outfitters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San Diego, CA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Hermosa Avenue/</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1,323,000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1,788,000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(2)</w:t>
            </w:r>
          </w:p>
        </w:tc>
        <w:tc>
          <w:tcPr>
            <w:tcW w:w="254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Hermosa Beach, CA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Hollywood Boulevard</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196,000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26,355,000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26,432,000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(2)</w:t>
            </w:r>
          </w:p>
        </w:tc>
        <w:tc>
          <w:tcPr>
            <w:tcW w:w="254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(three buildings)</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Hollywood, CA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Mill Avenue (two</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40,000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10,438,000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10,626,000</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100%</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Beeloe's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Tempe, Arizona</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752"/>
        </w:trPr>
        <w:tc>
          <w:tcPr>
            <w:tcW w:w="2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S-19</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0560"/>
          </w:cols>
          <w:pgMar w:left="240" w:top="1056" w:right="109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Total</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Occupancy</w:t>
            </w:r>
          </w:p>
        </w:tc>
        <w:tc>
          <w:tcPr>
            <w:tcW w:w="2280" w:type="dxa"/>
            <w:vAlign w:val="bottom"/>
          </w:tcPr>
          <w:p>
            <w:pPr>
              <w:spacing w:after="0"/>
              <w:rPr>
                <w:sz w:val="15"/>
                <w:szCs w:val="15"/>
                <w:color w:val="auto"/>
              </w:rPr>
            </w:pPr>
          </w:p>
        </w:tc>
      </w:tr>
      <w:tr>
        <w:trPr>
          <w:trHeight w:val="188"/>
        </w:trPr>
        <w:tc>
          <w:tcPr>
            <w:tcW w:w="2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Cost as of</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as of</w:t>
            </w:r>
          </w:p>
        </w:tc>
        <w:tc>
          <w:tcPr>
            <w:tcW w:w="2280" w:type="dxa"/>
            <w:vAlign w:val="bottom"/>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Year</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Square</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Acquisition</w:t>
            </w:r>
          </w:p>
        </w:tc>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 September 30,</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Principal</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Property</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Acquired</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Feet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Cost</w:t>
            </w: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Tenants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71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376"/>
        </w:trPr>
        <w:tc>
          <w:tcPr>
            <w:tcW w:w="2340" w:type="dxa"/>
            <w:vAlign w:val="bottom"/>
          </w:tcPr>
          <w:p>
            <w:pPr>
              <w:spacing w:after="0"/>
              <w:rPr>
                <w:sz w:val="20"/>
                <w:szCs w:val="20"/>
                <w:color w:val="auto"/>
              </w:rPr>
            </w:pPr>
            <w:r>
              <w:rPr>
                <w:rFonts w:ascii="Courier New" w:cs="Courier New" w:eastAsia="Courier New" w:hAnsi="Courier New"/>
                <w:sz w:val="16"/>
                <w:szCs w:val="16"/>
                <w:color w:val="auto"/>
              </w:rPr>
              <w:t>Old Town Center</w:t>
            </w:r>
          </w:p>
        </w:tc>
        <w:tc>
          <w:tcPr>
            <w:tcW w:w="132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101,000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6,185,000</w:t>
            </w: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26,730,000</w:t>
            </w: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w:t>
            </w:r>
          </w:p>
        </w:tc>
        <w:tc>
          <w:tcPr>
            <w:tcW w:w="2280" w:type="dxa"/>
            <w:vAlign w:val="bottom"/>
          </w:tcPr>
          <w:p>
            <w:pPr>
              <w:spacing w:after="0"/>
              <w:rPr>
                <w:sz w:val="24"/>
                <w:szCs w:val="24"/>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Los Gatos, CA</w:t>
            </w: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Post Street</w:t>
            </w:r>
          </w:p>
        </w:tc>
        <w:tc>
          <w:tcPr>
            <w:tcW w:w="132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96,000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20,866,000</w:t>
            </w: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23,546,000</w:t>
            </w: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77%</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Williams Sonoma</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San Francisco, CA</w:t>
            </w: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Third Street Promenade</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1996-1998</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153,000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32,764,000</w:t>
            </w: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48,781,000</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100%(3)</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Banana Republic</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(eight buildings)</w:t>
            </w: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Abercrombie &amp; Fitch</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Santa Monica, CA</w:t>
            </w:r>
          </w:p>
        </w:tc>
        <w:tc>
          <w:tcPr>
            <w:tcW w:w="1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8"/>
        </w:trPr>
        <w:tc>
          <w:tcPr>
            <w:tcW w:w="2500" w:type="dxa"/>
            <w:vAlign w:val="bottom"/>
          </w:tcPr>
          <w:p>
            <w:pPr>
              <w:spacing w:after="0"/>
              <w:rPr>
                <w:sz w:val="16"/>
                <w:szCs w:val="16"/>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723,000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$112,521,000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159,812,000</w:t>
            </w:r>
          </w:p>
        </w:tc>
      </w:tr>
      <w:tr>
        <w:trPr>
          <w:trHeight w:val="188"/>
        </w:trPr>
        <w:tc>
          <w:tcPr>
            <w:tcW w:w="2500" w:type="dxa"/>
            <w:vAlign w:val="bottom"/>
          </w:tcPr>
          <w:p>
            <w:pPr>
              <w:spacing w:after="0"/>
              <w:rPr>
                <w:sz w:val="16"/>
                <w:szCs w:val="16"/>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Total West Coast</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operating properties</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1,418,000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$207,158,000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256,660,000</w:t>
            </w:r>
          </w:p>
        </w:tc>
      </w:tr>
      <w:tr>
        <w:trPr>
          <w:trHeight w:val="188"/>
        </w:trPr>
        <w:tc>
          <w:tcPr>
            <w:tcW w:w="2500" w:type="dxa"/>
            <w:vAlign w:val="bottom"/>
          </w:tcPr>
          <w:p>
            <w:pPr>
              <w:spacing w:after="0"/>
              <w:rPr>
                <w:sz w:val="16"/>
                <w:szCs w:val="16"/>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spacing w:after="0"/>
              <w:rPr>
                <w:sz w:val="20"/>
                <w:szCs w:val="20"/>
                <w:color w:val="auto"/>
              </w:rPr>
            </w:pPr>
            <w:r>
              <w:rPr>
                <w:rFonts w:ascii="Courier New" w:cs="Courier New" w:eastAsia="Courier New" w:hAnsi="Courier New"/>
                <w:sz w:val="16"/>
                <w:szCs w:val="16"/>
                <w:color w:val="auto"/>
              </w:rPr>
              <w:t>Development</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Cost as of</w:t>
            </w:r>
          </w:p>
        </w:tc>
      </w:tr>
      <w:tr>
        <w:trPr>
          <w:trHeight w:val="188"/>
        </w:trPr>
        <w:tc>
          <w:tcPr>
            <w:tcW w:w="2500" w:type="dxa"/>
            <w:vAlign w:val="bottom"/>
          </w:tcPr>
          <w:p>
            <w:pPr>
              <w:spacing w:after="0"/>
              <w:rPr>
                <w:sz w:val="16"/>
                <w:szCs w:val="16"/>
                <w:color w:val="auto"/>
              </w:rPr>
            </w:pP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Year</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Property</w:t>
            </w: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Acquired</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1999(6)</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4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spacing w:after="0"/>
              <w:rPr>
                <w:sz w:val="20"/>
                <w:szCs w:val="20"/>
                <w:color w:val="auto"/>
              </w:rPr>
            </w:pPr>
            <w:r>
              <w:rPr>
                <w:rFonts w:ascii="Courier New" w:cs="Courier New" w:eastAsia="Courier New" w:hAnsi="Courier New"/>
                <w:sz w:val="16"/>
                <w:szCs w:val="16"/>
                <w:color w:val="auto"/>
              </w:rPr>
              <w:t>Bethesda Row Bethesda,</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MD</w:t>
            </w: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1993</w:t>
            </w:r>
          </w:p>
        </w:tc>
        <w:tc>
          <w:tcPr>
            <w:tcW w:w="1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15,449,000</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Houston Street (eleven</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properties)</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San Antonio, TX</w:t>
            </w: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20,332,000</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Pentagon Row Arlington,</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VA</w:t>
            </w: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1999</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6,556,000</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Santana Row San Jose, CA</w:t>
            </w: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1997</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57,066,000</w:t>
            </w: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Total development</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99,403,000</w:t>
            </w: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Total real estate</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$1,729,174,000</w:t>
            </w: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hanging="400"/>
        <w:spacing w:after="0"/>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a leasehold interest in this center.</w:t>
      </w:r>
    </w:p>
    <w:p>
      <w:pPr>
        <w:spacing w:after="0" w:line="6"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property is under redevelopment.</w:t>
      </w:r>
    </w:p>
    <w:p>
      <w:pPr>
        <w:spacing w:after="0" w:line="6" w:lineRule="exact"/>
        <w:rPr>
          <w:rFonts w:ascii="Courier New" w:cs="Courier New" w:eastAsia="Courier New" w:hAnsi="Courier New"/>
          <w:sz w:val="16"/>
          <w:szCs w:val="16"/>
          <w:color w:val="auto"/>
        </w:rPr>
      </w:pPr>
    </w:p>
    <w:p>
      <w:pPr>
        <w:ind w:left="400" w:right="3120" w:hanging="400"/>
        <w:spacing w:after="0" w:line="248"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of these buildings are under redevelopment. These buildings are not included in occupancy.</w:t>
      </w:r>
    </w:p>
    <w:p>
      <w:pPr>
        <w:spacing w:after="0" w:line="1" w:lineRule="exact"/>
        <w:rPr>
          <w:rFonts w:ascii="Courier New" w:cs="Courier New" w:eastAsia="Courier New" w:hAnsi="Courier New"/>
          <w:sz w:val="16"/>
          <w:szCs w:val="16"/>
          <w:color w:val="auto"/>
        </w:rPr>
      </w:pPr>
    </w:p>
    <w:p>
      <w:pPr>
        <w:ind w:left="400" w:right="3120" w:hanging="400"/>
        <w:spacing w:after="0" w:line="248"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property was sold in October 1999. At September 30, 1999, its cost had been decreased to its estimated fair value.</w:t>
      </w:r>
    </w:p>
    <w:p>
      <w:pPr>
        <w:spacing w:after="0" w:line="1" w:lineRule="exact"/>
        <w:rPr>
          <w:rFonts w:ascii="Courier New" w:cs="Courier New" w:eastAsia="Courier New" w:hAnsi="Courier New"/>
          <w:sz w:val="16"/>
          <w:szCs w:val="16"/>
          <w:color w:val="auto"/>
        </w:rPr>
      </w:pPr>
    </w:p>
    <w:p>
      <w:pPr>
        <w:ind w:left="400" w:right="3320" w:hanging="400"/>
        <w:spacing w:after="0" w:line="248"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purchased an additional interest in this property at a discount to the original cost of the interest.</w:t>
      </w:r>
    </w:p>
    <w:p>
      <w:pPr>
        <w:spacing w:after="0" w:line="1"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acquisition cost and construction in process.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S-20</w:t>
      </w:r>
    </w:p>
    <w:p>
      <w:pPr>
        <w:sectPr>
          <w:pgSz w:w="11900" w:h="16838" w:orient="portrait"/>
          <w:cols w:equalWidth="0" w:num="1">
            <w:col w:w="10840"/>
          </w:cols>
          <w:pgMar w:left="240" w:top="1056" w:right="819" w:bottom="1440" w:gutter="0" w:footer="0" w:header="0"/>
        </w:sectPr>
      </w:pPr>
    </w:p>
    <w:bookmarkStart w:id="26" w:name="page27"/>
    <w:bookmarkEnd w:id="26"/>
    <w:p>
      <w:pPr>
        <w:spacing w:after="0" w:line="2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DESCRIPTION OF NOTES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following description of the particular terms of the notes offered hereby supplements the description of the general terms and provisions of Debt Securities set forth in the accompanying prospectus under the caption "Description of Debt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are offering $175 million of our 8 3/4% notes maturing on December 1, 2009. The notes are to be issued as a separate series of Debt Securities under the Senior Indenture, which is more fully described in the accompanying prospectus. Certain terms used herein are defined in the accompanying prospectus.</w:t>
      </w:r>
    </w:p>
    <w:p>
      <w:pPr>
        <w:spacing w:after="0" w:line="187" w:lineRule="exact"/>
        <w:rPr>
          <w:sz w:val="20"/>
          <w:szCs w:val="20"/>
          <w:color w:val="auto"/>
        </w:rPr>
      </w:pPr>
    </w:p>
    <w:p>
      <w:pPr>
        <w:ind w:right="2599" w:firstLine="293"/>
        <w:spacing w:after="0" w:line="250" w:lineRule="auto"/>
        <w:rPr>
          <w:sz w:val="20"/>
          <w:szCs w:val="20"/>
          <w:color w:val="auto"/>
        </w:rPr>
      </w:pPr>
      <w:r>
        <w:rPr>
          <w:rFonts w:ascii="Courier New" w:cs="Courier New" w:eastAsia="Courier New" w:hAnsi="Courier New"/>
          <w:sz w:val="16"/>
          <w:szCs w:val="16"/>
          <w:color w:val="auto"/>
        </w:rPr>
        <w:t>We will pay interest on the notes semi-annually in arrears on June 1 and December 1 of each year, commencing June 1, 2000, to the registered holders of the notes on the preceding May 15 or November 15.</w:t>
      </w:r>
    </w:p>
    <w:p>
      <w:pPr>
        <w:spacing w:after="0" w:line="185" w:lineRule="exact"/>
        <w:rPr>
          <w:sz w:val="20"/>
          <w:szCs w:val="20"/>
          <w:color w:val="auto"/>
        </w:rPr>
      </w:pPr>
    </w:p>
    <w:p>
      <w:pPr>
        <w:ind w:right="2799" w:firstLine="293"/>
        <w:spacing w:after="0" w:line="252" w:lineRule="auto"/>
        <w:rPr>
          <w:sz w:val="20"/>
          <w:szCs w:val="20"/>
          <w:color w:val="auto"/>
        </w:rPr>
      </w:pPr>
      <w:r>
        <w:rPr>
          <w:rFonts w:ascii="Courier New" w:cs="Courier New" w:eastAsia="Courier New" w:hAnsi="Courier New"/>
          <w:sz w:val="16"/>
          <w:szCs w:val="16"/>
          <w:color w:val="auto"/>
        </w:rPr>
        <w:t>The defeasance and covenant defeasance provisions of the Senior Indenture apply to the notes.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may redeem the notes at any time in whole or from time to time in part at a redemption price equal to the greater of (1) 100% of the principal amount of the notes being redeemed, and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25 basis points plus, in each case, accrued interest thereon to the redemption date.</w:t>
      </w:r>
    </w:p>
    <w:p>
      <w:pPr>
        <w:spacing w:after="0" w:line="1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As used herein:</w:t>
      </w:r>
    </w:p>
    <w:p>
      <w:pPr>
        <w:spacing w:after="0" w:line="195" w:lineRule="exact"/>
        <w:rPr>
          <w:sz w:val="20"/>
          <w:szCs w:val="20"/>
          <w:color w:val="auto"/>
        </w:rPr>
      </w:pPr>
    </w:p>
    <w:p>
      <w:pPr>
        <w:ind w:left="200" w:right="2699" w:firstLine="293"/>
        <w:spacing w:after="0" w:line="249" w:lineRule="auto"/>
        <w:rPr>
          <w:sz w:val="20"/>
          <w:szCs w:val="20"/>
          <w:color w:val="auto"/>
        </w:rPr>
      </w:pPr>
      <w:r>
        <w:rPr>
          <w:rFonts w:ascii="Courier New" w:cs="Courier New" w:eastAsia="Courier New" w:hAnsi="Courier New"/>
          <w:sz w:val="16"/>
          <w:szCs w:val="16"/>
          <w:color w:val="auto"/>
        </w:rPr>
        <w:t>"Adjusted Treasury Rate"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7" w:lineRule="exact"/>
        <w:rPr>
          <w:sz w:val="20"/>
          <w:szCs w:val="20"/>
          <w:color w:val="auto"/>
        </w:rPr>
      </w:pPr>
    </w:p>
    <w:p>
      <w:pPr>
        <w:ind w:left="200" w:right="2879" w:firstLine="293"/>
        <w:spacing w:after="0" w:line="249"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"Comparable Treasury Price" means, with respect to any redemption date,</w:t>
      </w:r>
    </w:p>
    <w:p>
      <w:pPr>
        <w:spacing w:after="0" w:line="7" w:lineRule="exact"/>
        <w:rPr>
          <w:sz w:val="20"/>
          <w:szCs w:val="20"/>
          <w:color w:val="auto"/>
        </w:rPr>
      </w:pPr>
    </w:p>
    <w:p>
      <w:pPr>
        <w:ind w:left="200" w:right="2799" w:hanging="4"/>
        <w:spacing w:after="0" w:line="249" w:lineRule="auto"/>
        <w:tabs>
          <w:tab w:leader="none" w:pos="59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"Quotation Agent" means the Reference Treasury Dealer appointed by us.</w:t>
      </w:r>
    </w:p>
    <w:p>
      <w:pPr>
        <w:spacing w:after="0" w:line="195" w:lineRule="exact"/>
        <w:rPr>
          <w:sz w:val="20"/>
          <w:szCs w:val="20"/>
          <w:color w:val="auto"/>
        </w:rPr>
      </w:pPr>
    </w:p>
    <w:p>
      <w:pPr>
        <w:ind w:left="200" w:right="2699" w:firstLine="293"/>
        <w:spacing w:after="0" w:line="249" w:lineRule="auto"/>
        <w:rPr>
          <w:sz w:val="20"/>
          <w:szCs w:val="20"/>
          <w:color w:val="auto"/>
        </w:rPr>
      </w:pPr>
      <w:r>
        <w:rPr>
          <w:rFonts w:ascii="Courier New" w:cs="Courier New" w:eastAsia="Courier New" w:hAnsi="Courier New"/>
          <w:sz w:val="16"/>
          <w:szCs w:val="16"/>
          <w:color w:val="auto"/>
        </w:rPr>
        <w:t>"Reference Treasury Dealer" means (1) each of Goldman, Sachs &amp; Co., J.P. Morgan Securities Inc., First Union Securities, Inc., PNC Capital Markets, Inc. and Warburg Dillon Read LLC and their respective successors; provided, however, that if any of the foregoing cease to be a primary U.S. Government securities dealer (a "Primary Treasury Dealer"), we will substitute therefor another Primary Treasury Dealer; and (2) any other Primary Treasury Dealer selected by us.</w:t>
      </w:r>
    </w:p>
    <w:p>
      <w:pPr>
        <w:spacing w:after="0" w:line="187" w:lineRule="exact"/>
        <w:rPr>
          <w:sz w:val="20"/>
          <w:szCs w:val="20"/>
          <w:color w:val="auto"/>
        </w:rPr>
      </w:pPr>
    </w:p>
    <w:p>
      <w:pPr>
        <w:ind w:left="200" w:right="2799" w:firstLine="293"/>
        <w:spacing w:after="0" w:line="249"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95" w:lineRule="exact"/>
        <w:rPr>
          <w:sz w:val="20"/>
          <w:szCs w:val="20"/>
          <w:color w:val="auto"/>
        </w:rPr>
      </w:pPr>
    </w:p>
    <w:p>
      <w:pPr>
        <w:ind w:right="2599" w:firstLine="293"/>
        <w:spacing w:after="0" w:line="252" w:lineRule="auto"/>
        <w:rPr>
          <w:sz w:val="20"/>
          <w:szCs w:val="20"/>
          <w:color w:val="auto"/>
        </w:rPr>
      </w:pPr>
      <w:r>
        <w:rPr>
          <w:rFonts w:ascii="Courier New" w:cs="Courier New" w:eastAsia="Courier New" w:hAnsi="Courier New"/>
          <w:sz w:val="16"/>
          <w:szCs w:val="16"/>
          <w:color w:val="auto"/>
        </w:rPr>
        <w:t>Limitations on Incurrence of Debt. The notes will provide that we will not, and will not permit any subsidiary to, incur any Debt (as defined below) if,</w:t>
      </w:r>
    </w:p>
    <w:p>
      <w:pPr>
        <w:sectPr>
          <w:pgSz w:w="11900" w:h="16862" w:orient="portrait"/>
          <w:cols w:equalWidth="0" w:num="1">
            <w:col w:w="10219"/>
          </w:cols>
          <w:pgMar w:left="240" w:top="680" w:right="1440" w:bottom="0" w:gutter="0" w:footer="0" w:header="0"/>
        </w:sectPr>
      </w:pPr>
    </w:p>
    <w:bookmarkStart w:id="27" w:name="page28"/>
    <w:bookmarkEnd w:id="27"/>
    <w:p>
      <w:pPr>
        <w:ind w:right="3379"/>
        <w:spacing w:after="0" w:line="252" w:lineRule="auto"/>
        <w:rPr>
          <w:sz w:val="20"/>
          <w:szCs w:val="20"/>
          <w:color w:val="auto"/>
        </w:rPr>
      </w:pPr>
      <w:r>
        <w:rPr>
          <w:rFonts w:ascii="Courier New" w:cs="Courier New" w:eastAsia="Courier New" w:hAnsi="Courier New"/>
          <w:sz w:val="16"/>
          <w:szCs w:val="16"/>
          <w:color w:val="auto"/>
        </w:rPr>
        <w:t>immediately after giving effect to the incurrence of such Debt and the application of</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S-21</w:t>
      </w:r>
    </w:p>
    <w:p>
      <w:pPr>
        <w:sectPr>
          <w:pgSz w:w="11900" w:h="16838" w:orient="portrait"/>
          <w:cols w:equalWidth="0" w:num="1">
            <w:col w:w="10219"/>
          </w:cols>
          <w:pgMar w:left="240" w:top="142" w:right="1440" w:bottom="1440" w:gutter="0" w:footer="0" w:header="0"/>
        </w:sectPr>
      </w:pPr>
    </w:p>
    <w:bookmarkStart w:id="28" w:name="page29"/>
    <w:bookmarkEnd w:id="28"/>
    <w:p>
      <w:pPr>
        <w:spacing w:after="0" w:line="1"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proceeds thereof, the aggregate principal amount of all of our outstanding Debt and our subsidiaries on a consolidated basis determined in accordance with generally accepted accounting principles is greater than 65% of the sum of (without duplication) (1) our Total Assets as of the end of the calendar quarter covered in our annual report on Form 10-K or quarterly report on Form 10-Q, as the case may be, most recently filed with the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subsidiary's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our Total Assets; provided that for purposes of this limitation, the amount of obligations under capital leases shown as a liability on our consolidated balance sheet shall be deducted from Debt and from Total Assets.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addition to the foregoing limitations on the incurrence of Debt, the notes will provide that we will not and will not permit any subsidiary to, incur any Senior Debt if the ratio of Consolidated Income Available for Senior Debt Service (as defined below) to the Annual Senior Debt Service Charge (as defined below) for the four consecutive fiscal quarters most recently ended prior to the date on which such Senior Debt is to be incurred shall have been less than 1.5 to 1, on an unaudited pro forma basis after giving effect thereto and to the application of the proceeds therefrom, and calculated on the assumption that (1) such Senior Debt and any other Senior Debt incurred by us and our subsidiaries since the first day of such four-quarter period and the application of the proceeds therefrom, including to refinance other Senior Debt, had occurred at the beginning of such period; (2) the repayment or retirement of any other Senior Debt by us and our subsidiaries since the first day of such four-quarter period had been incurred, repaid or retired at the beginning of such period (except that, in making such computation, the amount of Senior Debt under any revolving credit facility shall be computed based upon the average daily balance of such Senior Debt during such period); (3) in the case of Acquired Debt (as defined below) or Senior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Senior Debt had occurred as of the first day of such period with the appropriate adjustments with respect to such acquisition or disposition being included in such unaudited pro forma calculation.</w:t>
      </w:r>
    </w:p>
    <w:p>
      <w:pPr>
        <w:spacing w:after="0" w:line="373" w:lineRule="exact"/>
        <w:rPr>
          <w:sz w:val="20"/>
          <w:szCs w:val="20"/>
          <w:color w:val="auto"/>
        </w:rPr>
      </w:pPr>
    </w:p>
    <w:p>
      <w:pPr>
        <w:ind w:right="2599" w:firstLine="293"/>
        <w:spacing w:after="0" w:line="248" w:lineRule="auto"/>
        <w:rPr>
          <w:sz w:val="20"/>
          <w:szCs w:val="20"/>
          <w:color w:val="auto"/>
        </w:rPr>
      </w:pPr>
      <w:r>
        <w:rPr>
          <w:rFonts w:ascii="Courier New" w:cs="Courier New" w:eastAsia="Courier New" w:hAnsi="Courier New"/>
          <w:sz w:val="16"/>
          <w:szCs w:val="16"/>
          <w:color w:val="auto"/>
        </w:rPr>
        <w:t>Furthermore, the notes also will provide that we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1.3 to 1, on an unaudited pro forma basis after giving effect thereto and to the application of the proceeds therefrom, and calculated on the assumption that (1) such Debt and any other Debt incurred by us and our subsidiaries since the first day of such four- quarter period and the application of the proceeds therefrom, including to refinance other Debt, had occurred at the beginning of such period; (2) the repayment or retirement of any other Debt by us and our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ectPr>
          <w:pgSz w:w="11900" w:h="16839" w:orient="portrait"/>
          <w:cols w:equalWidth="0" w:num="1">
            <w:col w:w="10219"/>
          </w:cols>
          <w:pgMar w:left="240" w:top="680" w:right="1440" w:bottom="0" w:gutter="0" w:footer="0" w:header="0"/>
        </w:sectPr>
      </w:pPr>
    </w:p>
    <w:bookmarkStart w:id="29" w:name="page30"/>
    <w:bookmarkEnd w:id="29"/>
    <w:p>
      <w:pPr>
        <w:ind w:left="2420"/>
        <w:spacing w:after="0"/>
        <w:rPr>
          <w:sz w:val="20"/>
          <w:szCs w:val="20"/>
          <w:color w:val="auto"/>
        </w:rPr>
      </w:pPr>
      <w:r>
        <w:rPr>
          <w:rFonts w:ascii="Courier New" w:cs="Courier New" w:eastAsia="Courier New" w:hAnsi="Courier New"/>
          <w:sz w:val="15"/>
          <w:szCs w:val="15"/>
          <w:color w:val="auto"/>
        </w:rPr>
        <w:t>S-22</w:t>
      </w:r>
    </w:p>
    <w:p>
      <w:pPr>
        <w:sectPr>
          <w:pgSz w:w="11900" w:h="16838" w:orient="portrait"/>
          <w:cols w:equalWidth="0" w:num="1">
            <w:col w:w="9019"/>
          </w:cols>
          <w:pgMar w:left="1440" w:top="330" w:right="1440" w:bottom="1440" w:gutter="0" w:footer="0" w:header="0"/>
        </w:sectPr>
      </w:pPr>
    </w:p>
    <w:bookmarkStart w:id="30" w:name="page31"/>
    <w:bookmarkEnd w:id="30"/>
    <w:p>
      <w:pPr>
        <w:spacing w:after="0" w:line="1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As used herein,</w:t>
      </w:r>
    </w:p>
    <w:p>
      <w:pPr>
        <w:spacing w:after="0" w:line="195" w:lineRule="exact"/>
        <w:rPr>
          <w:sz w:val="20"/>
          <w:szCs w:val="20"/>
          <w:color w:val="auto"/>
        </w:rPr>
      </w:pPr>
    </w:p>
    <w:p>
      <w:pPr>
        <w:ind w:left="4" w:right="2699" w:firstLine="293"/>
        <w:spacing w:after="0" w:line="249" w:lineRule="auto"/>
        <w:rPr>
          <w:sz w:val="20"/>
          <w:szCs w:val="20"/>
          <w:color w:val="auto"/>
        </w:rPr>
      </w:pPr>
      <w:r>
        <w:rPr>
          <w:rFonts w:ascii="Courier New" w:cs="Courier New" w:eastAsia="Courier New" w:hAnsi="Courier New"/>
          <w:sz w:val="16"/>
          <w:szCs w:val="16"/>
          <w:color w:val="auto"/>
        </w:rPr>
        <w:t>"Acquired Debt" means Debt (or Senior Debt, as the case may be) of a Person (1) existing at the time such Person becomes a subsidiary or (2) assumed in connection with the acquisition of assets from such Person, in each case, other than Debt (or Senior Debt, as the case may be)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ind w:left="4" w:right="2699" w:firstLine="293"/>
        <w:spacing w:after="0" w:line="249" w:lineRule="auto"/>
        <w:rPr>
          <w:sz w:val="20"/>
          <w:szCs w:val="20"/>
          <w:color w:val="auto"/>
        </w:rPr>
      </w:pPr>
      <w:r>
        <w:rPr>
          <w:rFonts w:ascii="Courier New" w:cs="Courier New" w:eastAsia="Courier New" w:hAnsi="Courier New"/>
          <w:sz w:val="16"/>
          <w:szCs w:val="16"/>
          <w:color w:val="auto"/>
        </w:rPr>
        <w:t>"Annual Debt Service Charge" as of any date means the maximum amount which is payable in any period for interest on, and original issue discount of, our and our subsidiaries' Debt and the amount of dividends which are payable in respect of any Disqualified Stock (as defined below).</w:t>
      </w:r>
    </w:p>
    <w:p>
      <w:pPr>
        <w:spacing w:after="0" w:line="188" w:lineRule="exact"/>
        <w:rPr>
          <w:sz w:val="20"/>
          <w:szCs w:val="20"/>
          <w:color w:val="auto"/>
        </w:rPr>
      </w:pPr>
    </w:p>
    <w:p>
      <w:pPr>
        <w:ind w:left="4" w:right="2879" w:firstLine="293"/>
        <w:spacing w:after="0" w:line="250" w:lineRule="auto"/>
        <w:rPr>
          <w:sz w:val="20"/>
          <w:szCs w:val="20"/>
          <w:color w:val="auto"/>
        </w:rPr>
      </w:pPr>
      <w:r>
        <w:rPr>
          <w:rFonts w:ascii="Courier New" w:cs="Courier New" w:eastAsia="Courier New" w:hAnsi="Courier New"/>
          <w:sz w:val="16"/>
          <w:szCs w:val="16"/>
          <w:color w:val="auto"/>
        </w:rPr>
        <w:t>"Annual Senior Debt Service Charge" as of any date means the maximum amount which is payable in any period for interest on, and original issue discount of, our and our subsidiaries' Senior Debt.</w:t>
      </w:r>
    </w:p>
    <w:p>
      <w:pPr>
        <w:spacing w:after="0" w:line="185" w:lineRule="exact"/>
        <w:rPr>
          <w:sz w:val="20"/>
          <w:szCs w:val="20"/>
          <w:color w:val="auto"/>
        </w:rPr>
      </w:pPr>
    </w:p>
    <w:p>
      <w:pPr>
        <w:ind w:left="4" w:right="2799" w:firstLine="293"/>
        <w:spacing w:after="0" w:line="249" w:lineRule="auto"/>
        <w:rPr>
          <w:sz w:val="20"/>
          <w:szCs w:val="20"/>
          <w:color w:val="auto"/>
        </w:rPr>
      </w:pPr>
      <w:r>
        <w:rPr>
          <w:rFonts w:ascii="Courier New" w:cs="Courier New" w:eastAsia="Courier New" w:hAnsi="Courier New"/>
          <w:sz w:val="16"/>
          <w:szCs w:val="16"/>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7" w:lineRule="exact"/>
        <w:rPr>
          <w:sz w:val="20"/>
          <w:szCs w:val="20"/>
          <w:color w:val="auto"/>
        </w:rPr>
      </w:pPr>
    </w:p>
    <w:p>
      <w:pPr>
        <w:ind w:left="4" w:right="2799" w:firstLine="293"/>
        <w:spacing w:after="0" w:line="249" w:lineRule="auto"/>
        <w:rPr>
          <w:sz w:val="20"/>
          <w:szCs w:val="20"/>
          <w:color w:val="auto"/>
        </w:rPr>
      </w:pPr>
      <w:r>
        <w:rPr>
          <w:rFonts w:ascii="Courier New" w:cs="Courier New" w:eastAsia="Courier New" w:hAnsi="Courier New"/>
          <w:sz w:val="16"/>
          <w:szCs w:val="16"/>
          <w:color w:val="auto"/>
        </w:rPr>
        <w:t>"Consolidated Income Available for Debt Service" and "Consolidated Income Available for Senior Debt Service" for any period means our and our subsidiaries' Funds from Operations (as defined below) plus amounts which have been deducted for interest on our and our subsidiaries' Debt.</w:t>
      </w:r>
    </w:p>
    <w:p>
      <w:pPr>
        <w:spacing w:after="0" w:line="188" w:lineRule="exact"/>
        <w:rPr>
          <w:sz w:val="20"/>
          <w:szCs w:val="20"/>
          <w:color w:val="auto"/>
        </w:rPr>
      </w:pPr>
    </w:p>
    <w:p>
      <w:pPr>
        <w:ind w:left="4" w:right="2699" w:firstLine="293"/>
        <w:spacing w:after="0" w:line="248" w:lineRule="auto"/>
        <w:rPr>
          <w:sz w:val="20"/>
          <w:szCs w:val="20"/>
          <w:color w:val="auto"/>
        </w:rPr>
      </w:pPr>
      <w:r>
        <w:rPr>
          <w:rFonts w:ascii="Courier New" w:cs="Courier New" w:eastAsia="Courier New" w:hAnsi="Courier New"/>
          <w:sz w:val="16"/>
          <w:szCs w:val="16"/>
          <w:color w:val="auto"/>
        </w:rPr>
        <w:t>"Debt" means any of our or any of our subsidiaries' indebtedness, whether or not contingent, in respect of (without duplication) (1) borrowed money or evidenced by bonds, notes, debentures or similar instruments, (2) indebtedness secured by any mortgage, pledge, lien, charge, encumbrance or any security interest existing on property owned by us or any subsidiary,</w:t>
      </w:r>
    </w:p>
    <w:p>
      <w:pPr>
        <w:spacing w:after="0" w:line="3" w:lineRule="exact"/>
        <w:rPr>
          <w:sz w:val="20"/>
          <w:szCs w:val="20"/>
          <w:color w:val="auto"/>
        </w:rPr>
      </w:pPr>
    </w:p>
    <w:p>
      <w:pPr>
        <w:ind w:left="4" w:right="2699" w:hanging="4"/>
        <w:spacing w:after="0" w:line="249" w:lineRule="auto"/>
        <w:tabs>
          <w:tab w:leader="none" w:pos="39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has assigned our interest, provided that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86" w:lineRule="exact"/>
        <w:rPr>
          <w:sz w:val="20"/>
          <w:szCs w:val="20"/>
          <w:color w:val="auto"/>
        </w:rPr>
      </w:pPr>
    </w:p>
    <w:p>
      <w:pPr>
        <w:ind w:left="4" w:right="2799" w:firstLine="293"/>
        <w:spacing w:after="0" w:line="248" w:lineRule="auto"/>
        <w:rPr>
          <w:sz w:val="20"/>
          <w:szCs w:val="20"/>
          <w:color w:val="auto"/>
        </w:rPr>
      </w:pPr>
      <w:r>
        <w:rPr>
          <w:rFonts w:ascii="Courier New" w:cs="Courier New" w:eastAsia="Courier New" w:hAnsi="Courier New"/>
          <w:sz w:val="16"/>
          <w:szCs w:val="16"/>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w:t>
      </w:r>
    </w:p>
    <w:p>
      <w:pPr>
        <w:spacing w:after="0" w:line="3" w:lineRule="exact"/>
        <w:rPr>
          <w:sz w:val="20"/>
          <w:szCs w:val="20"/>
          <w:color w:val="auto"/>
        </w:rPr>
      </w:pPr>
    </w:p>
    <w:p>
      <w:pPr>
        <w:ind w:left="4" w:right="2699" w:hanging="4"/>
        <w:spacing w:after="0" w:line="249" w:lineRule="auto"/>
        <w:tabs>
          <w:tab w:leader="none" w:pos="39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87" w:lineRule="exact"/>
        <w:rPr>
          <w:sz w:val="20"/>
          <w:szCs w:val="20"/>
          <w:color w:val="auto"/>
        </w:rPr>
      </w:pPr>
    </w:p>
    <w:p>
      <w:pPr>
        <w:jc w:val="both"/>
        <w:ind w:left="4" w:right="2799" w:firstLine="293"/>
        <w:spacing w:after="0" w:line="252" w:lineRule="auto"/>
        <w:rPr>
          <w:sz w:val="20"/>
          <w:szCs w:val="20"/>
          <w:color w:val="auto"/>
        </w:rPr>
      </w:pPr>
      <w:r>
        <w:rPr>
          <w:rFonts w:ascii="Courier New" w:cs="Courier New" w:eastAsia="Courier New" w:hAnsi="Courier New"/>
          <w:sz w:val="16"/>
          <w:szCs w:val="16"/>
          <w:color w:val="auto"/>
        </w:rPr>
        <w:t>"Funds from Operations" for any period means income before depreciation and amortization and extraordinary items less gain on sale of real estate.</w:t>
      </w:r>
    </w:p>
    <w:p>
      <w:pPr>
        <w:spacing w:after="0" w:line="183" w:lineRule="exact"/>
        <w:rPr>
          <w:sz w:val="20"/>
          <w:szCs w:val="20"/>
          <w:color w:val="auto"/>
        </w:rPr>
      </w:pPr>
    </w:p>
    <w:p>
      <w:pPr>
        <w:ind w:left="4" w:right="2699" w:firstLine="293"/>
        <w:spacing w:after="0" w:line="252" w:lineRule="auto"/>
        <w:rPr>
          <w:sz w:val="20"/>
          <w:szCs w:val="20"/>
          <w:color w:val="auto"/>
        </w:rPr>
      </w:pPr>
      <w:r>
        <w:rPr>
          <w:rFonts w:ascii="Courier New" w:cs="Courier New" w:eastAsia="Courier New" w:hAnsi="Courier New"/>
          <w:sz w:val="16"/>
          <w:szCs w:val="16"/>
          <w:color w:val="auto"/>
        </w:rPr>
        <w:t>"Senior Debt" means Debt other than subordinated Debt and payments under our Disqualified Stock.</w:t>
      </w:r>
    </w:p>
    <w:p>
      <w:pPr>
        <w:spacing w:after="0" w:line="183" w:lineRule="exact"/>
        <w:rPr>
          <w:sz w:val="20"/>
          <w:szCs w:val="20"/>
          <w:color w:val="auto"/>
        </w:rPr>
      </w:pPr>
    </w:p>
    <w:p>
      <w:pPr>
        <w:ind w:left="4" w:right="2699" w:firstLine="293"/>
        <w:spacing w:after="0" w:line="250" w:lineRule="auto"/>
        <w:rPr>
          <w:sz w:val="20"/>
          <w:szCs w:val="20"/>
          <w:color w:val="auto"/>
        </w:rPr>
      </w:pPr>
      <w:r>
        <w:rPr>
          <w:rFonts w:ascii="Courier New" w:cs="Courier New" w:eastAsia="Courier New" w:hAnsi="Courier New"/>
          <w:sz w:val="16"/>
          <w:szCs w:val="16"/>
          <w:color w:val="auto"/>
        </w:rPr>
        <w:t>"Total Assets" as of any date means the sum of (1) our Undepreciated Real Estate Assets and (2) all of our other assets determined in accordance with generally accepted accounting principles (but excluding goodwill).</w:t>
      </w:r>
    </w:p>
    <w:p>
      <w:pPr>
        <w:spacing w:after="0" w:line="185" w:lineRule="exact"/>
        <w:rPr>
          <w:sz w:val="20"/>
          <w:szCs w:val="20"/>
          <w:color w:val="auto"/>
        </w:rPr>
      </w:pPr>
    </w:p>
    <w:p>
      <w:pPr>
        <w:ind w:left="4" w:right="2699" w:firstLine="293"/>
        <w:spacing w:after="0" w:line="249" w:lineRule="auto"/>
        <w:rPr>
          <w:sz w:val="20"/>
          <w:szCs w:val="20"/>
          <w:color w:val="auto"/>
        </w:rPr>
      </w:pPr>
      <w:r>
        <w:rPr>
          <w:rFonts w:ascii="Courier New" w:cs="Courier New" w:eastAsia="Courier New" w:hAnsi="Courier New"/>
          <w:sz w:val="16"/>
          <w:szCs w:val="16"/>
          <w:color w:val="auto"/>
        </w:rPr>
        <w:t>"Undepreciated Real Estate Assets" as of any date means the cost (original cost plus capital improvements) of our and our subsidiaries' real estate assets on such date, before depreciation and amortization determined on a consolidated basis in accordance with generally accepted accounting</w:t>
      </w:r>
    </w:p>
    <w:p>
      <w:pPr>
        <w:sectPr>
          <w:pgSz w:w="11900" w:h="16857" w:orient="portrait"/>
          <w:cols w:equalWidth="0" w:num="1">
            <w:col w:w="10023"/>
          </w:cols>
          <w:pgMar w:left="436" w:top="680" w:right="1440" w:bottom="0" w:gutter="0" w:footer="0" w:header="0"/>
        </w:sectPr>
      </w:pPr>
    </w:p>
    <w:bookmarkStart w:id="31" w:name="page32"/>
    <w:bookmarkEnd w:id="31"/>
    <w:p>
      <w:pPr>
        <w:ind w:left="200"/>
        <w:spacing w:after="0"/>
        <w:rPr>
          <w:sz w:val="20"/>
          <w:szCs w:val="20"/>
          <w:color w:val="auto"/>
        </w:rPr>
      </w:pPr>
      <w:r>
        <w:rPr>
          <w:rFonts w:ascii="Courier New" w:cs="Courier New" w:eastAsia="Courier New" w:hAnsi="Courier New"/>
          <w:sz w:val="16"/>
          <w:szCs w:val="16"/>
          <w:color w:val="auto"/>
        </w:rPr>
        <w:t>principles.</w:t>
      </w:r>
    </w:p>
    <w:p>
      <w:pPr>
        <w:spacing w:after="0" w:line="195" w:lineRule="exact"/>
        <w:rPr>
          <w:sz w:val="20"/>
          <w:szCs w:val="20"/>
          <w:color w:val="auto"/>
        </w:rPr>
      </w:pPr>
    </w:p>
    <w:p>
      <w:pPr>
        <w:ind w:right="2599" w:firstLine="293"/>
        <w:spacing w:after="0" w:line="252" w:lineRule="auto"/>
        <w:rPr>
          <w:sz w:val="20"/>
          <w:szCs w:val="20"/>
          <w:color w:val="auto"/>
        </w:rPr>
      </w:pPr>
      <w:r>
        <w:rPr>
          <w:rFonts w:ascii="Courier New" w:cs="Courier New" w:eastAsia="Courier New" w:hAnsi="Courier New"/>
          <w:sz w:val="16"/>
          <w:szCs w:val="16"/>
          <w:color w:val="auto"/>
        </w:rPr>
        <w:t>See "Description of Debt Securities--Certain Covenants" in the accompanying prospectus for a description of additional covenants applicable to us.</w:t>
      </w: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S-23</w:t>
      </w:r>
    </w:p>
    <w:p>
      <w:pPr>
        <w:sectPr>
          <w:pgSz w:w="11900" w:h="16838" w:orient="portrait"/>
          <w:cols w:equalWidth="0" w:num="1">
            <w:col w:w="10219"/>
          </w:cols>
          <w:pgMar w:left="240" w:top="142" w:right="1440" w:bottom="1440" w:gutter="0" w:footer="0" w:header="0"/>
        </w:sectPr>
      </w:pPr>
    </w:p>
    <w:bookmarkStart w:id="32" w:name="page33"/>
    <w:bookmarkEnd w:id="32"/>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have established a depositary arrangement with The Depository Trust Company with respect to the notes, the terms of which are summarized below. Upon issuance, the notes will be represented by a single Global Security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37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So long as the Depositary or its nominee is the registered owner of a Global Security, the Depositary or its nominee, as the case may be, will be the sole Holder of the notes for all purposes under the Senior Indenture. Except as otherwise provided in this section, the Beneficial Owners of the Global Security or Securities representing the notes will not be entitled to receive physical delivery of Certificated notes and will not be considered the Holders thereof for any purpose under the Senior Indenture, and no Global Security representing the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limits and such laws may impair the ability to transfer beneficial interests in a Global Security representing the notes.</w:t>
      </w:r>
    </w:p>
    <w:p>
      <w:pPr>
        <w:spacing w:after="0" w:line="374"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Securities or the Depositary ceases to be a clearing agency registered under the Exchange Act (if so required by applicable law or regulation) and, in each case, a successor Depositary is not appointed by us within 90 days after we receive such notice or becomes aware of such unwillingness, inability or ineligibility, (2) we, in our discretion, determine that the Global Security shall be exchangeable for Certificated Notes or (3) there shall have occurred and be continuing an Event of Default under the Senior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or Securities representing the notes, which names shall be provided by the Depositary's relevant Participants (as identified by the Depositary) to the Securities Registrar.</w:t>
      </w:r>
    </w:p>
    <w:p>
      <w:pPr>
        <w:spacing w:after="0" w:line="186"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(including the Agents),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Commission.</w:t>
      </w:r>
    </w:p>
    <w:p>
      <w:pPr>
        <w:spacing w:after="0" w:line="186"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w:t>
      </w:r>
    </w:p>
    <w:p>
      <w:pPr>
        <w:sectPr>
          <w:pgSz w:w="11900" w:h="16857" w:orient="portrait"/>
          <w:cols w:equalWidth="0" w:num="1">
            <w:col w:w="10219"/>
          </w:cols>
          <w:pgMar w:left="240" w:top="680"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their purchase, but</w:t>
      </w:r>
    </w:p>
    <w:p>
      <w:pPr>
        <w:spacing w:after="0" w:line="195"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S-24</w:t>
      </w:r>
    </w:p>
    <w:p>
      <w:pPr>
        <w:sectPr>
          <w:pgSz w:w="11900" w:h="16838" w:orient="portrait"/>
          <w:cols w:equalWidth="0" w:num="1">
            <w:col w:w="10219"/>
          </w:cols>
          <w:pgMar w:left="240" w:top="142" w:right="1440" w:bottom="1440" w:gutter="0" w:footer="0" w:header="0"/>
        </w:sectPr>
      </w:pPr>
    </w:p>
    <w:bookmarkStart w:id="34" w:name="page35"/>
    <w:bookmarkEnd w:id="34"/>
    <w:p>
      <w:pPr>
        <w:spacing w:after="0" w:line="12"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37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To facilitate subsequent transfers, the Global Security representing the notes which are deposited with, or on behalf of, the Depositary are registered in the name of the Depositary's partnership nominee, Cede &amp; Co. The deposit of the Global Security with, or on behalf of, the Depositary and their registration in the name of Cede &amp; Co. effect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86"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If applicable, redemption notices shall be sent to Cede &amp; Co. If less than all of the notes within an issue are being redeemed, the Depositary's practice is to determine by lot the amount of the interest of each Direct Participant in such issue to be redeemed.</w:t>
      </w:r>
    </w:p>
    <w:p>
      <w:pPr>
        <w:spacing w:after="0" w:line="188"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Depositary may discontinue providing its services as securities depository with respect to the notes at any time by giving reasonable notice to us or the Trustee.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8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FEDERAL INCOME TAX CONSIDERATIONS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Proposed changes to REIT qualification requirements. Two legislative proposals, one made by the Clinton Administration and the other passed by Congress, seek to change some of the requirements that a REIT must meet in order to qualify as a REIT. The Clinton Administration's fiscal year 2000 budget proposal, announced February 1, 1999, includes a proposal that would change the 10% voting securities test to a 10% vote or value test. Under the proposal, a REIT would not be able to own more than 10% of the vote or value of the outstanding securities of any issuer, except for a qualified REIT subsidiary or another REIT. The proposal also contains an exception to the 5% and 10% asset tests that would allow a REIT to have "taxable REIT subsidiaries," including both "qualified independent contractor subsidiaries," which could perform noncustomary and other currently prohibited services for tenants and other customers, and "qualified business subsidiaries," which could undertake third-party management and development activities as well</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S-25</w:t>
      </w:r>
    </w:p>
    <w:p>
      <w:pPr>
        <w:sectPr>
          <w:pgSz w:w="11900" w:h="16850" w:orient="portrait"/>
          <w:cols w:equalWidth="0" w:num="1">
            <w:col w:w="10219"/>
          </w:cols>
          <w:pgMar w:left="240" w:top="680" w:right="1440" w:bottom="0" w:gutter="0" w:footer="0" w:header="0"/>
        </w:sectPr>
      </w:pPr>
    </w:p>
    <w:bookmarkStart w:id="35" w:name="page36"/>
    <w:bookmarkEnd w:id="35"/>
    <w:p>
      <w:pPr>
        <w:ind w:right="2599"/>
        <w:spacing w:after="0" w:line="249" w:lineRule="auto"/>
        <w:rPr>
          <w:sz w:val="20"/>
          <w:szCs w:val="20"/>
          <w:color w:val="auto"/>
        </w:rPr>
      </w:pPr>
      <w:r>
        <w:rPr>
          <w:rFonts w:ascii="Courier New" w:cs="Courier New" w:eastAsia="Courier New" w:hAnsi="Courier New"/>
          <w:sz w:val="16"/>
          <w:szCs w:val="16"/>
          <w:color w:val="auto"/>
        </w:rPr>
        <w:t>as other non-real estate related activities. Under the Administration's proposal, no more than 15% of a REIT's total assets could consist of taxable REIT subsidiaries and no more than 5% of a REIT's total assets could consist of qualified independent contractor subsidiaries. Under the Administration's proposal, a taxable REIT subsidiary would not be entitled to deduct any interest on debt funded directly or indirectly by the REIT. This proposal would be effective after the date of enactment and a REIT would be allowed to combine and convert existing corporate subsidiaries into taxable REIT subsidiaries tax-free prior to a certain date. A transition period would allow for conversion of existing corporate subsidiaries before the 10% vote or value test would become effective. For the REIT's taxable years after the effective date of the proposal and after any applicable transition period, the 10% vote or value test would apply to the REIT's ownership in any of the non-controlled subsidiaries that are not converted into taxable REIT subsidiaries.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Work Incentives Improvement Act of 1999 was recently passed by Congress and is currently before the President for signature. The Work Incentives Improvement Act contains several provisions regarding REITs, which are similar to the Administration's REIT proposals in several respects. Like the Administration's proposal, the bill will create "taxable REIT subsidiaries" that will not be subject to the 5% asset test, but that will be subject to a 20% asset test and to a 100% excise tax on certain excess amounts to ensure an arm's-length relationship between a REIT and its "taxable REIT subsidiary." The "taxable REIT subsidiaries" will also be subject to "earnings stripping" limitations on the deductibility of interest. Under the bill, a REIT will be able to rent up to 10% of a property to a taxable REIT subsidiary and generally have the rent qualify as good income. The bill will also change the 10% voting securities test to a 10% vote or value test unless the corporation elects to be a taxable REIT subsidiary or the "grandfather rule" or certain other exceptions applies. In general, the "grandfather rule" will apply to securities of a corporation in which the REIT owned an interest as of July 12, 1999 (such as the subsidiaries in which we currently own only non-voting stock). Securities of a corporation will lose their "grandfathered" status if the corporation acquired any substantial asset or engaged in a substantial new line of business after July 12, 1999 (other than pursuant to a binding contract in effect on that date). We have made no decision at this time with regard to any actions we might take if and when the Work Incentives Improvement Act becomes law and there can be no assurance as to how the enactment of these changes would affect our business in the future.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S-26</w:t>
      </w:r>
    </w:p>
    <w:p>
      <w:pPr>
        <w:sectPr>
          <w:pgSz w:w="11900" w:h="16838" w:orient="portrait"/>
          <w:cols w:equalWidth="0" w:num="1">
            <w:col w:w="10219"/>
          </w:cols>
          <w:pgMar w:left="240" w:top="680" w:right="1440" w:bottom="1440" w:gutter="0" w:footer="0" w:header="0"/>
        </w:sectPr>
      </w:pPr>
    </w:p>
    <w:bookmarkStart w:id="36" w:name="page37"/>
    <w:bookmarkEnd w:id="36"/>
    <w:p>
      <w:pPr>
        <w:spacing w:after="0" w:line="1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UNDERWRITING</w:t>
      </w:r>
    </w:p>
    <w:p>
      <w:pPr>
        <w:spacing w:after="0" w:line="19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Subject to the terms and conditions set forth in an underwriting agreement among Goldman, Sachs &amp; Co., J.P. Morgan Securities Inc., First Union Securities, Inc., PNC Capital Markets, Inc. and Warburg Dillon Read LLC, as underwriters, and us, we have agreed to sell to the underwriters, and the underwriters have severally agreed to purchase, the principal amounts of the notes set forth opposite their respective names below.</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5"/>
                <w:szCs w:val="15"/>
                <w:color w:val="auto"/>
              </w:rPr>
            </w:pP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Principal</w:t>
            </w:r>
          </w:p>
        </w:tc>
      </w:tr>
      <w:tr>
        <w:trPr>
          <w:trHeight w:val="188"/>
        </w:trPr>
        <w:tc>
          <w:tcPr>
            <w:tcW w:w="650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amount of</w:t>
            </w:r>
          </w:p>
        </w:tc>
      </w:tr>
      <w:tr>
        <w:trPr>
          <w:trHeight w:val="188"/>
        </w:trPr>
        <w:tc>
          <w:tcPr>
            <w:tcW w:w="6500" w:type="dxa"/>
            <w:vAlign w:val="bottom"/>
          </w:tcPr>
          <w:p>
            <w:pPr>
              <w:spacing w:after="0"/>
              <w:rPr>
                <w:sz w:val="20"/>
                <w:szCs w:val="20"/>
                <w:color w:val="auto"/>
              </w:rPr>
            </w:pPr>
            <w:r>
              <w:rPr>
                <w:rFonts w:ascii="Courier New" w:cs="Courier New" w:eastAsia="Courier New" w:hAnsi="Courier New"/>
                <w:sz w:val="16"/>
                <w:szCs w:val="16"/>
                <w:color w:val="auto"/>
              </w:rPr>
              <w:t>Underwriter</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notes</w:t>
            </w:r>
          </w:p>
        </w:tc>
      </w:tr>
      <w:tr>
        <w:trPr>
          <w:trHeight w:val="188"/>
        </w:trPr>
        <w:tc>
          <w:tcPr>
            <w:tcW w:w="65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500" w:type="dxa"/>
            <w:vAlign w:val="bottom"/>
          </w:tcPr>
          <w:p>
            <w:pPr>
              <w:spacing w:after="0"/>
              <w:rPr>
                <w:sz w:val="20"/>
                <w:szCs w:val="20"/>
                <w:color w:val="auto"/>
              </w:rPr>
            </w:pPr>
            <w:r>
              <w:rPr>
                <w:rFonts w:ascii="Courier New" w:cs="Courier New" w:eastAsia="Courier New" w:hAnsi="Courier New"/>
                <w:sz w:val="16"/>
                <w:szCs w:val="16"/>
                <w:color w:val="auto"/>
              </w:rPr>
              <w:t>Goldman, Sachs &amp; Co. .............................................</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$ 65,625,000</w:t>
            </w:r>
          </w:p>
        </w:tc>
      </w:tr>
      <w:tr>
        <w:trPr>
          <w:trHeight w:val="188"/>
        </w:trPr>
        <w:tc>
          <w:tcPr>
            <w:tcW w:w="6500" w:type="dxa"/>
            <w:vAlign w:val="bottom"/>
          </w:tcPr>
          <w:p>
            <w:pPr>
              <w:spacing w:after="0"/>
              <w:rPr>
                <w:sz w:val="20"/>
                <w:szCs w:val="20"/>
                <w:color w:val="auto"/>
              </w:rPr>
            </w:pPr>
            <w:r>
              <w:rPr>
                <w:rFonts w:ascii="Courier New" w:cs="Courier New" w:eastAsia="Courier New" w:hAnsi="Courier New"/>
                <w:sz w:val="16"/>
                <w:szCs w:val="16"/>
                <w:color w:val="auto"/>
              </w:rPr>
              <w:t>J.P. Morgan Securities Inc. ......................................</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65,625,000</w:t>
            </w:r>
          </w:p>
        </w:tc>
      </w:tr>
      <w:tr>
        <w:trPr>
          <w:trHeight w:val="188"/>
        </w:trPr>
        <w:tc>
          <w:tcPr>
            <w:tcW w:w="6500" w:type="dxa"/>
            <w:vAlign w:val="bottom"/>
          </w:tcPr>
          <w:p>
            <w:pPr>
              <w:spacing w:after="0"/>
              <w:rPr>
                <w:sz w:val="20"/>
                <w:szCs w:val="20"/>
                <w:color w:val="auto"/>
              </w:rPr>
            </w:pPr>
            <w:r>
              <w:rPr>
                <w:rFonts w:ascii="Courier New" w:cs="Courier New" w:eastAsia="Courier New" w:hAnsi="Courier New"/>
                <w:sz w:val="16"/>
                <w:szCs w:val="16"/>
                <w:color w:val="auto"/>
              </w:rPr>
              <w:t>First Union Securities, Inc. .....................................</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26,250,000</w:t>
            </w:r>
          </w:p>
        </w:tc>
      </w:tr>
      <w:tr>
        <w:trPr>
          <w:trHeight w:val="188"/>
        </w:trPr>
        <w:tc>
          <w:tcPr>
            <w:tcW w:w="6500" w:type="dxa"/>
            <w:vAlign w:val="bottom"/>
          </w:tcPr>
          <w:p>
            <w:pPr>
              <w:spacing w:after="0"/>
              <w:rPr>
                <w:sz w:val="20"/>
                <w:szCs w:val="20"/>
                <w:color w:val="auto"/>
              </w:rPr>
            </w:pPr>
            <w:r>
              <w:rPr>
                <w:rFonts w:ascii="Courier New" w:cs="Courier New" w:eastAsia="Courier New" w:hAnsi="Courier New"/>
                <w:sz w:val="16"/>
                <w:szCs w:val="16"/>
                <w:color w:val="auto"/>
              </w:rPr>
              <w:t>PNC Capital Markets, Inc. ........................................</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8,750,000</w:t>
            </w:r>
          </w:p>
        </w:tc>
      </w:tr>
      <w:tr>
        <w:trPr>
          <w:trHeight w:val="188"/>
        </w:trPr>
        <w:tc>
          <w:tcPr>
            <w:tcW w:w="6500" w:type="dxa"/>
            <w:vAlign w:val="bottom"/>
          </w:tcPr>
          <w:p>
            <w:pPr>
              <w:spacing w:after="0"/>
              <w:rPr>
                <w:sz w:val="20"/>
                <w:szCs w:val="20"/>
                <w:color w:val="auto"/>
              </w:rPr>
            </w:pPr>
            <w:r>
              <w:rPr>
                <w:rFonts w:ascii="Courier New" w:cs="Courier New" w:eastAsia="Courier New" w:hAnsi="Courier New"/>
                <w:sz w:val="16"/>
                <w:szCs w:val="16"/>
                <w:color w:val="auto"/>
              </w:rPr>
              <w:t>Warburg Dillon Read LLC...........................................</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8,750,000</w:t>
            </w:r>
          </w:p>
        </w:tc>
      </w:tr>
      <w:tr>
        <w:trPr>
          <w:trHeight w:val="188"/>
        </w:trPr>
        <w:tc>
          <w:tcPr>
            <w:tcW w:w="650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Total...........................................................</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$175,000,000</w:t>
            </w:r>
          </w:p>
        </w:tc>
      </w:tr>
      <w:tr>
        <w:trPr>
          <w:trHeight w:val="188"/>
        </w:trPr>
        <w:tc>
          <w:tcPr>
            <w:tcW w:w="650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979" w:firstLine="293"/>
        <w:spacing w:after="0" w:line="250" w:lineRule="auto"/>
        <w:rPr>
          <w:sz w:val="20"/>
          <w:szCs w:val="20"/>
          <w:color w:val="auto"/>
        </w:rPr>
      </w:pPr>
      <w:r>
        <w:rPr>
          <w:rFonts w:ascii="Courier New" w:cs="Courier New" w:eastAsia="Courier New" w:hAnsi="Courier New"/>
          <w:sz w:val="16"/>
          <w:szCs w:val="16"/>
          <w:color w:val="auto"/>
        </w:rPr>
        <w:t>Under the terms and conditions of the underwriting agreement, if the underwriters take any of the notes, then the underwriters are obligated to take and pay for all of the notes.</w:t>
      </w:r>
    </w:p>
    <w:p>
      <w:pPr>
        <w:spacing w:after="0" w:line="18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The notes are a new issue of securities with no established trading market and will not be listed on any national securities exchange. The underwriters have advised us that they intend to make a market in the notes, but they have no obligation to do so and may discontinue market making at any time without providing any notice. No assurance can be given as to the liquidity of any trading market for the notes. Expenses associated with this offering, to be paid by us, are estimated to be $1.7 million.</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underwriters initially propose to offer part of the notes directly to the public at the offering price described on the cover page and part to certain dealers at a price that represents a concession not in excess of 0.40% of the principal amount of the notes. Any underwriter may allow, and any such dealers may reallow, a concession not in excess of 0.25% of the principal amount of the notes to certain other dealers. After the initial offering of the notes, the underwriters may from time to time vary the offering price and other selling terms.</w:t>
      </w:r>
    </w:p>
    <w:p>
      <w:pPr>
        <w:spacing w:after="0" w:line="187" w:lineRule="exact"/>
        <w:rPr>
          <w:sz w:val="20"/>
          <w:szCs w:val="20"/>
          <w:color w:val="auto"/>
        </w:rPr>
      </w:pPr>
    </w:p>
    <w:p>
      <w:pPr>
        <w:ind w:right="2799" w:firstLine="293"/>
        <w:spacing w:after="0" w:line="249" w:lineRule="auto"/>
        <w:rPr>
          <w:sz w:val="20"/>
          <w:szCs w:val="20"/>
          <w:color w:val="auto"/>
        </w:rPr>
      </w:pPr>
      <w:r>
        <w:rPr>
          <w:rFonts w:ascii="Courier New" w:cs="Courier New" w:eastAsia="Courier New" w:hAnsi="Courier New"/>
          <w:sz w:val="16"/>
          <w:szCs w:val="16"/>
          <w:color w:val="auto"/>
        </w:rPr>
        <w:t>We have agreed to indemnify the several underwriters against certain liabilities, including liabilities under the Securities Act of 1933, as amended, or to contribute to payments which the underwriters may be required to make in respect of any such liabilities.</w:t>
      </w:r>
    </w:p>
    <w:p>
      <w:pPr>
        <w:spacing w:after="0" w:line="188"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From time to time, the underwriters and certain of their affiliates have engaged, and may in the future engage, in transactions with, and perform investment banking and/or commercial banking services for, us and our affiliates in the ordinary course of business. Affiliates of First Union Securities, Inc., PNC Capital Markets, Inc. and Warburg Dillon Reed LLC are lenders on our credit facility. These affiliates will receive their proportionate share of the amount of the credit facility to be repaid. Because the amount to be repaid to affiliates of the underwriters will exceed 10% of the net proceeds from the sale of the notes, this offering is being made pursuant to the provisions of Rule 2710(c)(8) of the Conduct Rules of the National Association of Securities Dealers, Inc.</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LEGAL MATTERS</w:t>
      </w:r>
    </w:p>
    <w:p>
      <w:pPr>
        <w:spacing w:after="0" w:line="195" w:lineRule="exact"/>
        <w:rPr>
          <w:sz w:val="20"/>
          <w:szCs w:val="20"/>
          <w:color w:val="auto"/>
        </w:rPr>
      </w:pPr>
    </w:p>
    <w:p>
      <w:pPr>
        <w:ind w:right="2599" w:firstLine="293"/>
        <w:spacing w:after="0" w:line="250" w:lineRule="auto"/>
        <w:rPr>
          <w:sz w:val="20"/>
          <w:szCs w:val="20"/>
          <w:color w:val="auto"/>
        </w:rPr>
      </w:pPr>
      <w:r>
        <w:rPr>
          <w:rFonts w:ascii="Courier New" w:cs="Courier New" w:eastAsia="Courier New" w:hAnsi="Courier New"/>
          <w:sz w:val="16"/>
          <w:szCs w:val="16"/>
          <w:color w:val="auto"/>
        </w:rPr>
        <w:t>The legality of the notes and certain tax matters will be passed upon for Federal Realty Investment Trust by Hogan &amp; Hartson L.L.P., Washington, D.C. Brown &amp; Wood LLP, New York, New York, will act as counsel to the underwriters.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S-27</w:t>
      </w:r>
    </w:p>
    <w:p>
      <w:pPr>
        <w:sectPr>
          <w:pgSz w:w="11900" w:h="16850" w:orient="portrait"/>
          <w:cols w:equalWidth="0" w:num="1">
            <w:col w:w="10219"/>
          </w:cols>
          <w:pgMar w:left="240" w:top="680" w:right="1440" w:bottom="0" w:gutter="0" w:footer="0" w:header="0"/>
        </w:sectPr>
      </w:pPr>
    </w:p>
    <w:bookmarkStart w:id="37" w:name="page38"/>
    <w:bookmarkEnd w:id="37"/>
    <w:p>
      <w:pPr>
        <w:jc w:val="center"/>
        <w:ind w:right="2599"/>
        <w:spacing w:after="0"/>
        <w:rPr>
          <w:sz w:val="20"/>
          <w:szCs w:val="20"/>
          <w:color w:val="auto"/>
        </w:rPr>
      </w:pPr>
      <w:r>
        <w:rPr>
          <w:rFonts w:ascii="Courier New" w:cs="Courier New" w:eastAsia="Courier New" w:hAnsi="Courier New"/>
          <w:sz w:val="16"/>
          <w:szCs w:val="16"/>
          <w:color w:val="auto"/>
        </w:rPr>
        <w:t>[LOGO OF FEDERAL REALTY INVESTMENT TRUST APPEARS HERE]</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$500,000,000</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Debt Securities, Preferred Shares and Common Shares</w:t>
      </w:r>
    </w:p>
    <w:p>
      <w:pPr>
        <w:spacing w:after="0" w:line="195"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spacing w:after="0" w:line="1" w:lineRule="exact"/>
        <w:rPr>
          <w:sz w:val="20"/>
          <w:szCs w:val="20"/>
          <w:color w:val="auto"/>
        </w:rPr>
      </w:pPr>
    </w:p>
    <w:p>
      <w:pPr>
        <w:ind w:right="2799"/>
        <w:spacing w:after="0" w:line="249" w:lineRule="auto"/>
        <w:tabs>
          <w:tab w:leader="none" w:pos="48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preferred shares (the "Preferred Shares"), and (iii) its common shares of beneficial interest, no par or stated value (the "Common Shares"), with an aggregate public offering price of up to $500,000,000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(the "Senior Securities") or subordinated Debt Securities (the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37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186"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188"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599"/>
        <w:spacing w:after="0"/>
        <w:tabs>
          <w:tab w:leader="none" w:pos="180" w:val="left"/>
          <w:tab w:leader="none" w:pos="180" w:val="left"/>
        </w:tabs>
        <w:rPr>
          <w:sz w:val="20"/>
          <w:szCs w:val="20"/>
          <w:color w:val="auto"/>
        </w:rPr>
      </w:pPr>
      <w:r>
        <w:rPr>
          <w:rFonts w:ascii="Courier New" w:cs="Courier New" w:eastAsia="Courier New" w:hAnsi="Courier New"/>
          <w:sz w:val="16"/>
          <w:szCs w:val="16"/>
          <w:color w:val="auto"/>
        </w:rPr>
        <w:t>THESE SECURITIES HAVE NOT</w:t>
        <w:tab/>
        <w:t>BEEN APPROVED OR</w:t>
        <w:tab/>
        <w:t>DISAPPROVED BY THE SECURITIES</w:t>
      </w:r>
    </w:p>
    <w:p>
      <w:pPr>
        <w:spacing w:after="0" w:line="7" w:lineRule="exact"/>
        <w:rPr>
          <w:sz w:val="20"/>
          <w:szCs w:val="20"/>
          <w:color w:val="auto"/>
        </w:rPr>
      </w:pPr>
    </w:p>
    <w:p>
      <w:pPr>
        <w:jc w:val="center"/>
        <w:ind w:left="260" w:right="380"/>
        <w:spacing w:after="0" w:line="248" w:lineRule="auto"/>
        <w:rPr>
          <w:sz w:val="20"/>
          <w:szCs w:val="20"/>
          <w:color w:val="auto"/>
        </w:rPr>
      </w:pPr>
      <w:r>
        <w:rPr>
          <w:rFonts w:ascii="Courier New" w:cs="Courier New" w:eastAsia="Courier New" w:hAnsi="Courier New"/>
          <w:sz w:val="16"/>
          <w:szCs w:val="16"/>
          <w:color w:val="auto"/>
        </w:rPr>
        <w:t>AND EXCHANGE COMMISSION OR ANY STATE SECURITIES COMMISSION NOR HAS THE SECURITIES  AND  EXCHANGE  COMMISSION   OR  ANY  STATE  SECURITIES COMMISSION  PASSED  UPON  THE  ACCURACY OR  ADEQUACY  OF  THIS PROSPECTUS.  ANY  REPRESENTATION  TO  THE  CONTRARY  IS  A</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CRIMINAL OFFENSE.</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The date of this Prospectus is September 30, 1998.</w:t>
      </w:r>
    </w:p>
    <w:p>
      <w:pPr>
        <w:sectPr>
          <w:pgSz w:w="11900" w:h="16838" w:orient="portrait"/>
          <w:cols w:equalWidth="0" w:num="1">
            <w:col w:w="10219"/>
          </w:cols>
          <w:pgMar w:left="240" w:top="1056" w:right="1440" w:bottom="1440" w:gutter="0" w:footer="0" w:header="0"/>
        </w:sectPr>
      </w:pPr>
    </w:p>
    <w:bookmarkStart w:id="38" w:name="page39"/>
    <w:bookmarkEnd w:id="38"/>
    <w:p>
      <w:pPr>
        <w:ind w:left="2840"/>
        <w:spacing w:after="0"/>
        <w:rPr>
          <w:sz w:val="20"/>
          <w:szCs w:val="20"/>
          <w:color w:val="auto"/>
        </w:rPr>
      </w:pPr>
      <w:r>
        <w:rPr>
          <w:rFonts w:ascii="Courier New" w:cs="Courier New" w:eastAsia="Courier New" w:hAnsi="Courier New"/>
          <w:sz w:val="16"/>
          <w:szCs w:val="16"/>
          <w:color w:val="auto"/>
        </w:rPr>
        <w:t>AVAILABLE INFORMATION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The Commission also maintains a web site at http://www.sec.gov that contains reports, proxy and information statements and other information regarding registrants, including the Trust, that file electronically with the Commission. Such reports, proxy statements and other information concerning the Trust can also be inspected at the office of the New York Stock Exchange, 20 Broad Street, New York, New York 10005.</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1626 East Jefferson Street, Rockville, Maryland 20852-4041 (telephone 301/998-8100).</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has filed with the Commission a registration statement on Form S-3 (the "Registration Statement") under the Securities Act of 1933, as amended (the "Securities Act"), of which this Prospectus forms a part,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18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5" w:lineRule="exact"/>
        <w:rPr>
          <w:sz w:val="20"/>
          <w:szCs w:val="20"/>
          <w:color w:val="auto"/>
        </w:rPr>
      </w:pPr>
    </w:p>
    <w:p>
      <w:pPr>
        <w:ind w:right="3179" w:firstLine="196"/>
        <w:spacing w:after="0" w:line="252"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83" w:lineRule="exact"/>
        <w:rPr>
          <w:sz w:val="20"/>
          <w:szCs w:val="20"/>
          <w:color w:val="auto"/>
        </w:rPr>
      </w:pPr>
    </w:p>
    <w:p>
      <w:pPr>
        <w:ind w:left="200" w:right="3279" w:firstLine="191"/>
        <w:spacing w:after="0" w:line="252" w:lineRule="auto"/>
        <w:tabs>
          <w:tab w:leader="none" w:pos="68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Annual Report on Form 10-K for the fiscal year ended December 31, 1997.</w:t>
      </w:r>
    </w:p>
    <w:p>
      <w:pPr>
        <w:spacing w:after="0" w:line="183" w:lineRule="exact"/>
        <w:rPr>
          <w:rFonts w:ascii="Courier New" w:cs="Courier New" w:eastAsia="Courier New" w:hAnsi="Courier New"/>
          <w:sz w:val="16"/>
          <w:szCs w:val="16"/>
          <w:color w:val="auto"/>
        </w:rPr>
      </w:pPr>
    </w:p>
    <w:p>
      <w:pPr>
        <w:ind w:left="200" w:right="3179" w:firstLine="191"/>
        <w:spacing w:after="0" w:line="252" w:lineRule="auto"/>
        <w:tabs>
          <w:tab w:leader="none" w:pos="68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Quarterly Reports on Form 10-Q for the quarters ended March 31, 1998 and June 30, 1998.</w:t>
      </w:r>
    </w:p>
    <w:p>
      <w:pPr>
        <w:spacing w:after="0" w:line="183" w:lineRule="exact"/>
        <w:rPr>
          <w:rFonts w:ascii="Courier New" w:cs="Courier New" w:eastAsia="Courier New" w:hAnsi="Courier New"/>
          <w:sz w:val="16"/>
          <w:szCs w:val="16"/>
          <w:color w:val="auto"/>
        </w:rPr>
      </w:pPr>
    </w:p>
    <w:p>
      <w:pPr>
        <w:ind w:left="200" w:right="2799" w:firstLine="191"/>
        <w:spacing w:after="0" w:line="250" w:lineRule="auto"/>
        <w:tabs>
          <w:tab w:leader="none" w:pos="68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February 24, 1998, March 10, 1998, March 11, 1998, May 11, 1998 and August 7, 1998.</w:t>
      </w:r>
    </w:p>
    <w:p>
      <w:pPr>
        <w:spacing w:after="0" w:line="18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a part hereof from the date of filing of such document.</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1" w:right="1440" w:bottom="1440" w:gutter="0" w:footer="0" w:header="0"/>
        </w:sectPr>
      </w:pPr>
    </w:p>
    <w:bookmarkStart w:id="39" w:name="page40"/>
    <w:bookmarkEnd w:id="39"/>
    <w:p>
      <w:pPr>
        <w:ind w:left="3420"/>
        <w:spacing w:after="0"/>
        <w:rPr>
          <w:sz w:val="20"/>
          <w:szCs w:val="20"/>
          <w:color w:val="auto"/>
        </w:rPr>
      </w:pPr>
      <w:r>
        <w:rPr>
          <w:rFonts w:ascii="Courier New" w:cs="Courier New" w:eastAsia="Courier New" w:hAnsi="Courier New"/>
          <w:sz w:val="16"/>
          <w:szCs w:val="16"/>
          <w:color w:val="auto"/>
        </w:rPr>
        <w:t>THE TRUST</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Federal Realty Investment Trust (the "Trust") is an owner, operator and redeveloper of retail properties. Founded in 1962 as a District of Columbia business trust of unlimited duration, the Trust is a self-administered equity real estate investment trust ("REIT"). The Trust consolidates the financial statements of various entities which it controls. At June 30, 1998 the Trust owned 114 retail properties and one apartment complex.</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In addition, the Trust amended its by-laws in 1996 to permit investments west of the Mississippi River. The Trust continually evaluates its properties for renovation, retenanting and expansion opportunities. Similarly, the Trust regularly reviews its portfolio and from time to time considers selling certain of its properties. For several years the Trust has been seeking sites in its core markets suitable for the construction of new retail properties. Several sites have been identified and beginning in 1998 the Trust is focusing considerable time and resources on ground up development.</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Trust's portfolio of properties has grown from 42 as of January 1, 1993 to 115 at June 30, 1998. During this period the Trust acquired 78 retail properties for approximately $675 million. During this same period five shopping centers were sold. Also during this period the Trust spent over $250 million to renovate, expand, improve and retenant its properties. The majority of the acquisitions were funded with cash. Of the properties not fully acquired by cash, one was acquired by means of capital and ground leases, one was acquired for Common Shares and the assumption of a mortgage, one was acquired for cash and the assumption of a municipal bond issue and the others were acquired for cash with minority investments by third parties. This growth was financed through borrowing and equity offerings, since each year the Trust has distributed all or the majority of its cash provided by operating activities to its shareholders.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Trust's 114 retail properties, consisting of 55 shopping centers and 59 main street retail properties, are located in 16 states and the District of Columbia. Twenty-one of the properties are located in the Washington, D.C. metropolitan area; twenty are in California; fourteen are in Connecticut; eleven are in Pennsylvania, primarily in the Philadelphia area; ten are in New Jersey; ten are in Texas; seven are in Illinois; three are in Virginia; four are in Massachusetts; six are in New York; two are in Florida; two are in Arizona; and there is one in each of the following states: Georgia, Michigan, North Carolina and Oregon.</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Trust continues to seek older, well-located shopping centers and retail buildings to acquire and then to enhance their revenue potential through a program of renovation, retenanting and remerchandising. The Trust has also located sites where it intends to develop new retail properties.</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has made 144 consecutive quarterly distributions and has increased its distribution rate for each of the last 31 years. This is the longest record of annual distribution increases in the REIT industry. The current annual indicated distribution rate is $1.76 per share.</w:t>
      </w:r>
    </w:p>
    <w:p>
      <w:pPr>
        <w:spacing w:after="0" w:line="188" w:lineRule="exact"/>
        <w:rPr>
          <w:sz w:val="20"/>
          <w:szCs w:val="20"/>
          <w:color w:val="auto"/>
        </w:rPr>
      </w:pPr>
    </w:p>
    <w:p>
      <w:pPr>
        <w:ind w:right="2879" w:firstLine="196"/>
        <w:spacing w:after="0" w:line="252" w:lineRule="auto"/>
        <w:rPr>
          <w:sz w:val="20"/>
          <w:szCs w:val="20"/>
          <w:color w:val="auto"/>
        </w:rPr>
      </w:pPr>
      <w:r>
        <w:rPr>
          <w:rFonts w:ascii="Courier New" w:cs="Courier New" w:eastAsia="Courier New" w:hAnsi="Courier New"/>
          <w:sz w:val="16"/>
          <w:szCs w:val="16"/>
          <w:color w:val="auto"/>
        </w:rPr>
        <w:t>The Trust maintains its offices at 1626 East Jefferson Street, Rockville, Maryland 20852-4041 (telephone 301/998-8100).</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40" w:name="page41"/>
    <w:bookmarkEnd w:id="40"/>
    <w:p>
      <w:pPr>
        <w:jc w:val="center"/>
        <w:ind w:right="2499"/>
        <w:spacing w:after="0"/>
        <w:rPr>
          <w:sz w:val="20"/>
          <w:szCs w:val="20"/>
          <w:color w:val="auto"/>
        </w:rPr>
      </w:pPr>
      <w:r>
        <w:rPr>
          <w:rFonts w:ascii="Courier New" w:cs="Courier New" w:eastAsia="Courier New" w:hAnsi="Courier New"/>
          <w:sz w:val="16"/>
          <w:szCs w:val="16"/>
          <w:color w:val="auto"/>
        </w:rPr>
        <w:t>USE OF PROCEEDS</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95" w:lineRule="exact"/>
        <w:rPr>
          <w:sz w:val="20"/>
          <w:szCs w:val="20"/>
          <w:color w:val="auto"/>
        </w:rPr>
      </w:pPr>
    </w:p>
    <w:p>
      <w:pPr>
        <w:ind w:right="2799" w:firstLine="196"/>
        <w:spacing w:after="0" w:line="252" w:lineRule="auto"/>
        <w:rPr>
          <w:sz w:val="20"/>
          <w:szCs w:val="20"/>
          <w:color w:val="auto"/>
        </w:rPr>
      </w:pPr>
      <w:r>
        <w:rPr>
          <w:rFonts w:ascii="Courier New" w:cs="Courier New" w:eastAsia="Courier New" w:hAnsi="Courier New"/>
          <w:sz w:val="16"/>
          <w:szCs w:val="16"/>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359"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SIX</w:t>
            </w:r>
          </w:p>
        </w:tc>
        <w:tc>
          <w:tcPr>
            <w:tcW w:w="15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MONTHS</w:t>
            </w:r>
          </w:p>
        </w:tc>
      </w:tr>
      <w:tr>
        <w:trPr>
          <w:trHeight w:val="188"/>
        </w:trPr>
        <w:tc>
          <w:tcPr>
            <w:tcW w:w="1080" w:type="dxa"/>
            <w:vAlign w:val="bottom"/>
          </w:tcPr>
          <w:p>
            <w:pPr>
              <w:spacing w:after="0"/>
              <w:rPr>
                <w:sz w:val="16"/>
                <w:szCs w:val="16"/>
                <w:color w:val="auto"/>
              </w:rPr>
            </w:pPr>
          </w:p>
        </w:tc>
        <w:tc>
          <w:tcPr>
            <w:tcW w:w="27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YEARS ENDED DECEMBER 31,</w:t>
            </w: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ENDED JUNE 30,</w:t>
            </w:r>
          </w:p>
        </w:tc>
      </w:tr>
      <w:tr>
        <w:trPr>
          <w:trHeight w:val="188"/>
        </w:trPr>
        <w:tc>
          <w:tcPr>
            <w:tcW w:w="2020" w:type="dxa"/>
            <w:vAlign w:val="bottom"/>
            <w:gridSpan w:val="2"/>
          </w:tcPr>
          <w:p>
            <w:pPr>
              <w:spacing w:after="0"/>
              <w:rPr>
                <w:sz w:val="20"/>
                <w:szCs w:val="20"/>
                <w:color w:val="auto"/>
              </w:rPr>
            </w:pPr>
            <w:r>
              <w:rPr>
                <w:rFonts w:ascii="Courier New" w:cs="Courier New" w:eastAsia="Courier New" w:hAnsi="Courier New"/>
                <w:sz w:val="8"/>
                <w:szCs w:val="8"/>
                <w:color w:val="auto"/>
                <w:w w:val="71"/>
              </w:rPr>
              <w:t>----------------------------------------------------------</w:t>
            </w:r>
          </w:p>
        </w:tc>
        <w:tc>
          <w:tcPr>
            <w:tcW w:w="1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ind w:left="440"/>
              <w:spacing w:after="0"/>
              <w:rPr>
                <w:sz w:val="20"/>
                <w:szCs w:val="20"/>
                <w:color w:val="auto"/>
              </w:rPr>
            </w:pPr>
            <w:r>
              <w:rPr>
                <w:rFonts w:ascii="Courier New" w:cs="Courier New" w:eastAsia="Courier New" w:hAnsi="Courier New"/>
                <w:sz w:val="16"/>
                <w:szCs w:val="16"/>
                <w:color w:val="auto"/>
              </w:rPr>
              <w:t>1997</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1997</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080" w:type="dxa"/>
            <w:vAlign w:val="bottom"/>
          </w:tcPr>
          <w:p>
            <w:pPr>
              <w:spacing w:after="0"/>
              <w:rPr>
                <w:sz w:val="20"/>
                <w:szCs w:val="20"/>
                <w:color w:val="auto"/>
              </w:rPr>
            </w:pPr>
            <w:r>
              <w:rPr>
                <w:rFonts w:ascii="Courier New" w:cs="Courier New" w:eastAsia="Courier New" w:hAnsi="Courier New"/>
                <w:sz w:val="16"/>
                <w:szCs w:val="16"/>
                <w:color w:val="auto"/>
              </w:rPr>
              <w:t>1.50x</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1.61x</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1.55x</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1.59x</w:t>
            </w:r>
          </w:p>
        </w:tc>
        <w:tc>
          <w:tcPr>
            <w:tcW w:w="1380" w:type="dxa"/>
            <w:vAlign w:val="bottom"/>
          </w:tcPr>
          <w:p>
            <w:pPr>
              <w:ind w:left="440"/>
              <w:spacing w:after="0"/>
              <w:rPr>
                <w:sz w:val="20"/>
                <w:szCs w:val="20"/>
                <w:color w:val="auto"/>
              </w:rPr>
            </w:pPr>
            <w:r>
              <w:rPr>
                <w:rFonts w:ascii="Courier New" w:cs="Courier New" w:eastAsia="Courier New" w:hAnsi="Courier New"/>
                <w:sz w:val="16"/>
                <w:szCs w:val="16"/>
                <w:color w:val="auto"/>
              </w:rPr>
              <w:t>1.70x</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1.70x</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1.74x</w:t>
            </w:r>
          </w:p>
        </w:tc>
      </w:tr>
    </w:tbl>
    <w:p>
      <w:pPr>
        <w:spacing w:after="0" w:line="380"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In October 1997, the Trust issued $100 million of 7.95% Series A Cumulative Redeemable Preferred Shares ("Series A Preferred Shares"). The ratio of earnings to combined fixed charges and preferred dividends was 1.64x for the year ended December 31, 1997, and 1.54x for the six month period ended June 30, 1998. There were no preferred dividends paid by the Trust prior to 1997; as a result, the ratio of earnings to combined fixed charges and preferred dividends for the years ended December 31, 1993 through December 31, 1996, and the six months ended June 30, 1997, are unchanged from the ratios presented in this section.</w:t>
      </w:r>
    </w:p>
    <w:p>
      <w:pPr>
        <w:spacing w:after="0" w:line="18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DESCRIPTION OF DEBT SECURITIES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Senior Securities are to be issued under an indenture dated as of September 1, 1998, as supplemented from time to time (the "Senior Indenture"), between the Trust and First Union National Bank, Trustee, and the Subordinated Securities are to be issued under an indenture dated as of December 1, 1993, as supplemented from time to time (the "Subordinated Indenture"), between the Trust and First Union National Bank, Trustee. The term "Trustee" as used herein shall refer to First Union National Bank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0" w:right="1440" w:bottom="1440" w:gutter="0" w:footer="0" w:header="0"/>
        </w:sectPr>
      </w:pPr>
    </w:p>
    <w:bookmarkStart w:id="41" w:name="page42"/>
    <w:bookmarkEnd w:id="41"/>
    <w:p>
      <w:pPr>
        <w:ind w:right="2599" w:firstLine="196"/>
        <w:spacing w:after="0" w:line="249" w:lineRule="auto"/>
        <w:rPr>
          <w:sz w:val="20"/>
          <w:szCs w:val="20"/>
          <w:color w:val="auto"/>
        </w:rPr>
      </w:pPr>
      <w:r>
        <w:rPr>
          <w:rFonts w:ascii="Courier New" w:cs="Courier New" w:eastAsia="Courier New" w:hAnsi="Courier New"/>
          <w:sz w:val="16"/>
          <w:szCs w:val="16"/>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Reference is made to the Prospectus Supplement relating to the series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Securities being offered for the specific terms thereof, including:</w:t>
      </w:r>
    </w:p>
    <w:p>
      <w:pPr>
        <w:spacing w:after="0" w:line="195" w:lineRule="exact"/>
        <w:rPr>
          <w:sz w:val="20"/>
          <w:szCs w:val="20"/>
          <w:color w:val="auto"/>
        </w:rPr>
      </w:pPr>
    </w:p>
    <w:p>
      <w:pPr>
        <w:ind w:left="200" w:right="2879" w:firstLine="289"/>
        <w:spacing w:after="0" w:line="252" w:lineRule="auto"/>
        <w:tabs>
          <w:tab w:leader="none" w:pos="8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such Debt Securities and whether such Debt Securities are Senior Securities or Subordinated Securities;</w:t>
      </w:r>
    </w:p>
    <w:p>
      <w:pPr>
        <w:spacing w:after="0" w:line="183" w:lineRule="exact"/>
        <w:rPr>
          <w:rFonts w:ascii="Courier New" w:cs="Courier New" w:eastAsia="Courier New" w:hAnsi="Courier New"/>
          <w:sz w:val="16"/>
          <w:szCs w:val="16"/>
          <w:color w:val="auto"/>
        </w:rPr>
      </w:pPr>
    </w:p>
    <w:p>
      <w:pPr>
        <w:ind w:left="200" w:right="2699" w:firstLine="289"/>
        <w:spacing w:after="0" w:line="252" w:lineRule="auto"/>
        <w:tabs>
          <w:tab w:leader="none" w:pos="8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such Debt Securities and any limit on such aggregate principal amount;</w:t>
      </w:r>
    </w:p>
    <w:p>
      <w:pPr>
        <w:spacing w:after="0" w:line="183" w:lineRule="exact"/>
        <w:rPr>
          <w:rFonts w:ascii="Courier New" w:cs="Courier New" w:eastAsia="Courier New" w:hAnsi="Courier New"/>
          <w:sz w:val="16"/>
          <w:szCs w:val="16"/>
          <w:color w:val="auto"/>
        </w:rPr>
      </w:pPr>
    </w:p>
    <w:p>
      <w:pPr>
        <w:ind w:left="200" w:right="2699" w:firstLine="289"/>
        <w:spacing w:after="0" w:line="249" w:lineRule="auto"/>
        <w:tabs>
          <w:tab w:leader="none" w:pos="8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375" w:lineRule="exact"/>
        <w:rPr>
          <w:rFonts w:ascii="Courier New" w:cs="Courier New" w:eastAsia="Courier New" w:hAnsi="Courier New"/>
          <w:sz w:val="16"/>
          <w:szCs w:val="16"/>
          <w:color w:val="auto"/>
        </w:rPr>
      </w:pPr>
    </w:p>
    <w:p>
      <w:pPr>
        <w:ind w:left="200" w:right="2879" w:firstLine="289"/>
        <w:spacing w:after="0" w:line="249" w:lineRule="auto"/>
        <w:tabs>
          <w:tab w:leader="none" w:pos="8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187" w:lineRule="exact"/>
        <w:rPr>
          <w:rFonts w:ascii="Courier New" w:cs="Courier New" w:eastAsia="Courier New" w:hAnsi="Courier New"/>
          <w:sz w:val="16"/>
          <w:szCs w:val="16"/>
          <w:color w:val="auto"/>
        </w:rPr>
      </w:pPr>
    </w:p>
    <w:p>
      <w:pPr>
        <w:ind w:left="200" w:right="2699" w:firstLine="289"/>
        <w:spacing w:after="0" w:line="252" w:lineRule="auto"/>
        <w:tabs>
          <w:tab w:leader="none" w:pos="8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or the method for determining such date or dates, on which the principal of such Debt Securities will be payable;</w:t>
      </w:r>
    </w:p>
    <w:p>
      <w:pPr>
        <w:spacing w:after="0" w:line="183" w:lineRule="exact"/>
        <w:rPr>
          <w:rFonts w:ascii="Courier New" w:cs="Courier New" w:eastAsia="Courier New" w:hAnsi="Courier New"/>
          <w:sz w:val="16"/>
          <w:szCs w:val="16"/>
          <w:color w:val="auto"/>
        </w:rPr>
      </w:pPr>
    </w:p>
    <w:p>
      <w:pPr>
        <w:jc w:val="both"/>
        <w:ind w:left="200" w:right="2699" w:firstLine="289"/>
        <w:spacing w:after="0" w:line="250" w:lineRule="auto"/>
        <w:tabs>
          <w:tab w:leader="none" w:pos="8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(which may be fixed or variable), or the method by which such rate or rates shall be determined, at which such Debt Securities will bear interest, if any;</w:t>
      </w:r>
    </w:p>
    <w:p>
      <w:pPr>
        <w:spacing w:after="0" w:line="185" w:lineRule="exact"/>
        <w:rPr>
          <w:rFonts w:ascii="Courier New" w:cs="Courier New" w:eastAsia="Courier New" w:hAnsi="Courier New"/>
          <w:sz w:val="16"/>
          <w:szCs w:val="16"/>
          <w:color w:val="auto"/>
        </w:rPr>
      </w:pPr>
    </w:p>
    <w:p>
      <w:pPr>
        <w:ind w:left="200" w:right="2699" w:firstLine="289"/>
        <w:spacing w:after="0" w:line="249" w:lineRule="auto"/>
        <w:tabs>
          <w:tab w:leader="none" w:pos="8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7" w:lineRule="exact"/>
        <w:rPr>
          <w:rFonts w:ascii="Courier New" w:cs="Courier New" w:eastAsia="Courier New" w:hAnsi="Courier New"/>
          <w:sz w:val="16"/>
          <w:szCs w:val="16"/>
          <w:color w:val="auto"/>
        </w:rPr>
      </w:pPr>
    </w:p>
    <w:p>
      <w:pPr>
        <w:ind w:left="200" w:right="2699" w:firstLine="289"/>
        <w:spacing w:after="0" w:line="249" w:lineRule="auto"/>
        <w:tabs>
          <w:tab w:leader="none" w:pos="8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7" w:lineRule="exact"/>
        <w:rPr>
          <w:rFonts w:ascii="Courier New" w:cs="Courier New" w:eastAsia="Courier New" w:hAnsi="Courier New"/>
          <w:sz w:val="16"/>
          <w:szCs w:val="16"/>
          <w:color w:val="auto"/>
        </w:rPr>
      </w:pPr>
    </w:p>
    <w:p>
      <w:pPr>
        <w:ind w:left="200" w:right="2699" w:firstLine="289"/>
        <w:spacing w:after="0" w:line="249" w:lineRule="auto"/>
        <w:tabs>
          <w:tab w:leader="none" w:pos="8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42" w:name="page43"/>
    <w:bookmarkEnd w:id="42"/>
    <w:p>
      <w:pPr>
        <w:ind w:left="200" w:right="2699" w:firstLine="191"/>
        <w:spacing w:after="0" w:line="249" w:lineRule="auto"/>
        <w:tabs>
          <w:tab w:leader="none" w:pos="8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187" w:lineRule="exact"/>
        <w:rPr>
          <w:rFonts w:ascii="Courier New" w:cs="Courier New" w:eastAsia="Courier New" w:hAnsi="Courier New"/>
          <w:sz w:val="16"/>
          <w:szCs w:val="16"/>
          <w:color w:val="auto"/>
        </w:rPr>
      </w:pPr>
    </w:p>
    <w:p>
      <w:pPr>
        <w:ind w:left="200" w:right="2699" w:firstLine="191"/>
        <w:spacing w:after="0" w:line="249" w:lineRule="auto"/>
        <w:tabs>
          <w:tab w:leader="none" w:pos="8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187" w:lineRule="exact"/>
        <w:rPr>
          <w:rFonts w:ascii="Courier New" w:cs="Courier New" w:eastAsia="Courier New" w:hAnsi="Courier New"/>
          <w:sz w:val="16"/>
          <w:szCs w:val="16"/>
          <w:color w:val="auto"/>
        </w:rPr>
      </w:pPr>
    </w:p>
    <w:p>
      <w:pPr>
        <w:ind w:left="200" w:right="2699" w:firstLine="191"/>
        <w:spacing w:after="0" w:line="249" w:lineRule="auto"/>
        <w:tabs>
          <w:tab w:leader="none" w:pos="8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187" w:lineRule="exact"/>
        <w:rPr>
          <w:rFonts w:ascii="Courier New" w:cs="Courier New" w:eastAsia="Courier New" w:hAnsi="Courier New"/>
          <w:sz w:val="16"/>
          <w:szCs w:val="16"/>
          <w:color w:val="auto"/>
        </w:rPr>
      </w:pPr>
    </w:p>
    <w:p>
      <w:pPr>
        <w:ind w:left="200" w:right="2699" w:firstLine="191"/>
        <w:spacing w:after="0" w:line="250" w:lineRule="auto"/>
        <w:tabs>
          <w:tab w:leader="none" w:pos="8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additions to, modifications of or deletions from the terms of such Debt Securities with respect to the Events of Default or covenants set forth in the applicable Indenture;</w:t>
      </w:r>
    </w:p>
    <w:p>
      <w:pPr>
        <w:spacing w:after="0" w:line="185" w:lineRule="exact"/>
        <w:rPr>
          <w:rFonts w:ascii="Courier New" w:cs="Courier New" w:eastAsia="Courier New" w:hAnsi="Courier New"/>
          <w:sz w:val="16"/>
          <w:szCs w:val="16"/>
          <w:color w:val="auto"/>
        </w:rPr>
      </w:pPr>
    </w:p>
    <w:p>
      <w:pPr>
        <w:ind w:left="200" w:right="2699" w:firstLine="191"/>
        <w:spacing w:after="0" w:line="252" w:lineRule="auto"/>
        <w:tabs>
          <w:tab w:leader="none" w:pos="8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Debt Securities will be issued in certificated or book-entry form;</w:t>
      </w:r>
    </w:p>
    <w:p>
      <w:pPr>
        <w:spacing w:after="0" w:line="183" w:lineRule="exact"/>
        <w:rPr>
          <w:rFonts w:ascii="Courier New" w:cs="Courier New" w:eastAsia="Courier New" w:hAnsi="Courier New"/>
          <w:sz w:val="16"/>
          <w:szCs w:val="16"/>
          <w:color w:val="auto"/>
        </w:rPr>
      </w:pPr>
    </w:p>
    <w:p>
      <w:pPr>
        <w:ind w:left="200" w:right="2699" w:firstLine="191"/>
        <w:spacing w:after="0" w:line="249" w:lineRule="auto"/>
        <w:tabs>
          <w:tab w:leader="none" w:pos="8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187" w:lineRule="exact"/>
        <w:rPr>
          <w:rFonts w:ascii="Courier New" w:cs="Courier New" w:eastAsia="Courier New" w:hAnsi="Courier New"/>
          <w:sz w:val="16"/>
          <w:szCs w:val="16"/>
          <w:color w:val="auto"/>
        </w:rPr>
      </w:pPr>
    </w:p>
    <w:p>
      <w:pPr>
        <w:ind w:left="200" w:right="2699" w:firstLine="191"/>
        <w:spacing w:after="0" w:line="252" w:lineRule="auto"/>
        <w:tabs>
          <w:tab w:leader="none" w:pos="8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applicability, if any, of the defeasance and covenant defeasance provisions of Article XIV of the applicable Indenture;</w:t>
      </w:r>
    </w:p>
    <w:p>
      <w:pPr>
        <w:spacing w:after="0" w:line="183" w:lineRule="exact"/>
        <w:rPr>
          <w:rFonts w:ascii="Courier New" w:cs="Courier New" w:eastAsia="Courier New" w:hAnsi="Courier New"/>
          <w:sz w:val="16"/>
          <w:szCs w:val="16"/>
          <w:color w:val="auto"/>
        </w:rPr>
      </w:pPr>
    </w:p>
    <w:p>
      <w:pPr>
        <w:ind w:left="880" w:hanging="489"/>
        <w:spacing w:after="0"/>
        <w:tabs>
          <w:tab w:leader="none" w:pos="8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if any, upon which such Debt Securities may be</w:t>
      </w:r>
    </w:p>
    <w:p>
      <w:pPr>
        <w:spacing w:after="0" w:line="6" w:lineRule="exact"/>
        <w:rPr>
          <w:rFonts w:ascii="Courier New" w:cs="Courier New" w:eastAsia="Courier New" w:hAnsi="Courier New"/>
          <w:sz w:val="16"/>
          <w:szCs w:val="16"/>
          <w:color w:val="auto"/>
        </w:rPr>
      </w:pPr>
    </w:p>
    <w:p>
      <w:pPr>
        <w:ind w:left="200" w:right="26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187" w:lineRule="exact"/>
        <w:rPr>
          <w:rFonts w:ascii="Courier New" w:cs="Courier New" w:eastAsia="Courier New" w:hAnsi="Courier New"/>
          <w:sz w:val="16"/>
          <w:szCs w:val="16"/>
          <w:color w:val="auto"/>
        </w:rPr>
      </w:pPr>
    </w:p>
    <w:p>
      <w:pPr>
        <w:ind w:left="200" w:right="2699" w:firstLine="191"/>
        <w:spacing w:after="0" w:line="249" w:lineRule="auto"/>
        <w:tabs>
          <w:tab w:leader="none" w:pos="8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187" w:lineRule="exact"/>
        <w:rPr>
          <w:rFonts w:ascii="Courier New" w:cs="Courier New" w:eastAsia="Courier New" w:hAnsi="Courier New"/>
          <w:sz w:val="16"/>
          <w:szCs w:val="16"/>
          <w:color w:val="auto"/>
        </w:rPr>
      </w:pPr>
    </w:p>
    <w:p>
      <w:pPr>
        <w:ind w:left="200" w:right="2979" w:firstLine="191"/>
        <w:spacing w:after="0" w:line="252" w:lineRule="auto"/>
        <w:tabs>
          <w:tab w:leader="none" w:pos="8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83"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0"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Denominations, Interest, Registration and Transfer</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Unless otherwise described in the applicable Prospectus Supplement, the Debt Securities of any series will be issuable in denominations of $1,000 and integral multiples thereof (Section 302 of each Indenture).</w:t>
      </w:r>
    </w:p>
    <w:p>
      <w:pPr>
        <w:spacing w:after="0" w:line="18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Unless otherwise specified in the applicable Prospectus Supplement, the principal of (and applicable premium, if any) and interest on any series of Debt Securities will be payable at the corporate trust office of the Trustee, initially located at First Union National Bank, 230 S. Tryon Street, 9th Floor, Charlotte, North Carolina 28288-1179 in the case of the Senior Securities and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374"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Merger, Consolidation or Sale</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Covenants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45" w:name="page46"/>
    <w:bookmarkEnd w:id="45"/>
    <w:p>
      <w:pPr>
        <w:ind w:right="2799"/>
        <w:spacing w:after="0" w:line="249" w:lineRule="auto"/>
        <w:rPr>
          <w:sz w:val="20"/>
          <w:szCs w:val="20"/>
          <w:color w:val="auto"/>
        </w:rPr>
      </w:pPr>
      <w:r>
        <w:rPr>
          <w:rFonts w:ascii="Courier New" w:cs="Courier New" w:eastAsia="Courier New" w:hAnsi="Courier New"/>
          <w:sz w:val="16"/>
          <w:szCs w:val="16"/>
          <w:color w:val="auto"/>
        </w:rPr>
        <w:t>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187" w:lineRule="exact"/>
        <w:rPr>
          <w:sz w:val="20"/>
          <w:szCs w:val="20"/>
          <w:color w:val="auto"/>
        </w:rPr>
      </w:pPr>
    </w:p>
    <w:p>
      <w:pPr>
        <w:jc w:val="both"/>
        <w:ind w:right="2699" w:firstLine="196"/>
        <w:spacing w:after="0" w:line="250" w:lineRule="auto"/>
        <w:rPr>
          <w:sz w:val="20"/>
          <w:szCs w:val="20"/>
          <w:color w:val="auto"/>
        </w:rPr>
      </w:pPr>
      <w:r>
        <w:rPr>
          <w:rFonts w:ascii="Courier New" w:cs="Courier New" w:eastAsia="Courier New" w:hAnsi="Courier New"/>
          <w:sz w:val="16"/>
          <w:szCs w:val="16"/>
          <w:color w:val="auto"/>
        </w:rPr>
        <w:t>Additional Covenants. Any additional covenants of the Trust with respect to any series of Debt Securities will be set forth in the Prospectus Supplement relating thereto.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 Notice and Waiver</w:t>
      </w:r>
    </w:p>
    <w:p>
      <w:pPr>
        <w:spacing w:after="0" w:line="195"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9"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0" w:right="1440" w:bottom="1440" w:gutter="0" w:footer="0" w:header="0"/>
        </w:sectPr>
      </w:pPr>
    </w:p>
    <w:bookmarkStart w:id="46" w:name="page47"/>
    <w:bookmarkEnd w:id="46"/>
    <w:p>
      <w:pPr>
        <w:ind w:right="2599"/>
        <w:spacing w:after="0" w:line="249" w:lineRule="auto"/>
        <w:rPr>
          <w:sz w:val="20"/>
          <w:szCs w:val="20"/>
          <w:color w:val="auto"/>
        </w:rPr>
      </w:pPr>
      <w:r>
        <w:rPr>
          <w:rFonts w:ascii="Courier New" w:cs="Courier New" w:eastAsia="Courier New" w:hAnsi="Courier New"/>
          <w:sz w:val="16"/>
          <w:szCs w:val="16"/>
          <w:color w:val="auto"/>
        </w:rPr>
        <w:t>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37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of the Indentures</w:t>
      </w:r>
    </w:p>
    <w:p>
      <w:pPr>
        <w:spacing w:after="0" w:line="195" w:lineRule="exact"/>
        <w:rPr>
          <w:sz w:val="20"/>
          <w:szCs w:val="20"/>
          <w:color w:val="auto"/>
        </w:rPr>
      </w:pPr>
    </w:p>
    <w:p>
      <w:pPr>
        <w:jc w:val="both"/>
        <w:ind w:right="2699" w:firstLine="196"/>
        <w:spacing w:after="0" w:line="249"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1440" w:gutter="0" w:footer="0" w:header="0"/>
        </w:sectPr>
      </w:pPr>
    </w:p>
    <w:bookmarkStart w:id="47" w:name="page48"/>
    <w:bookmarkEnd w:id="47"/>
    <w:p>
      <w:pPr>
        <w:ind w:right="2599"/>
        <w:spacing w:after="0" w:line="249" w:lineRule="auto"/>
        <w:rPr>
          <w:sz w:val="20"/>
          <w:szCs w:val="20"/>
          <w:color w:val="auto"/>
        </w:rPr>
      </w:pPr>
      <w:r>
        <w:rPr>
          <w:rFonts w:ascii="Courier New" w:cs="Courier New" w:eastAsia="Courier New" w:hAnsi="Courier New"/>
          <w:sz w:val="16"/>
          <w:szCs w:val="16"/>
          <w:color w:val="auto"/>
        </w:rPr>
        <w:t>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188" w:lineRule="exact"/>
        <w:rPr>
          <w:sz w:val="20"/>
          <w:szCs w:val="20"/>
          <w:color w:val="auto"/>
        </w:rPr>
      </w:pPr>
    </w:p>
    <w:p>
      <w:pPr>
        <w:ind w:right="2879" w:firstLine="196"/>
        <w:spacing w:after="0" w:line="24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3" w:lineRule="exact"/>
        <w:rPr>
          <w:sz w:val="20"/>
          <w:szCs w:val="20"/>
          <w:color w:val="auto"/>
        </w:rPr>
      </w:pPr>
    </w:p>
    <w:p>
      <w:pPr>
        <w:ind w:right="2599"/>
        <w:spacing w:after="0" w:line="248" w:lineRule="auto"/>
        <w:tabs>
          <w:tab w:leader="none" w:pos="48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3" w:lineRule="exact"/>
        <w:rPr>
          <w:rFonts w:ascii="Courier New" w:cs="Courier New" w:eastAsia="Courier New" w:hAnsi="Courier New"/>
          <w:sz w:val="16"/>
          <w:szCs w:val="16"/>
          <w:color w:val="auto"/>
        </w:rPr>
      </w:pPr>
    </w:p>
    <w:p>
      <w:pPr>
        <w:ind w:right="2599"/>
        <w:spacing w:after="0" w:line="249" w:lineRule="auto"/>
        <w:tabs>
          <w:tab w:leader="none" w:pos="39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0" w:right="1440" w:bottom="1440" w:gutter="0" w:footer="0" w:header="0"/>
        </w:sectPr>
      </w:pPr>
    </w:p>
    <w:bookmarkStart w:id="48" w:name="page49"/>
    <w:bookmarkEnd w:id="48"/>
    <w:p>
      <w:pPr>
        <w:ind w:right="2599"/>
        <w:spacing w:after="0" w:line="249" w:lineRule="auto"/>
        <w:rPr>
          <w:sz w:val="20"/>
          <w:szCs w:val="20"/>
          <w:color w:val="auto"/>
        </w:rPr>
      </w:pPr>
      <w:r>
        <w:rPr>
          <w:rFonts w:ascii="Courier New" w:cs="Courier New" w:eastAsia="Courier New" w:hAnsi="Courier New"/>
          <w:sz w:val="16"/>
          <w:szCs w:val="16"/>
          <w:color w:val="auto"/>
        </w:rPr>
        <w:t>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0" w:right="1440" w:bottom="1440" w:gutter="0" w:footer="0" w:header="0"/>
        </w:sectPr>
      </w:pPr>
    </w:p>
    <w:bookmarkStart w:id="49" w:name="page50"/>
    <w:bookmarkEnd w:id="49"/>
    <w:p>
      <w:pPr>
        <w:ind w:right="2599"/>
        <w:spacing w:after="0" w:line="249" w:lineRule="auto"/>
        <w:rPr>
          <w:sz w:val="20"/>
          <w:szCs w:val="20"/>
          <w:color w:val="auto"/>
        </w:rPr>
      </w:pPr>
      <w:r>
        <w:rPr>
          <w:rFonts w:ascii="Courier New" w:cs="Courier New" w:eastAsia="Courier New" w:hAnsi="Courier New"/>
          <w:sz w:val="16"/>
          <w:szCs w:val="16"/>
          <w:color w:val="auto"/>
        </w:rPr>
        <w:t>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3" w:lineRule="exact"/>
        <w:rPr>
          <w:sz w:val="20"/>
          <w:szCs w:val="20"/>
          <w:color w:val="auto"/>
        </w:rPr>
      </w:pPr>
    </w:p>
    <w:p>
      <w:pPr>
        <w:ind w:right="2599"/>
        <w:spacing w:after="0" w:line="248" w:lineRule="auto"/>
        <w:tabs>
          <w:tab w:leader="none" w:pos="39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3" w:lineRule="exact"/>
        <w:rPr>
          <w:rFonts w:ascii="Courier New" w:cs="Courier New" w:eastAsia="Courier New" w:hAnsi="Courier New"/>
          <w:sz w:val="16"/>
          <w:szCs w:val="16"/>
          <w:color w:val="auto"/>
        </w:rPr>
      </w:pPr>
    </w:p>
    <w:p>
      <w:pPr>
        <w:ind w:right="2599"/>
        <w:spacing w:after="0" w:line="248" w:lineRule="auto"/>
        <w:tabs>
          <w:tab w:leader="none" w:pos="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spacing w:after="0" w:line="3" w:lineRule="exact"/>
        <w:rPr>
          <w:rFonts w:ascii="Courier New" w:cs="Courier New" w:eastAsia="Courier New" w:hAnsi="Courier New"/>
          <w:sz w:val="16"/>
          <w:szCs w:val="16"/>
          <w:color w:val="auto"/>
        </w:rPr>
      </w:pPr>
    </w:p>
    <w:p>
      <w:pPr>
        <w:ind w:right="2599"/>
        <w:spacing w:after="0" w:line="249" w:lineRule="auto"/>
        <w:tabs>
          <w:tab w:leader="none" w:pos="39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1998, Senior Debt aggregated approximately $648 million. There are no restrictions in the Subordinated Indenture upon the creation of additional Senior Debt.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Defeasance and Covenant Defeasance</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0" w:right="1440" w:bottom="1440" w:gutter="0" w:footer="0" w:header="0"/>
        </w:sectPr>
      </w:pPr>
    </w:p>
    <w:bookmarkStart w:id="50" w:name="page51"/>
    <w:bookmarkEnd w:id="50"/>
    <w:p>
      <w:pPr>
        <w:ind w:right="2599"/>
        <w:spacing w:after="0" w:line="249" w:lineRule="auto"/>
        <w:rPr>
          <w:sz w:val="20"/>
          <w:szCs w:val="20"/>
          <w:color w:val="auto"/>
        </w:rPr>
      </w:pPr>
      <w:r>
        <w:rPr>
          <w:rFonts w:ascii="Courier New" w:cs="Courier New" w:eastAsia="Courier New" w:hAnsi="Courier New"/>
          <w:sz w:val="16"/>
          <w:szCs w:val="16"/>
          <w:color w:val="auto"/>
        </w:rPr>
        <w:t>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186"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0" w:right="1440" w:bottom="1440" w:gutter="0" w:footer="0" w:header="0"/>
        </w:sectPr>
      </w:pPr>
    </w:p>
    <w:bookmarkStart w:id="51" w:name="page52"/>
    <w:bookmarkEnd w:id="51"/>
    <w:p>
      <w:pPr>
        <w:ind w:right="2599"/>
        <w:spacing w:after="0" w:line="249" w:lineRule="auto"/>
        <w:rPr>
          <w:sz w:val="20"/>
          <w:szCs w:val="20"/>
          <w:color w:val="auto"/>
        </w:rPr>
      </w:pPr>
      <w:r>
        <w:rPr>
          <w:rFonts w:ascii="Courier New" w:cs="Courier New" w:eastAsia="Courier New" w:hAnsi="Courier New"/>
          <w:sz w:val="16"/>
          <w:szCs w:val="16"/>
          <w:color w:val="auto"/>
        </w:rPr>
        <w:t>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are payable in a Foreign Currency that ceases to be used by its government of issuance shall be made in U.S. dollars (Section 101 of each Indenture).</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4" w:lineRule="exact"/>
        <w:rPr>
          <w:sz w:val="20"/>
          <w:szCs w:val="20"/>
          <w:color w:val="auto"/>
        </w:rPr>
      </w:pPr>
    </w:p>
    <w:p>
      <w:pPr>
        <w:ind w:right="2599"/>
        <w:spacing w:after="0" w:line="249" w:lineRule="auto"/>
        <w:tabs>
          <w:tab w:leader="none" w:pos="39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195"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Global Securities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0" w:right="1440" w:bottom="1440" w:gutter="0" w:footer="0" w:header="0"/>
        </w:sectPr>
      </w:pPr>
    </w:p>
    <w:bookmarkStart w:id="52" w:name="page53"/>
    <w:bookmarkEnd w:id="52"/>
    <w:p>
      <w:pPr>
        <w:ind w:left="2340"/>
        <w:spacing w:after="0"/>
        <w:rPr>
          <w:sz w:val="20"/>
          <w:szCs w:val="20"/>
          <w:color w:val="auto"/>
        </w:rPr>
      </w:pPr>
      <w:r>
        <w:rPr>
          <w:rFonts w:ascii="Courier New" w:cs="Courier New" w:eastAsia="Courier New" w:hAnsi="Courier New"/>
          <w:sz w:val="16"/>
          <w:szCs w:val="16"/>
          <w:color w:val="auto"/>
        </w:rPr>
        <w:t>DESCRIPTION OF PREFERRED SHARES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On October 6, 1997, the Trust issued 4,000,000 shares of 7.95% Series A Cumulative Redeemable Preferred Shares (liquidation preference $25.00 per share); no other Preferred Shares are outstanding.</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375" w:lineRule="exact"/>
        <w:rPr>
          <w:sz w:val="20"/>
          <w:szCs w:val="20"/>
          <w:color w:val="auto"/>
        </w:rPr>
      </w:pPr>
    </w:p>
    <w:p>
      <w:pPr>
        <w:ind w:right="2979" w:firstLine="196"/>
        <w:spacing w:after="0" w:line="252" w:lineRule="auto"/>
        <w:rPr>
          <w:sz w:val="20"/>
          <w:szCs w:val="20"/>
          <w:color w:val="auto"/>
        </w:rPr>
      </w:pPr>
      <w:r>
        <w:rPr>
          <w:rFonts w:ascii="Courier New" w:cs="Courier New" w:eastAsia="Courier New" w:hAnsi="Courier New"/>
          <w:sz w:val="16"/>
          <w:szCs w:val="16"/>
          <w:color w:val="auto"/>
        </w:rPr>
        <w:t>Reference is made to the Prospectus Supplement relating to the Preferred Shares offered thereby for specific terms, including:</w:t>
      </w:r>
    </w:p>
    <w:p>
      <w:pPr>
        <w:spacing w:after="0" w:line="183" w:lineRule="exact"/>
        <w:rPr>
          <w:sz w:val="20"/>
          <w:szCs w:val="20"/>
          <w:color w:val="auto"/>
        </w:rPr>
      </w:pPr>
    </w:p>
    <w:p>
      <w:pPr>
        <w:ind w:left="780" w:hanging="389"/>
        <w:spacing w:after="0"/>
        <w:tabs>
          <w:tab w:leader="none" w:pos="7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and stated value of such Preferred Shares;</w:t>
      </w:r>
    </w:p>
    <w:p>
      <w:pPr>
        <w:spacing w:after="0" w:line="194" w:lineRule="exact"/>
        <w:rPr>
          <w:rFonts w:ascii="Courier New" w:cs="Courier New" w:eastAsia="Courier New" w:hAnsi="Courier New"/>
          <w:sz w:val="16"/>
          <w:szCs w:val="16"/>
          <w:color w:val="auto"/>
        </w:rPr>
      </w:pPr>
    </w:p>
    <w:p>
      <w:pPr>
        <w:ind w:left="200" w:right="3279" w:firstLine="191"/>
        <w:spacing w:after="0" w:line="252" w:lineRule="auto"/>
        <w:tabs>
          <w:tab w:leader="none" w:pos="78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83" w:lineRule="exact"/>
        <w:rPr>
          <w:rFonts w:ascii="Courier New" w:cs="Courier New" w:eastAsia="Courier New" w:hAnsi="Courier New"/>
          <w:sz w:val="16"/>
          <w:szCs w:val="16"/>
          <w:color w:val="auto"/>
        </w:rPr>
      </w:pPr>
    </w:p>
    <w:p>
      <w:pPr>
        <w:ind w:left="200" w:right="2879" w:firstLine="191"/>
        <w:spacing w:after="0" w:line="252" w:lineRule="auto"/>
        <w:tabs>
          <w:tab w:leader="none" w:pos="78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dividend rate(s), period(s) and/or payment date(s) or method(s) of calculation thereof applicable to such Preferred Shares;</w:t>
      </w:r>
    </w:p>
    <w:p>
      <w:pPr>
        <w:spacing w:after="0" w:line="183" w:lineRule="exact"/>
        <w:rPr>
          <w:rFonts w:ascii="Courier New" w:cs="Courier New" w:eastAsia="Courier New" w:hAnsi="Courier New"/>
          <w:sz w:val="16"/>
          <w:szCs w:val="16"/>
          <w:color w:val="auto"/>
        </w:rPr>
      </w:pPr>
    </w:p>
    <w:p>
      <w:pPr>
        <w:ind w:left="200" w:right="3579" w:firstLine="191"/>
        <w:spacing w:after="0" w:line="252" w:lineRule="auto"/>
        <w:tabs>
          <w:tab w:leader="none" w:pos="78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from which dividends on such Preferred Shares shall accumulate, if applicable;</w:t>
      </w:r>
    </w:p>
    <w:p>
      <w:pPr>
        <w:spacing w:after="0" w:line="183" w:lineRule="exact"/>
        <w:rPr>
          <w:rFonts w:ascii="Courier New" w:cs="Courier New" w:eastAsia="Courier New" w:hAnsi="Courier New"/>
          <w:sz w:val="16"/>
          <w:szCs w:val="16"/>
          <w:color w:val="auto"/>
        </w:rPr>
      </w:pPr>
    </w:p>
    <w:p>
      <w:pPr>
        <w:ind w:left="200" w:right="3179" w:firstLine="191"/>
        <w:spacing w:after="0" w:line="252" w:lineRule="auto"/>
        <w:tabs>
          <w:tab w:leader="none" w:pos="78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procedures for any auction and remarketing, if any, for such Preferred Shares;</w:t>
      </w:r>
    </w:p>
    <w:p>
      <w:pPr>
        <w:spacing w:after="0" w:line="183" w:lineRule="exact"/>
        <w:rPr>
          <w:rFonts w:ascii="Courier New" w:cs="Courier New" w:eastAsia="Courier New" w:hAnsi="Courier New"/>
          <w:sz w:val="16"/>
          <w:szCs w:val="16"/>
          <w:color w:val="auto"/>
        </w:rPr>
      </w:pPr>
    </w:p>
    <w:p>
      <w:pPr>
        <w:ind w:left="780" w:hanging="389"/>
        <w:spacing w:after="0"/>
        <w:tabs>
          <w:tab w:leader="none" w:pos="7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for a sinking fund, if any, for such Preferred Shares;</w:t>
      </w:r>
    </w:p>
    <w:p>
      <w:pPr>
        <w:spacing w:after="0" w:line="194" w:lineRule="exact"/>
        <w:rPr>
          <w:rFonts w:ascii="Courier New" w:cs="Courier New" w:eastAsia="Courier New" w:hAnsi="Courier New"/>
          <w:sz w:val="16"/>
          <w:szCs w:val="16"/>
          <w:color w:val="auto"/>
        </w:rPr>
      </w:pPr>
    </w:p>
    <w:p>
      <w:pPr>
        <w:ind w:left="200" w:right="3379" w:firstLine="191"/>
        <w:spacing w:after="0" w:line="252" w:lineRule="auto"/>
        <w:tabs>
          <w:tab w:leader="none" w:pos="78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for redemption, if applicable, of such Preferred Shares;</w:t>
      </w:r>
    </w:p>
    <w:p>
      <w:pPr>
        <w:spacing w:after="0" w:line="183" w:lineRule="exact"/>
        <w:rPr>
          <w:rFonts w:ascii="Courier New" w:cs="Courier New" w:eastAsia="Courier New" w:hAnsi="Courier New"/>
          <w:sz w:val="16"/>
          <w:szCs w:val="16"/>
          <w:color w:val="auto"/>
        </w:rPr>
      </w:pPr>
    </w:p>
    <w:p>
      <w:pPr>
        <w:ind w:left="780" w:hanging="389"/>
        <w:spacing w:after="0"/>
        <w:tabs>
          <w:tab w:leader="none" w:pos="7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listing of such Preferred Shares on any securities exchange;</w:t>
      </w:r>
    </w:p>
    <w:p>
      <w:pPr>
        <w:spacing w:after="0" w:line="194" w:lineRule="exact"/>
        <w:rPr>
          <w:rFonts w:ascii="Courier New" w:cs="Courier New" w:eastAsia="Courier New" w:hAnsi="Courier New"/>
          <w:sz w:val="16"/>
          <w:szCs w:val="16"/>
          <w:color w:val="auto"/>
        </w:rPr>
      </w:pPr>
    </w:p>
    <w:p>
      <w:pPr>
        <w:ind w:left="200" w:right="2879" w:firstLine="191"/>
        <w:spacing w:after="0" w:line="250" w:lineRule="auto"/>
        <w:tabs>
          <w:tab w:leader="none" w:pos="78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conditions, if applicable, upon which such Preferred Shares will be convertible into Common Shares of the Trust, including the conversion price (or manner of calculation thereof);</w:t>
      </w:r>
    </w:p>
    <w:p>
      <w:pPr>
        <w:spacing w:after="0" w:line="185" w:lineRule="exact"/>
        <w:rPr>
          <w:rFonts w:ascii="Courier New" w:cs="Courier New" w:eastAsia="Courier New" w:hAnsi="Courier New"/>
          <w:sz w:val="16"/>
          <w:szCs w:val="16"/>
          <w:color w:val="auto"/>
        </w:rPr>
      </w:pPr>
    </w:p>
    <w:p>
      <w:pPr>
        <w:ind w:left="200" w:right="3379" w:firstLine="191"/>
        <w:spacing w:after="0" w:line="252" w:lineRule="auto"/>
        <w:tabs>
          <w:tab w:leader="none" w:pos="88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specific terms, preferences, rights, limitations or restrictions of such Preferred Shares;</w:t>
      </w:r>
    </w:p>
    <w:p>
      <w:pPr>
        <w:spacing w:after="0" w:line="183" w:lineRule="exact"/>
        <w:rPr>
          <w:rFonts w:ascii="Courier New" w:cs="Courier New" w:eastAsia="Courier New" w:hAnsi="Courier New"/>
          <w:sz w:val="16"/>
          <w:szCs w:val="16"/>
          <w:color w:val="auto"/>
        </w:rPr>
      </w:pPr>
    </w:p>
    <w:p>
      <w:pPr>
        <w:ind w:left="200" w:right="2699" w:firstLine="191"/>
        <w:spacing w:after="0" w:line="252" w:lineRule="auto"/>
        <w:tabs>
          <w:tab w:leader="none" w:pos="88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discussion of federal income tax considerations applicable to such Preferred Shares;</w:t>
      </w:r>
    </w:p>
    <w:p>
      <w:pPr>
        <w:spacing w:after="0" w:line="183" w:lineRule="exact"/>
        <w:rPr>
          <w:rFonts w:ascii="Courier New" w:cs="Courier New" w:eastAsia="Courier New" w:hAnsi="Courier New"/>
          <w:sz w:val="16"/>
          <w:szCs w:val="16"/>
          <w:color w:val="auto"/>
        </w:rPr>
      </w:pPr>
    </w:p>
    <w:p>
      <w:pPr>
        <w:ind w:left="200" w:right="2799" w:firstLine="191"/>
        <w:spacing w:after="0" w:line="250" w:lineRule="auto"/>
        <w:tabs>
          <w:tab w:leader="none" w:pos="88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ranking and preferences of such Preferred Shares as to dividend rights and rights upon liquidation, dissolution or winding up of the affairs of the Trust;</w:t>
      </w:r>
    </w:p>
    <w:p>
      <w:pPr>
        <w:spacing w:after="0" w:line="185" w:lineRule="exact"/>
        <w:rPr>
          <w:rFonts w:ascii="Courier New" w:cs="Courier New" w:eastAsia="Courier New" w:hAnsi="Courier New"/>
          <w:sz w:val="16"/>
          <w:szCs w:val="16"/>
          <w:color w:val="auto"/>
        </w:rPr>
      </w:pPr>
    </w:p>
    <w:p>
      <w:pPr>
        <w:ind w:left="880" w:hanging="489"/>
        <w:spacing w:after="0"/>
        <w:tabs>
          <w:tab w:leader="none" w:pos="8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limitations on issuance of any series of Preferred Shares</w:t>
      </w:r>
    </w:p>
    <w:p>
      <w:pPr>
        <w:spacing w:after="0" w:line="6" w:lineRule="exact"/>
        <w:rPr>
          <w:rFonts w:ascii="Courier New" w:cs="Courier New" w:eastAsia="Courier New" w:hAnsi="Courier New"/>
          <w:sz w:val="16"/>
          <w:szCs w:val="16"/>
          <w:color w:val="auto"/>
        </w:rPr>
      </w:pPr>
    </w:p>
    <w:p>
      <w:pPr>
        <w:ind w:left="200" w:right="26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ranking senior to or on a parity with such series of Preferred Shares as to dividend rights and rights upon liquidation, dissolution or winding up of the affairs of the Trust; and</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1" w:right="1440" w:bottom="1440" w:gutter="0" w:footer="0" w:header="0"/>
        </w:sectPr>
      </w:pPr>
    </w:p>
    <w:bookmarkStart w:id="53" w:name="page54"/>
    <w:bookmarkEnd w:id="53"/>
    <w:p>
      <w:pPr>
        <w:jc w:val="both"/>
        <w:ind w:left="200" w:right="2879" w:firstLine="191"/>
        <w:spacing w:after="0" w:line="250" w:lineRule="auto"/>
        <w:tabs>
          <w:tab w:leader="none" w:pos="8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limitations on direct or beneficial ownership and restrictions on transfer, in each case as may be appropriate to preserve the status of the Trust as a REIT.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5" w:lineRule="exact"/>
        <w:rPr>
          <w:sz w:val="20"/>
          <w:szCs w:val="20"/>
          <w:color w:val="auto"/>
        </w:rPr>
      </w:pPr>
    </w:p>
    <w:p>
      <w:pPr>
        <w:jc w:val="both"/>
        <w:ind w:right="2699" w:firstLine="196"/>
        <w:spacing w:after="0" w:line="24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3"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Each such dividend shall be payable to holders of record as they appear on the share transfer books of the Trust on such record dates as shall be fixed by the Board of Trustees of the Trust.</w:t>
      </w:r>
    </w:p>
    <w:p>
      <w:pPr>
        <w:spacing w:after="0" w:line="18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0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0" w:right="1440" w:bottom="1440" w:gutter="0" w:footer="0" w:header="0"/>
        </w:sectPr>
      </w:pPr>
    </w:p>
    <w:bookmarkStart w:id="54" w:name="page55"/>
    <w:bookmarkEnd w:id="54"/>
    <w:p>
      <w:pPr>
        <w:ind w:right="2599" w:firstLine="196"/>
        <w:spacing w:after="0" w:line="249" w:lineRule="auto"/>
        <w:rPr>
          <w:sz w:val="20"/>
          <w:szCs w:val="20"/>
          <w:color w:val="auto"/>
        </w:rPr>
      </w:pPr>
      <w:r>
        <w:rPr>
          <w:rFonts w:ascii="Courier New" w:cs="Courier New" w:eastAsia="Courier New" w:hAnsi="Courier New"/>
          <w:sz w:val="16"/>
          <w:szCs w:val="16"/>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374" w:lineRule="exact"/>
        <w:rPr>
          <w:sz w:val="20"/>
          <w:szCs w:val="20"/>
          <w:color w:val="auto"/>
        </w:rPr>
      </w:pPr>
    </w:p>
    <w:p>
      <w:pPr>
        <w:jc w:val="both"/>
        <w:ind w:right="2879" w:firstLine="196"/>
        <w:spacing w:after="0" w:line="250" w:lineRule="auto"/>
        <w:rPr>
          <w:sz w:val="20"/>
          <w:szCs w:val="20"/>
          <w:color w:val="auto"/>
        </w:rPr>
      </w:pPr>
      <w:r>
        <w:rPr>
          <w:rFonts w:ascii="Courier New" w:cs="Courier New" w:eastAsia="Courier New" w:hAnsi="Courier New"/>
          <w:sz w:val="16"/>
          <w:szCs w:val="16"/>
          <w:color w:val="auto"/>
        </w:rPr>
        <w:t>Any dividend payment made on shares of a series of Preferred Shares shall first be credited against the earliest accrued but unpaid dividend due with respect to shares of such series which remains payable.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80" w:right="1440" w:bottom="1440" w:gutter="0" w:footer="0" w:header="0"/>
        </w:sectPr>
      </w:pPr>
    </w:p>
    <w:bookmarkStart w:id="55" w:name="page56"/>
    <w:bookmarkEnd w:id="55"/>
    <w:p>
      <w:pPr>
        <w:ind w:right="2599"/>
        <w:spacing w:after="0" w:line="249" w:lineRule="auto"/>
        <w:rPr>
          <w:sz w:val="20"/>
          <w:szCs w:val="20"/>
          <w:color w:val="auto"/>
        </w:rPr>
      </w:pPr>
      <w:r>
        <w:rPr>
          <w:rFonts w:ascii="Courier New" w:cs="Courier New" w:eastAsia="Courier New" w:hAnsi="Courier New"/>
          <w:sz w:val="16"/>
          <w:szCs w:val="16"/>
          <w:color w:val="auto"/>
        </w:rPr>
        <w:t>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186"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187" w:lineRule="exact"/>
        <w:rPr>
          <w:sz w:val="20"/>
          <w:szCs w:val="20"/>
          <w:color w:val="auto"/>
        </w:rPr>
      </w:pPr>
    </w:p>
    <w:p>
      <w:pPr>
        <w:ind w:right="2699" w:firstLine="196"/>
        <w:spacing w:after="0" w:line="24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5" w:lineRule="exact"/>
        <w:rPr>
          <w:sz w:val="20"/>
          <w:szCs w:val="20"/>
          <w:color w:val="auto"/>
        </w:rPr>
      </w:pPr>
    </w:p>
    <w:p>
      <w:pPr>
        <w:ind w:right="2599"/>
        <w:spacing w:after="0" w:line="249" w:lineRule="auto"/>
        <w:tabs>
          <w:tab w:leader="none" w:pos="39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Liquidation Preference</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0" w:right="1440" w:bottom="1440" w:gutter="0" w:footer="0" w:header="0"/>
        </w:sectPr>
      </w:pPr>
    </w:p>
    <w:bookmarkStart w:id="56" w:name="page57"/>
    <w:bookmarkEnd w:id="56"/>
    <w:p>
      <w:pPr>
        <w:ind w:right="2599"/>
        <w:spacing w:after="0" w:line="249" w:lineRule="auto"/>
        <w:rPr>
          <w:sz w:val="20"/>
          <w:szCs w:val="20"/>
          <w:color w:val="auto"/>
        </w:rPr>
      </w:pPr>
      <w:r>
        <w:rPr>
          <w:rFonts w:ascii="Courier New" w:cs="Courier New" w:eastAsia="Courier New" w:hAnsi="Courier New"/>
          <w:sz w:val="16"/>
          <w:szCs w:val="16"/>
          <w:color w:val="auto"/>
        </w:rPr>
        <w:t>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Rights</w:t>
      </w:r>
    </w:p>
    <w:p>
      <w:pPr>
        <w:spacing w:after="0" w:line="195" w:lineRule="exact"/>
        <w:rPr>
          <w:sz w:val="20"/>
          <w:szCs w:val="20"/>
          <w:color w:val="auto"/>
        </w:rPr>
      </w:pPr>
    </w:p>
    <w:p>
      <w:pPr>
        <w:ind w:right="2799" w:firstLine="196"/>
        <w:spacing w:after="0" w:line="250" w:lineRule="auto"/>
        <w:rPr>
          <w:sz w:val="20"/>
          <w:szCs w:val="20"/>
          <w:color w:val="auto"/>
        </w:rPr>
      </w:pPr>
      <w:r>
        <w:rPr>
          <w:rFonts w:ascii="Courier New" w:cs="Courier New" w:eastAsia="Courier New" w:hAnsi="Courier New"/>
          <w:sz w:val="16"/>
          <w:szCs w:val="16"/>
          <w:color w:val="auto"/>
        </w:rPr>
        <w:t>Holders of the Preferred Shares will not have any voting rights, except as set forth below or as otherwise from time to time required by law or as indicated in the applicable Prospectus Supplement.</w:t>
      </w:r>
    </w:p>
    <w:p>
      <w:pPr>
        <w:spacing w:after="0" w:line="18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15" w:lineRule="exact"/>
        <w:rPr>
          <w:sz w:val="20"/>
          <w:szCs w:val="20"/>
          <w:color w:val="auto"/>
        </w:rPr>
      </w:pPr>
    </w:p>
    <w:p>
      <w:pPr>
        <w:ind w:right="2599"/>
        <w:spacing w:after="0" w:line="249" w:lineRule="auto"/>
        <w:tabs>
          <w:tab w:leader="none" w:pos="39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0" w:right="1440" w:bottom="1440" w:gutter="0" w:footer="0" w:header="0"/>
        </w:sectPr>
      </w:pPr>
    </w:p>
    <w:bookmarkStart w:id="57" w:name="page58"/>
    <w:bookmarkEnd w:id="57"/>
    <w:p>
      <w:pPr>
        <w:ind w:right="2599" w:firstLine="196"/>
        <w:spacing w:after="0" w:line="249" w:lineRule="auto"/>
        <w:rPr>
          <w:sz w:val="20"/>
          <w:szCs w:val="20"/>
          <w:color w:val="auto"/>
        </w:rPr>
      </w:pPr>
      <w:r>
        <w:rPr>
          <w:rFonts w:ascii="Courier New" w:cs="Courier New" w:eastAsia="Courier New" w:hAnsi="Courier New"/>
          <w:sz w:val="16"/>
          <w:szCs w:val="16"/>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Liability</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Ownership</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As discussed below under "Description of Common Shares--Restrictions on Ownership,"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80" w:right="1440" w:bottom="1440" w:gutter="0" w:footer="0" w:header="0"/>
        </w:sectPr>
      </w:pPr>
    </w:p>
    <w:bookmarkStart w:id="58" w:name="page59"/>
    <w:bookmarkEnd w:id="58"/>
    <w:p>
      <w:pPr>
        <w:ind w:left="2440"/>
        <w:spacing w:after="0"/>
        <w:rPr>
          <w:sz w:val="20"/>
          <w:szCs w:val="20"/>
          <w:color w:val="auto"/>
        </w:rPr>
      </w:pPr>
      <w:r>
        <w:rPr>
          <w:rFonts w:ascii="Courier New" w:cs="Courier New" w:eastAsia="Courier New" w:hAnsi="Courier New"/>
          <w:sz w:val="16"/>
          <w:szCs w:val="16"/>
          <w:color w:val="auto"/>
        </w:rPr>
        <w:t>DESCRIPTION OF COMMON SHARES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186" w:lineRule="exact"/>
        <w:rPr>
          <w:sz w:val="20"/>
          <w:szCs w:val="20"/>
          <w:color w:val="auto"/>
        </w:rPr>
      </w:pPr>
    </w:p>
    <w:p>
      <w:pPr>
        <w:ind w:right="2799" w:firstLine="196"/>
        <w:spacing w:after="0" w:line="250" w:lineRule="auto"/>
        <w:rPr>
          <w:sz w:val="20"/>
          <w:szCs w:val="20"/>
          <w:color w:val="auto"/>
        </w:rPr>
      </w:pPr>
      <w:r>
        <w:rPr>
          <w:rFonts w:ascii="Courier New" w:cs="Courier New" w:eastAsia="Courier New" w:hAnsi="Courier New"/>
          <w:sz w:val="16"/>
          <w:szCs w:val="16"/>
          <w:color w:val="auto"/>
        </w:rPr>
        <w:t>Without shareholder approval, the Trust may issue an unlimited number of securities, warrants, rights, or other options to purchase Common Shares and other securities convertible into Common Shares.</w:t>
      </w:r>
    </w:p>
    <w:p>
      <w:pPr>
        <w:spacing w:after="0" w:line="18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186"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Ownership</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For the Trust to qualify as a REIT under the Code,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80" w:right="1440" w:bottom="1440" w:gutter="0" w:footer="0" w:header="0"/>
        </w:sectPr>
      </w:pPr>
    </w:p>
    <w:bookmarkStart w:id="59" w:name="page60"/>
    <w:bookmarkEnd w:id="59"/>
    <w:p>
      <w:pPr>
        <w:ind w:right="2599"/>
        <w:spacing w:after="0" w:line="249" w:lineRule="auto"/>
        <w:rPr>
          <w:sz w:val="20"/>
          <w:szCs w:val="20"/>
          <w:color w:val="auto"/>
        </w:rPr>
      </w:pPr>
      <w:r>
        <w:rPr>
          <w:rFonts w:ascii="Courier New" w:cs="Courier New" w:eastAsia="Courier New" w:hAnsi="Courier New"/>
          <w:sz w:val="16"/>
          <w:szCs w:val="16"/>
          <w:color w:val="auto"/>
        </w:rPr>
        <w:t>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Liability</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Registrar and Transfer Agent</w:t>
      </w:r>
    </w:p>
    <w:p>
      <w:pPr>
        <w:spacing w:after="0" w:line="195" w:lineRule="exact"/>
        <w:rPr>
          <w:sz w:val="20"/>
          <w:szCs w:val="20"/>
          <w:color w:val="auto"/>
        </w:rPr>
      </w:pPr>
    </w:p>
    <w:p>
      <w:pPr>
        <w:ind w:right="2979" w:firstLine="196"/>
        <w:spacing w:after="0" w:line="252" w:lineRule="auto"/>
        <w:rPr>
          <w:sz w:val="20"/>
          <w:szCs w:val="20"/>
          <w:color w:val="auto"/>
        </w:rPr>
      </w:pPr>
      <w:r>
        <w:rPr>
          <w:rFonts w:ascii="Courier New" w:cs="Courier New" w:eastAsia="Courier New" w:hAnsi="Courier New"/>
          <w:sz w:val="16"/>
          <w:szCs w:val="16"/>
          <w:color w:val="auto"/>
        </w:rPr>
        <w:t>The Registrar and Transfer Agent for the Common Shares is American Stock Transfer &amp; Trust Company, New York, New York.</w:t>
      </w:r>
    </w:p>
    <w:p>
      <w:pPr>
        <w:spacing w:after="0" w:line="183"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FEDERAL INCOME TAX CONSIDERATIONS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believes it has operated, and the Trust intends to continue to operate, in such manner as to qualify as a REIT under the Code, but no assurance can be given that it will at all times so qualify. The provisions of the Code pertaining to REITs are highly technical and complex. The following is a brief and general summary of certain provisions that currently govern the federal income tax treatment of the Trust and its shareholders. For the particular provisions that govern the federal income tax treatment of the Trust and its shareholders, reference is made to Sections 856 through 860 of the Code and the treasury regulations promulgated thereunder. The following summary is qualified in its entirety by such reference.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Under the Code, if certain requirements are met in a taxable year, a REIT generally will not be subject to federal income tax with respect to income that it distributes to its shareholders. If the Trust fails to qualify during any taxable year as a REIT, unless certain relief provisions are available, it will be subject to tax (including any applicable alternative minimum tax) on its taxable income at regular corporate rates, which could have a material adverse effect upon its shareholders.</w:t>
      </w:r>
    </w:p>
    <w:p>
      <w:pPr>
        <w:spacing w:after="0" w:line="187"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To qualify as a REIT, the Trust must comply with a number of annual requirements regarding its income, assets and distributions. These requirements impose a number of restrictions on the Trust's operations. For example, the Trust may not lease property if the lease has the effect of giving the Trust a share of the net income of the lessee. The amount of personal property that may be included under</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80" w:right="1440" w:bottom="1440" w:gutter="0" w:footer="0" w:header="0"/>
        </w:sectPr>
      </w:pPr>
    </w:p>
    <w:bookmarkStart w:id="60" w:name="page61"/>
    <w:bookmarkEnd w:id="60"/>
    <w:p>
      <w:pPr>
        <w:ind w:right="2599"/>
        <w:spacing w:after="0" w:line="249" w:lineRule="auto"/>
        <w:rPr>
          <w:sz w:val="20"/>
          <w:szCs w:val="20"/>
          <w:color w:val="auto"/>
        </w:rPr>
      </w:pPr>
      <w:r>
        <w:rPr>
          <w:rFonts w:ascii="Courier New" w:cs="Courier New" w:eastAsia="Courier New" w:hAnsi="Courier New"/>
          <w:sz w:val="16"/>
          <w:szCs w:val="16"/>
          <w:color w:val="auto"/>
        </w:rPr>
        <w:t>a lease may not exceed a defined, low level, and the Trust may not provide services to its tenants, other than customary services and de minimis non-customary services. The Trust's ability to acquire non-real estate assets is restricted, and a 100% tax is imposed on any gain that the Trust realizes from sales of property to customers in the ordinary course of business (other than property acquired by reason of certain foreclosures), effectively preventing the Trust from participating directly in condominium projects and other projects involving the development of property for resale. Minimum distribution requirements also generally require the Trust to distribute at least 95% of its taxable income each year (excluding any net capital gain).</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any year in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A portion of such gains may be taxed at the 25% rate applicable to "Section 1250" gains. To the extent that distributions exceed current or accumulated earnings and profits, they will constitute a return of capital, rather than dividend or capital gain income, and will reduce the basis for the shareholder's Securities with respect to which the distribution is paid or, to the extent that they exceed such basis, will be taxed in the same manner as gain from the sale of those Securities.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Investors are urged to consult their own tax advisors with respect to the appropriateness of an investment in the Securities offered hereby and with respect to the tax consequences arising under federal law and the laws of any state, municipality or other taxing jurisdiction, including tax consequences resulting from such investor's own tax characteristics. In particular, foreign investors should consult their own tax advisors concerning the tax consequences of an investment in the Trust, including the possibility of United States income tax withholding on Trust distributions.</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PLAN OF DISTRIBUTION</w:t>
      </w:r>
    </w:p>
    <w:p>
      <w:pPr>
        <w:spacing w:after="0" w:line="195" w:lineRule="exact"/>
        <w:rPr>
          <w:sz w:val="20"/>
          <w:szCs w:val="20"/>
          <w:color w:val="auto"/>
        </w:rPr>
      </w:pPr>
    </w:p>
    <w:p>
      <w:pPr>
        <w:ind w:right="2699" w:firstLine="196"/>
        <w:spacing w:after="0" w:line="252" w:lineRule="auto"/>
        <w:rPr>
          <w:sz w:val="20"/>
          <w:szCs w:val="20"/>
          <w:color w:val="auto"/>
        </w:rPr>
      </w:pPr>
      <w:r>
        <w:rPr>
          <w:rFonts w:ascii="Courier New" w:cs="Courier New" w:eastAsia="Courier New" w:hAnsi="Courier New"/>
          <w:sz w:val="16"/>
          <w:szCs w:val="16"/>
          <w:color w:val="auto"/>
        </w:rPr>
        <w:t>The Trust may sell Securities to or through underwriters, and also may sell Securities directly to other purchasers or through agents.</w:t>
      </w:r>
    </w:p>
    <w:p>
      <w:pPr>
        <w:spacing w:after="0" w:line="183"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1" w:right="1440" w:bottom="1440" w:gutter="0" w:footer="0" w:header="0"/>
        </w:sectPr>
      </w:pPr>
    </w:p>
    <w:bookmarkStart w:id="61" w:name="page62"/>
    <w:bookmarkEnd w:id="61"/>
    <w:p>
      <w:pPr>
        <w:ind w:right="2599"/>
        <w:spacing w:after="0" w:line="249" w:lineRule="auto"/>
        <w:rPr>
          <w:sz w:val="20"/>
          <w:szCs w:val="20"/>
          <w:color w:val="auto"/>
        </w:rPr>
      </w:pPr>
      <w:r>
        <w:rPr>
          <w:rFonts w:ascii="Courier New" w:cs="Courier New" w:eastAsia="Courier New" w:hAnsi="Courier New"/>
          <w:sz w:val="16"/>
          <w:szCs w:val="16"/>
          <w:color w:val="auto"/>
        </w:rPr>
        <w:t>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188" w:lineRule="exact"/>
        <w:rPr>
          <w:sz w:val="20"/>
          <w:szCs w:val="20"/>
          <w:color w:val="auto"/>
        </w:rPr>
      </w:pPr>
    </w:p>
    <w:p>
      <w:pPr>
        <w:ind w:right="2599" w:firstLine="196"/>
        <w:spacing w:after="0" w:line="253" w:lineRule="auto"/>
        <w:rPr>
          <w:sz w:val="20"/>
          <w:szCs w:val="20"/>
          <w:color w:val="auto"/>
        </w:rPr>
      </w:pPr>
      <w:r>
        <w:rPr>
          <w:rFonts w:ascii="Courier New" w:cs="Courier New" w:eastAsia="Courier New" w:hAnsi="Courier New"/>
          <w:sz w:val="16"/>
          <w:szCs w:val="16"/>
          <w:color w:val="auto"/>
        </w:rPr>
        <w:t>Underwriters, dealers and agents may engage in transactions with, or perform services for, or be customers of, the Trust in the ordinary course of business.</w:t>
      </w:r>
    </w:p>
    <w:p>
      <w:pPr>
        <w:spacing w:after="0" w:line="370"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LEGAL OPINIONS</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legality of the Securities offered hereby is being passed upon for the Trust by Kirkpatrick &amp; Lockhart LLP, 1800 Massachusetts Avenue, N.W., Washington, D.C. 20036-1800. Certain REIT tax matters relating to the Trust are being passed upon by Goodwin, Procter &amp; Hoar LLP, Exchange Place, Boston, Massachusetts 02109. Brown &amp; Wood LLP, One World Trade Center, New York, New York 10048-0557 will act as counsel to any underwriters, dealers or agents.</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EXPERTS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Consolidated Financial Statements and Schedules of the Trust as of December 31, 1997 and 1996 and for each of the years in the three year period ended December 31, 1997 incorporated herein by reference have been incorporated herein in reliance on the reports dated February 5, 1998 of Grant Thornton LLP, independent certified public accountants, also incorporated by reference herein, and upon the authority of said firm as experts in accounting and auditing.</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1998 and June 30, 1998 which are incorporated herein by reference, Grant Thornton LLP has applied limited procedures in accordance with professional standards for a review of such information. However, as stated in their reports dated May 5, 1998 and August 5, 1998 included in the Trust's Quarterly Reports on Form 10-Q for the quarters ended March 31, 1998 and June 30, 1998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 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3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80" w:right="1440" w:bottom="1440" w:gutter="0" w:footer="0" w:header="0"/>
        </w:sectPr>
      </w:pPr>
    </w:p>
    <w:bookmarkStart w:id="62" w:name="page63"/>
    <w:bookmarkEnd w:id="62"/>
    <w:p>
      <w:pPr>
        <w:spacing w:after="0" w:line="18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[LOGO OF FEDERAL REALTY INVESTMENT TRUST]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3"/>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lowerRoman"/>
      <w:start w:val="2"/>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0"/>
    </w:lvl>
  </w:abstractNum>
  <w:abstractNum w:abstractNumId="21">
    <w:nsid w:val="189A769B"/>
    <w:multiLevelType w:val="hybridMultilevel"/>
    <w:lvl w:ilvl="0">
      <w:lvlJc w:val="left"/>
      <w:lvlText w:val="(%1)"/>
      <w:numFmt w:val="lowerRoman"/>
      <w:start w:val="2"/>
    </w:lvl>
  </w:abstractNum>
  <w:abstractNum w:abstractNumId="22">
    <w:nsid w:val="54E49EB4"/>
    <w:multiLevelType w:val="hybridMultilevel"/>
    <w:lvl w:ilvl="0">
      <w:lvlJc w:val="left"/>
      <w:lvlText w:val="(%1)"/>
      <w:numFmt w:val="lowerRoman"/>
      <w:start w:val="10"/>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4"/>
    </w:lvl>
  </w:abstractNum>
  <w:abstractNum w:abstractNumId="25">
    <w:nsid w:val="836C40E"/>
    <w:multiLevelType w:val="hybridMultilevel"/>
    <w:lvl w:ilvl="0">
      <w:lvlJc w:val="left"/>
      <w:lvlText w:val="(%1)"/>
      <w:numFmt w:val="lowerLetter"/>
      <w:start w:val="6"/>
    </w:lvl>
  </w:abstractNum>
  <w:abstractNum w:abstractNumId="26">
    <w:nsid w:val="2901D82"/>
    <w:multiLevelType w:val="hybridMultilevel"/>
    <w:lvl w:ilvl="0">
      <w:lvlJc w:val="left"/>
      <w:lvlText w:val="(%1)"/>
      <w:numFmt w:val="lowerLetter"/>
      <w:start w:val="7"/>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4"/>
    </w:lvl>
  </w:abstractNum>
  <w:abstractNum w:abstractNumId="29">
    <w:nsid w:val="1E7FF521"/>
    <w:multiLevelType w:val="hybridMultilevel"/>
    <w:lvl w:ilvl="0">
      <w:lvlJc w:val="left"/>
      <w:lvlText w:val="(%1)"/>
      <w:numFmt w:val="lowerRoman"/>
      <w:start w:val="5"/>
    </w:lvl>
  </w:abstractNum>
  <w:abstractNum w:abstractNumId="30">
    <w:nsid w:val="7C3DBD3D"/>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2019-12-13T01:01:34Z</dcterms:created>
  <dcterms:modified xsi:type="dcterms:W3CDTF">2019-12-13T01:01:34Z</dcterms:modified>
</cp:coreProperties>
</file>