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876031.xml.htm"/>
      <w:bookmarkStart w:id="1" w:name="kswkform4_178587603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Guglielmone Daniel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909 ROSE AVENUE - SUITE 200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NORTH BETHESDA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20852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FEDERAL REALTY INVESTMENT TRUST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FRT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EVP-CFO and Treasurer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2"/>
        <w:gridCol w:w="901"/>
        <w:gridCol w:w="771"/>
        <w:gridCol w:w="598"/>
        <w:gridCol w:w="347"/>
        <w:gridCol w:w="801"/>
        <w:gridCol w:w="453"/>
        <w:gridCol w:w="837"/>
        <w:gridCol w:w="1160"/>
        <w:gridCol w:w="995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 of Beneficial Interest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123.65</w:t>
            </w:r>
          </w:p>
        </w:tc>
        <w:tc>
          <w:tcPr>
            <w:tcW w:w="11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80,026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common shares surrendered to the Issuer to satisfy tax withholding obligations in connection with the vesting of restricted shares.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Dawn M. Becker,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1724" TargetMode="External"/><Relationship Id="rId5" Type="http://schemas.openxmlformats.org/officeDocument/2006/relationships/hyperlink" Target="http://www.sec.gov/cgi-bin/browse-edgar?action=getcompany&amp;CIK=000003490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594</Words>
  <Characters>3241</Characters>
  <CharactersWithSpaces>3767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