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879"/>
        <w:spacing w:after="0"/>
        <w:rPr>
          <w:sz w:val="20"/>
          <w:szCs w:val="20"/>
          <w:color w:val="auto"/>
        </w:rPr>
      </w:pPr>
      <w:r>
        <w:rPr>
          <w:rFonts w:ascii="Courier New" w:cs="Courier New" w:eastAsia="Courier New" w:hAnsi="Courier New"/>
          <w:sz w:val="18"/>
          <w:szCs w:val="18"/>
          <w:color w:val="auto"/>
        </w:rPr>
        <w:t>Pursuant to rule 424(b)(3)</w:t>
      </w:r>
    </w:p>
    <w:p>
      <w:pPr>
        <w:spacing w:after="0" w:line="31" w:lineRule="exact"/>
        <w:rPr>
          <w:sz w:val="24"/>
          <w:szCs w:val="24"/>
          <w:color w:val="auto"/>
        </w:rPr>
      </w:pPr>
    </w:p>
    <w:p>
      <w:pPr>
        <w:jc w:val="right"/>
        <w:ind w:right="1879"/>
        <w:spacing w:after="0"/>
        <w:rPr>
          <w:sz w:val="20"/>
          <w:szCs w:val="20"/>
          <w:color w:val="auto"/>
        </w:rPr>
      </w:pPr>
      <w:r>
        <w:rPr>
          <w:rFonts w:ascii="Courier New" w:cs="Courier New" w:eastAsia="Courier New" w:hAnsi="Courier New"/>
          <w:sz w:val="18"/>
          <w:szCs w:val="18"/>
          <w:color w:val="auto"/>
        </w:rPr>
        <w:t>Registration No. 333-63619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 SUPPLEMENT</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 Prospectus dated September 30, 1998)</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[LOGO OF FEDERAL REALTY INVESTMENT TRUST APPEARS HERE]</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$250,000,000</w:t>
      </w:r>
    </w:p>
    <w:p>
      <w:pPr>
        <w:spacing w:after="0" w:line="238" w:lineRule="auto"/>
        <w:rPr>
          <w:sz w:val="20"/>
          <w:szCs w:val="20"/>
          <w:color w:val="auto"/>
        </w:rPr>
      </w:pPr>
      <w:r>
        <w:rPr>
          <w:rFonts w:ascii="Courier New" w:cs="Courier New" w:eastAsia="Courier New" w:hAnsi="Courier New"/>
          <w:sz w:val="18"/>
          <w:szCs w:val="18"/>
          <w:color w:val="auto"/>
        </w:rPr>
        <w:t>Medium-Term Notes</w:t>
      </w:r>
    </w:p>
    <w:p>
      <w:pPr>
        <w:spacing w:after="0"/>
        <w:rPr>
          <w:sz w:val="20"/>
          <w:szCs w:val="20"/>
          <w:color w:val="auto"/>
        </w:rPr>
      </w:pPr>
      <w:r>
        <w:rPr>
          <w:rFonts w:ascii="Courier New" w:cs="Courier New" w:eastAsia="Courier New" w:hAnsi="Courier New"/>
          <w:sz w:val="18"/>
          <w:szCs w:val="18"/>
          <w:color w:val="auto"/>
        </w:rPr>
        <w:t>Due Nine Months or More from Date of Issue</w:t>
      </w:r>
    </w:p>
    <w:p>
      <w:pPr>
        <w:ind w:right="1879"/>
        <w:spacing w:after="0" w:line="270" w:lineRule="auto"/>
        <w:rPr>
          <w:sz w:val="20"/>
          <w:szCs w:val="20"/>
          <w:color w:val="auto"/>
        </w:rPr>
      </w:pPr>
      <w:r>
        <w:rPr>
          <w:rFonts w:ascii="Courier New" w:cs="Courier New" w:eastAsia="Courier New" w:hAnsi="Courier New"/>
          <w:sz w:val="16"/>
          <w:szCs w:val="16"/>
          <w:color w:val="auto"/>
        </w:rPr>
        <w:t>Federal Realty Investment Trust (the "Trust") may offer from time to time up to $250,000,000 aggregate initial offering price, or the equivalent thereof in one or more foreign or composite currencies, of its Medium-Term Notes Due Nine Months or More from Date of Issue (the "Notes"). Such aggregate initial offering price is subject to reduction as a result of the sale by the Trust of other Offered Securities described in the accompanying Prospectus. Each Note will mature on any day nine months or more from the date of issue, as specified in the applicable pricing supplement hereto (each, a "Pricing Supplement"), and may be subject to redemption at the option of the Trust or repayment at the option of the Holder thereof, in each case, in whole or in part, prior to its Stated Maturity Date, as specified in the applicable Pricing Supplement. In addition, each Note may be denominated and/or payable in United States dollars or a foreign or composite currency ("Foreign Currency Notes"), as specified in the applicable Pricing Supplement. The Notes, other than Foreign Currency Notes, will be issued in minimum denominations of $1,000 and integral multiples thereof, unless otherwise specified in the applicable Pricing Supplement, while Foreign Currency Notes will be issued in the minimum denominations specified in the applicable Pricing Supplement.</w:t>
      </w:r>
    </w:p>
    <w:p>
      <w:pPr>
        <w:spacing w:after="0" w:line="180" w:lineRule="exact"/>
        <w:rPr>
          <w:sz w:val="24"/>
          <w:szCs w:val="24"/>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Unless otherwise specified in the applicable Pricing Supplement, Notes will bear interest at fixed rates ("Fixed Rate Notes") or at floating rates ("Floating Rate Notes"). The applicable Pricing Supplement will specify whether a Floating Rate Note is a Regular Floating Rate Note, a Floating Rate/Fixed Rate Note or an Inverse Floating Rate Note and whether the rate of interest thereon is determined by reference to one or more of the CD Rate, the CMT Rate, the Commercial Paper Rate, the Eleventh District Cost of Funds Rate, the Federal Funds Rate, LIBOR, the Prime Rate or the Treasury Rate (each, an "Interest Rate Basis"), or any other interest rate basis or formula, as adjusted by any Spread and/or Spread Multiplier. Interest on each Floating Rate Note will accrue from its date of issue and, unless otherwise specified in the applicable Pricing Supplement, will be payable monthly, quarterly, semiannually or annually in arrears, as specified in the applicable Pricing Supplement, and on the Maturity Date. Unless otherwise specified in the applicable Pricing Supplement, the rate of interest on each Floating Rate Note will be reset daily, weekly, monthly, quarterly, semiannually or annually, as specified in the applicable Pricing Supplement. Interest on each Fixed Rate Note will accrue from its date of issue and will be payable in arrears as specified in the applicable Pricing Supplement and on the Maturity Date. Notes may also be issued that do not bear any interest currently or that bear interest at a below market rate. See "Description of Notes."</w:t>
      </w:r>
    </w:p>
    <w:p>
      <w:pPr>
        <w:spacing w:after="0" w:line="394" w:lineRule="exact"/>
        <w:rPr>
          <w:sz w:val="24"/>
          <w:szCs w:val="24"/>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The interest rate, or formula for the determination of the interest rate, applicable to each Note and the other variable terms thereof will be established by the Trust on the date of issue of such Note and will be specified in the applicable Pricing Supplement. Interest rates or formulas and other terms of Notes are subject to change by the Trust, but no change will affect any Note already issued or as to which an offer to purchase has been accepted by the Trust.</w:t>
      </w:r>
    </w:p>
    <w:p>
      <w:pPr>
        <w:spacing w:after="0" w:line="3" w:lineRule="exact"/>
        <w:rPr>
          <w:sz w:val="24"/>
          <w:szCs w:val="24"/>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Each Note will be issued in fully registered book-entry form (a "Book-Entry Note") or in certificated form (a "Certificated Note"), as specified in the applicable Pricing Supplement. Each Book-Entry Note will be represented by one or more fully registered global securities (the "Global Securities") deposited with or on behalf of The Depository Trust Company (the "Depositary") and registered in the name of the Depositary or the Depositary's nominee. Interests in the Global Securities will be shown on, and transfers thereof will be effected only through, records maintained by the Depositary (with respect to its participants) and the Depositary's participants (with respect to beneficial owners).</w:t>
      </w:r>
    </w:p>
    <w:p>
      <w:pPr>
        <w:spacing w:after="0" w:line="4" w:lineRule="exact"/>
        <w:rPr>
          <w:sz w:val="24"/>
          <w:szCs w:val="24"/>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SEE "RISK FACTORS" ON PAGE S-3 FOR A DISCUSSION OF CERTAIN RISKS THAT SHOULD BE CONSIDERED IN CONNECTION WITH AN INVESTMENT IN THE NOTES OFFERED HEREBY.</w:t>
      </w:r>
    </w:p>
    <w:p>
      <w:pPr>
        <w:spacing w:after="0" w:line="1" w:lineRule="exact"/>
        <w:rPr>
          <w:sz w:val="24"/>
          <w:szCs w:val="24"/>
          <w:color w:val="auto"/>
        </w:rPr>
      </w:pPr>
    </w:p>
    <w:p>
      <w:pPr>
        <w:ind w:right="2099"/>
        <w:spacing w:after="0" w:line="252" w:lineRule="auto"/>
        <w:rPr>
          <w:sz w:val="20"/>
          <w:szCs w:val="20"/>
          <w:color w:val="auto"/>
        </w:rPr>
      </w:pPr>
      <w:r>
        <w:rPr>
          <w:rFonts w:ascii="Courier New" w:cs="Courier New" w:eastAsia="Courier New" w:hAnsi="Courier New"/>
          <w:sz w:val="18"/>
          <w:szCs w:val="18"/>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SUPPLEMENT, THE PROSPECTUS OR ANY PRICING SUPPLEMENT HERETO. ANY REPRESENTATION TO THE CONTRARY IS A CRIMINAL OFFENSE.</w:t>
      </w:r>
    </w:p>
    <w:p>
      <w:pPr>
        <w:spacing w:after="0" w:line="1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623" w:right="1440" w:bottom="0" w:gutter="0" w:footer="0" w:header="0"/>
        </w:sectPr>
      </w:pPr>
    </w:p>
    <w:p>
      <w:pPr>
        <w:spacing w:after="0" w:line="20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PRICE TO</w:t>
      </w:r>
    </w:p>
    <w:p>
      <w:pPr>
        <w:spacing w:after="0" w:line="31"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PUBLIC(1)</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AGENTS' DISCOUNTS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AND COMMISSIONS(1)(2) PROCEEDS TO TRUST(1)(3)</w:t>
      </w:r>
    </w:p>
    <w:p>
      <w:pPr>
        <w:sectPr>
          <w:pgSz w:w="11900" w:h="16838" w:orient="portrait"/>
          <w:cols w:equalWidth="0" w:num="2">
            <w:col w:w="2000" w:space="440"/>
            <w:col w:w="7779"/>
          </w:cols>
          <w:pgMar w:left="240" w:top="623"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960" w:type="dxa"/>
            <w:vAlign w:val="bottom"/>
          </w:tcPr>
          <w:p>
            <w:pPr>
              <w:spacing w:after="0"/>
              <w:rPr>
                <w:sz w:val="20"/>
                <w:szCs w:val="20"/>
                <w:color w:val="auto"/>
              </w:rPr>
            </w:pPr>
            <w:r>
              <w:rPr>
                <w:rFonts w:ascii="Courier New" w:cs="Courier New" w:eastAsia="Courier New" w:hAnsi="Courier New"/>
                <w:sz w:val="18"/>
                <w:szCs w:val="18"/>
                <w:color w:val="auto"/>
              </w:rPr>
              <w:t>Per Note  100%</w:t>
            </w:r>
          </w:p>
        </w:tc>
        <w:tc>
          <w:tcPr>
            <w:tcW w:w="23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.125% - .750%</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99.875% - 99.250%</w:t>
            </w:r>
          </w:p>
        </w:tc>
      </w:tr>
    </w:tbl>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Total(4)  $250,000,000 $312,500 - $1,875,000 $249,687,500 - $248,125,000</w:t>
      </w: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420" w:right="1879" w:hanging="412"/>
        <w:spacing w:after="0" w:line="271" w:lineRule="auto"/>
        <w:tabs>
          <w:tab w:leader="none" w:pos="4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J.P. Morgan Securities Inc., BT Alex. Brown Incorporated, First Union Capital Markets, Goldman, Sachs &amp; Co., Merrill Lynch &amp; Co. and Merrill Lynch, Pierce, Fenner &amp; Smith Incorporated (the "Agents") may purchase the Notes, as principal, from the Trust, for resale to investors and other purchasers at varying prices relating to prevailing market prices at the time of resale as determined by the applicable Agent, or, if so specified in the applicable Pricing Supplement, for resale at a fixed offering price. Unless otherwise specified in the applicable Pricing Supplement, any Note sold to an Agent as principal will be purchased by such Agent at a price equal to 100% of the principal amount thereof less a percentage of the principal amount equal to the commission applicable to an agency sale (as described below) of a Note of identical maturity. If agreed to by the Trust and an Agent, such Agent may utilize its reasonable efforts on an agency basis to solicit offers to purchase the Notes at 100% of the principal amount thereof, unless otherwise specified in the applicable Pricing Supplement. If the Trust issues any Note at a discount from or at a premium over its principal amount, the Price to Public of any Note issued at a discount or premium will be set forth in the applicable Pricing Supplement. The Trust will pay a commission to the applicable Agent, ranging from .125% to .750% of the principal amount of any Note, depending upon its stated maturity, sold through such Agent. Commissions with respect to Notes with stated maturities in excess of 30 years that are sold through such Agent will be negotiated between the Trust and such Agent at the time of such sale. See "Supplemental Plan of Distribution."</w:t>
      </w:r>
    </w:p>
    <w:p>
      <w:pPr>
        <w:spacing w:after="0" w:line="391" w:lineRule="exact"/>
        <w:rPr>
          <w:rFonts w:ascii="Courier New" w:cs="Courier New" w:eastAsia="Courier New" w:hAnsi="Courier New"/>
          <w:sz w:val="16"/>
          <w:szCs w:val="16"/>
          <w:color w:val="auto"/>
        </w:rPr>
      </w:pPr>
    </w:p>
    <w:p>
      <w:pPr>
        <w:ind w:left="420" w:right="2199" w:hanging="412"/>
        <w:spacing w:after="0" w:line="238"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 has agreed to indemnify the Agents against, and to provide contribution with respect to, certain liabilities, including liabilities under the Securities Act of 1933, as amended. See "Supplemental Plan of Distribution."</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Before deducting expenses payable by the Trust estimated at $350,000.</w:t>
      </w:r>
    </w:p>
    <w:p>
      <w:pPr>
        <w:ind w:right="1999" w:firstLine="8"/>
        <w:spacing w:after="0" w:line="238"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the equivalent thereof in one or more foreign or composite currencies. The Notes are being offered on a continuous basis by the Trust to or through the Agents. Unless otherwise specified in the applicable Pricing Supplement, the Notes will not be listed on any securities exchange and there can be no assurance that the Notes offered hereby will be sold or that there will be a secondary market for the Notes or that there will be liquidity in such market if one develops. The Trust reserves the right to cancel or modify the offer made hereby without notice. The Trust or an Agent, if it solicits the offer on an agency basis, may reject any offer to purchase Notes in whole or in part. See "Supplemental Plan of Distribution."</w:t>
      </w:r>
    </w:p>
    <w:p>
      <w:pPr>
        <w:spacing w:after="0" w:line="3"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J.P. MORGAN &amp; CO.</w:t>
      </w:r>
    </w:p>
    <w:p>
      <w:pPr>
        <w:ind w:left="1160"/>
        <w:spacing w:after="0"/>
        <w:rPr>
          <w:sz w:val="20"/>
          <w:szCs w:val="20"/>
          <w:color w:val="auto"/>
        </w:rPr>
      </w:pPr>
      <w:r>
        <w:rPr>
          <w:rFonts w:ascii="Courier New" w:cs="Courier New" w:eastAsia="Courier New" w:hAnsi="Courier New"/>
          <w:sz w:val="18"/>
          <w:szCs w:val="18"/>
          <w:color w:val="auto"/>
        </w:rPr>
        <w:t>BT ALEX. BROWN</w:t>
      </w:r>
    </w:p>
    <w:p>
      <w:pPr>
        <w:ind w:left="2540"/>
        <w:spacing w:after="0" w:line="238" w:lineRule="auto"/>
        <w:rPr>
          <w:sz w:val="20"/>
          <w:szCs w:val="20"/>
          <w:color w:val="auto"/>
        </w:rPr>
      </w:pPr>
      <w:r>
        <w:rPr>
          <w:rFonts w:ascii="Courier New" w:cs="Courier New" w:eastAsia="Courier New" w:hAnsi="Courier New"/>
          <w:sz w:val="18"/>
          <w:szCs w:val="18"/>
          <w:color w:val="auto"/>
        </w:rPr>
        <w:t>FIRST UNION CAPITAL MARKETS</w:t>
      </w:r>
    </w:p>
    <w:p>
      <w:pPr>
        <w:ind w:left="4220"/>
        <w:spacing w:after="0"/>
        <w:rPr>
          <w:sz w:val="20"/>
          <w:szCs w:val="20"/>
          <w:color w:val="auto"/>
        </w:rPr>
      </w:pPr>
      <w:r>
        <w:rPr>
          <w:rFonts w:ascii="Courier New" w:cs="Courier New" w:eastAsia="Courier New" w:hAnsi="Courier New"/>
          <w:sz w:val="18"/>
          <w:szCs w:val="18"/>
          <w:color w:val="auto"/>
        </w:rPr>
        <w:t>GOLDMAN, SACHS &amp; CO.</w:t>
      </w:r>
    </w:p>
    <w:p>
      <w:pPr>
        <w:jc w:val="right"/>
        <w:ind w:right="1779"/>
        <w:spacing w:after="0" w:line="238" w:lineRule="auto"/>
        <w:rPr>
          <w:sz w:val="20"/>
          <w:szCs w:val="20"/>
          <w:color w:val="auto"/>
        </w:rPr>
      </w:pPr>
      <w:r>
        <w:rPr>
          <w:rFonts w:ascii="Courier New" w:cs="Courier New" w:eastAsia="Courier New" w:hAnsi="Courier New"/>
          <w:sz w:val="18"/>
          <w:szCs w:val="18"/>
          <w:color w:val="auto"/>
        </w:rPr>
        <w:t>MERRILL LYNCH &amp; CO.</w:t>
      </w:r>
    </w:p>
    <w:p>
      <w:pPr>
        <w:spacing w:after="0"/>
        <w:rPr>
          <w:sz w:val="20"/>
          <w:szCs w:val="20"/>
          <w:color w:val="auto"/>
        </w:rPr>
      </w:pPr>
      <w:r>
        <w:rPr>
          <w:rFonts w:ascii="Courier New" w:cs="Courier New" w:eastAsia="Courier New" w:hAnsi="Courier New"/>
          <w:sz w:val="18"/>
          <w:szCs w:val="18"/>
          <w:color w:val="auto"/>
        </w:rPr>
        <w:t>September 30, 1998</w:t>
      </w:r>
    </w:p>
    <w:p>
      <w:pPr>
        <w:sectPr>
          <w:pgSz w:w="11900" w:h="16838" w:orient="portrait"/>
          <w:cols w:equalWidth="0" w:num="1">
            <w:col w:w="10219"/>
          </w:cols>
          <w:pgMar w:left="240" w:top="110" w:right="1440" w:bottom="1440" w:gutter="0" w:footer="0" w:header="0"/>
        </w:sectPr>
      </w:pPr>
    </w:p>
    <w:bookmarkStart w:id="2" w:name="page3"/>
    <w:bookmarkEnd w:id="2"/>
    <w:p>
      <w:pPr>
        <w:ind w:right="2099" w:firstLine="211"/>
        <w:spacing w:after="0" w:line="265" w:lineRule="auto"/>
        <w:rPr>
          <w:sz w:val="20"/>
          <w:szCs w:val="20"/>
          <w:color w:val="auto"/>
        </w:rPr>
      </w:pPr>
      <w:r>
        <w:rPr>
          <w:rFonts w:ascii="Courier New" w:cs="Courier New" w:eastAsia="Courier New" w:hAnsi="Courier New"/>
          <w:sz w:val="18"/>
          <w:szCs w:val="18"/>
          <w:color w:val="auto"/>
        </w:rPr>
        <w:t>CERTAIN PERSONS PARTICIPATING IN THIS OFFERING MAY ENGAGE IN TRANSACTIONS THAT STABILIZE, MAINTAIN, OR OTHERWISE AFFECT THE PRICE OF THE NOTES. SPECIFICALLY, THE AGENTS MAY OVERALLOT IN CONNECTION WITH THE OFFERING, AND MAY BID FOR, AND PURCHASE, THE NOTES IN THE OPEN MARKET. FOR A DESCRIPTION OF THESE ACTIVITIES, SEE "SUPPLEMENTAL PLAN OF DISTRIBUTION."</w:t>
      </w:r>
    </w:p>
    <w:p>
      <w:pPr>
        <w:spacing w:after="0" w:line="90" w:lineRule="exact"/>
        <w:rPr>
          <w:sz w:val="20"/>
          <w:szCs w:val="20"/>
          <w:color w:val="auto"/>
        </w:rPr>
      </w:pPr>
    </w:p>
    <w:p>
      <w:pPr>
        <w:ind w:right="1999" w:firstLine="211"/>
        <w:spacing w:after="0" w:line="244" w:lineRule="auto"/>
        <w:rPr>
          <w:sz w:val="20"/>
          <w:szCs w:val="20"/>
          <w:color w:val="auto"/>
        </w:rPr>
      </w:pPr>
      <w:r>
        <w:rPr>
          <w:rFonts w:ascii="Courier New" w:cs="Courier New" w:eastAsia="Courier New" w:hAnsi="Courier New"/>
          <w:sz w:val="18"/>
          <w:szCs w:val="18"/>
          <w:color w:val="auto"/>
        </w:rPr>
        <w:t>NO DEALER, SALESPERSON OR ANY OTHER PERSON HAS BEEN AUTHORIZED TO GIVE ANY INFORMATION OR TO MAKE ANY REPRESENTATIONS OTHER THAN THOSE CONTAINED OR INCORPORATED BY REFERENCE IN THIS PROSPECTUS SUPPLEMENT, THE APPLICABLE PRICING SUPPLEMENT OR THE PROSPECTUS AND, IF GIVEN OR MADE, SUCH INFORMATION OR REPRESENTATIONS MUST NOT BE RELIED UPON AS HAVING BEEN AUTHORIZED BY THE TRUST OR THE AGENTS. THIS PROSPECTUS SUPPLEMENT, THE APPLICABLE PRICING SUPPLEMENT AND THE PROSPECTUS DO NOT CONSTITUTE AN OFFER TO SELL OR THE SOLICITATION OF AN OFFER TO BUY ANY SECURITIES OTHER THAN THE NOTES OFFERED HEREBY AND THEREBY OR AN OFFER TO SELL OR A SOLICITATION OF AN OFFER TO BUY SUCH NOTES BY ANYONE IN ANY JURISDICTION IN WHICH SUCH OFFER OR SOLICITATION IS NOT AUTHORIZED OR IN WHICH THE PERSON MAKING SUCH OFFER OR SOLICITATION IS NOT QUALIFIED TO DO SO OR TO ANY PERSON TO WHOM IT IS UNLAWFUL TO MAKE SUCH OFFER OR SOLICITATION. NEITHER THE DELIVERY OF THIS PROSPECTUS SUPPLEMENT, THE APPLICABLE PRICING SUPPLEMENT OR THE PROSPECTUS, NOR ANY SALE MADE HEREUNDER OR THEREUNDER, SHALL, UNDER ANY CIRCUMSTANCES, CREATE ANY IMPLICATION THAT THERE HAS BEEN NO CHANGE IN THE AFFAIRS OF THE TRUST SINCE THE DATE HEREOF OR THEREOF OR THAT THE INFORMATION CONTAINED OR INCORPORATED BY REFERENCE HEREIN OR THEREIN IS CORRECT AS OF ANY TIME SUBSEQUENT TO THE DATE OF SUCH INFORMATION.</w:t>
      </w:r>
    </w:p>
    <w:p>
      <w:pPr>
        <w:spacing w:after="0" w:line="11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PAGE</w:t>
      </w:r>
    </w:p>
    <w:p>
      <w:pPr>
        <w:spacing w:after="0" w:line="201" w:lineRule="exact"/>
        <w:rPr>
          <w:sz w:val="20"/>
          <w:szCs w:val="20"/>
          <w:color w:val="auto"/>
        </w:rPr>
      </w:pPr>
    </w:p>
    <w:p>
      <w:pPr>
        <w:ind w:left="320"/>
        <w:spacing w:after="0"/>
        <w:tabs>
          <w:tab w:leader="dot" w:pos="8100" w:val="left"/>
        </w:tabs>
        <w:rPr>
          <w:sz w:val="20"/>
          <w:szCs w:val="20"/>
          <w:color w:val="auto"/>
        </w:rPr>
      </w:pPr>
      <w:r>
        <w:rPr>
          <w:rFonts w:ascii="Courier New" w:cs="Courier New" w:eastAsia="Courier New" w:hAnsi="Courier New"/>
          <w:sz w:val="18"/>
          <w:szCs w:val="18"/>
          <w:color w:val="auto"/>
        </w:rPr>
        <w:t>Risk Factors</w:t>
      </w:r>
      <w:r>
        <w:rPr>
          <w:sz w:val="20"/>
          <w:szCs w:val="20"/>
          <w:color w:val="auto"/>
        </w:rPr>
        <w:tab/>
      </w:r>
      <w:r>
        <w:rPr>
          <w:rFonts w:ascii="Courier New" w:cs="Courier New" w:eastAsia="Courier New" w:hAnsi="Courier New"/>
          <w:sz w:val="16"/>
          <w:szCs w:val="16"/>
          <w:color w:val="auto"/>
        </w:rPr>
        <w:t>S-3</w:t>
      </w:r>
    </w:p>
    <w:p>
      <w:pPr>
        <w:spacing w:after="0" w:line="29" w:lineRule="exact"/>
        <w:rPr>
          <w:sz w:val="20"/>
          <w:szCs w:val="20"/>
          <w:color w:val="auto"/>
        </w:rPr>
      </w:pPr>
    </w:p>
    <w:p>
      <w:pPr>
        <w:ind w:left="320"/>
        <w:spacing w:after="0"/>
        <w:tabs>
          <w:tab w:leader="dot" w:pos="8100" w:val="left"/>
        </w:tabs>
        <w:rPr>
          <w:sz w:val="20"/>
          <w:szCs w:val="20"/>
          <w:color w:val="auto"/>
        </w:rPr>
      </w:pPr>
      <w:r>
        <w:rPr>
          <w:rFonts w:ascii="Courier New" w:cs="Courier New" w:eastAsia="Courier New" w:hAnsi="Courier New"/>
          <w:sz w:val="18"/>
          <w:szCs w:val="18"/>
          <w:color w:val="auto"/>
        </w:rPr>
        <w:t>Description of Notes</w:t>
      </w:r>
      <w:r>
        <w:rPr>
          <w:sz w:val="20"/>
          <w:szCs w:val="20"/>
          <w:color w:val="auto"/>
        </w:rPr>
        <w:tab/>
      </w:r>
      <w:r>
        <w:rPr>
          <w:rFonts w:ascii="Courier New" w:cs="Courier New" w:eastAsia="Courier New" w:hAnsi="Courier New"/>
          <w:sz w:val="16"/>
          <w:szCs w:val="16"/>
          <w:color w:val="auto"/>
        </w:rPr>
        <w:t>S-4</w:t>
      </w:r>
    </w:p>
    <w:p>
      <w:pPr>
        <w:ind w:left="320"/>
        <w:spacing w:after="0"/>
        <w:tabs>
          <w:tab w:leader="dot" w:pos="8000" w:val="left"/>
        </w:tabs>
        <w:rPr>
          <w:sz w:val="20"/>
          <w:szCs w:val="20"/>
          <w:color w:val="auto"/>
        </w:rPr>
      </w:pPr>
      <w:r>
        <w:rPr>
          <w:rFonts w:ascii="Courier New" w:cs="Courier New" w:eastAsia="Courier New" w:hAnsi="Courier New"/>
          <w:sz w:val="18"/>
          <w:szCs w:val="18"/>
          <w:color w:val="auto"/>
        </w:rPr>
        <w:t>Special Provisions Relating to Foreign Currency Notes</w:t>
      </w:r>
      <w:r>
        <w:rPr>
          <w:sz w:val="20"/>
          <w:szCs w:val="20"/>
          <w:color w:val="auto"/>
        </w:rPr>
        <w:tab/>
      </w:r>
      <w:r>
        <w:rPr>
          <w:rFonts w:ascii="Courier New" w:cs="Courier New" w:eastAsia="Courier New" w:hAnsi="Courier New"/>
          <w:sz w:val="16"/>
          <w:szCs w:val="16"/>
          <w:color w:val="auto"/>
        </w:rPr>
        <w:t>S-21</w:t>
      </w:r>
    </w:p>
    <w:p>
      <w:pPr>
        <w:ind w:left="320"/>
        <w:spacing w:after="0"/>
        <w:tabs>
          <w:tab w:leader="dot" w:pos="8000" w:val="left"/>
        </w:tabs>
        <w:rPr>
          <w:sz w:val="20"/>
          <w:szCs w:val="20"/>
          <w:color w:val="auto"/>
        </w:rPr>
      </w:pPr>
      <w:r>
        <w:rPr>
          <w:rFonts w:ascii="Courier New" w:cs="Courier New" w:eastAsia="Courier New" w:hAnsi="Courier New"/>
          <w:sz w:val="18"/>
          <w:szCs w:val="18"/>
          <w:color w:val="auto"/>
        </w:rPr>
        <w:t>Certain United States Federal Income Tax Considerations</w:t>
      </w:r>
      <w:r>
        <w:rPr>
          <w:sz w:val="20"/>
          <w:szCs w:val="20"/>
          <w:color w:val="auto"/>
        </w:rPr>
        <w:tab/>
      </w:r>
      <w:r>
        <w:rPr>
          <w:rFonts w:ascii="Courier New" w:cs="Courier New" w:eastAsia="Courier New" w:hAnsi="Courier New"/>
          <w:sz w:val="16"/>
          <w:szCs w:val="16"/>
          <w:color w:val="auto"/>
        </w:rPr>
        <w:t>S-23</w:t>
      </w:r>
    </w:p>
    <w:p>
      <w:pPr>
        <w:ind w:left="320"/>
        <w:spacing w:after="0"/>
        <w:tabs>
          <w:tab w:leader="dot" w:pos="8000" w:val="left"/>
        </w:tabs>
        <w:rPr>
          <w:sz w:val="20"/>
          <w:szCs w:val="20"/>
          <w:color w:val="auto"/>
        </w:rPr>
      </w:pPr>
      <w:r>
        <w:rPr>
          <w:rFonts w:ascii="Courier New" w:cs="Courier New" w:eastAsia="Courier New" w:hAnsi="Courier New"/>
          <w:sz w:val="18"/>
          <w:szCs w:val="18"/>
          <w:color w:val="auto"/>
        </w:rPr>
        <w:t>Supplemental Plan of Distribution</w:t>
      </w:r>
      <w:r>
        <w:rPr>
          <w:sz w:val="20"/>
          <w:szCs w:val="20"/>
          <w:color w:val="auto"/>
        </w:rPr>
        <w:tab/>
      </w:r>
      <w:r>
        <w:rPr>
          <w:rFonts w:ascii="Courier New" w:cs="Courier New" w:eastAsia="Courier New" w:hAnsi="Courier New"/>
          <w:sz w:val="16"/>
          <w:szCs w:val="16"/>
          <w:color w:val="auto"/>
        </w:rPr>
        <w:t>S-31</w:t>
      </w:r>
    </w:p>
    <w:p>
      <w:pPr>
        <w:ind w:left="320"/>
        <w:spacing w:after="0"/>
        <w:tabs>
          <w:tab w:leader="dot" w:pos="8000" w:val="left"/>
        </w:tabs>
        <w:rPr>
          <w:sz w:val="20"/>
          <w:szCs w:val="20"/>
          <w:color w:val="auto"/>
        </w:rPr>
      </w:pPr>
      <w:r>
        <w:rPr>
          <w:rFonts w:ascii="Courier New" w:cs="Courier New" w:eastAsia="Courier New" w:hAnsi="Courier New"/>
          <w:sz w:val="18"/>
          <w:szCs w:val="18"/>
          <w:color w:val="auto"/>
        </w:rPr>
        <w:t>Legal Opinions</w:t>
      </w:r>
      <w:r>
        <w:rPr>
          <w:sz w:val="20"/>
          <w:szCs w:val="20"/>
          <w:color w:val="auto"/>
        </w:rPr>
        <w:tab/>
      </w:r>
      <w:r>
        <w:rPr>
          <w:rFonts w:ascii="Courier New" w:cs="Courier New" w:eastAsia="Courier New" w:hAnsi="Courier New"/>
          <w:sz w:val="16"/>
          <w:szCs w:val="16"/>
          <w:color w:val="auto"/>
        </w:rPr>
        <w:t>S-32</w:t>
      </w:r>
    </w:p>
    <w:p>
      <w:pPr>
        <w:ind w:left="3580"/>
        <w:spacing w:after="0" w:line="238" w:lineRule="auto"/>
        <w:rPr>
          <w:sz w:val="20"/>
          <w:szCs w:val="20"/>
          <w:color w:val="auto"/>
        </w:rPr>
      </w:pPr>
      <w:r>
        <w:rPr>
          <w:rFonts w:ascii="Courier New" w:cs="Courier New" w:eastAsia="Courier New" w:hAnsi="Courier New"/>
          <w:sz w:val="18"/>
          <w:szCs w:val="18"/>
          <w:color w:val="auto"/>
        </w:rPr>
        <w:t>PROSPECTUS</w:t>
      </w:r>
    </w:p>
    <w:p>
      <w:pPr>
        <w:ind w:left="320"/>
        <w:spacing w:after="0"/>
        <w:tabs>
          <w:tab w:leader="dot" w:pos="8320" w:val="left"/>
        </w:tabs>
        <w:rPr>
          <w:sz w:val="20"/>
          <w:szCs w:val="20"/>
          <w:color w:val="auto"/>
        </w:rPr>
      </w:pPr>
      <w:r>
        <w:rPr>
          <w:rFonts w:ascii="Courier New" w:cs="Courier New" w:eastAsia="Courier New" w:hAnsi="Courier New"/>
          <w:sz w:val="18"/>
          <w:szCs w:val="18"/>
          <w:color w:val="auto"/>
        </w:rPr>
        <w:t>Available Information</w:t>
      </w:r>
      <w:r>
        <w:rPr>
          <w:sz w:val="20"/>
          <w:szCs w:val="20"/>
          <w:color w:val="auto"/>
        </w:rPr>
        <w:tab/>
      </w:r>
      <w:r>
        <w:rPr>
          <w:rFonts w:ascii="Courier New" w:cs="Courier New" w:eastAsia="Courier New" w:hAnsi="Courier New"/>
          <w:sz w:val="16"/>
          <w:szCs w:val="16"/>
          <w:color w:val="auto"/>
        </w:rPr>
        <w:t>2</w:t>
      </w:r>
    </w:p>
    <w:p>
      <w:pPr>
        <w:ind w:left="320"/>
        <w:spacing w:after="0"/>
        <w:tabs>
          <w:tab w:leader="dot" w:pos="8320" w:val="left"/>
        </w:tabs>
        <w:rPr>
          <w:sz w:val="20"/>
          <w:szCs w:val="20"/>
          <w:color w:val="auto"/>
        </w:rPr>
      </w:pPr>
      <w:r>
        <w:rPr>
          <w:rFonts w:ascii="Courier New" w:cs="Courier New" w:eastAsia="Courier New" w:hAnsi="Courier New"/>
          <w:sz w:val="18"/>
          <w:szCs w:val="18"/>
          <w:color w:val="auto"/>
        </w:rPr>
        <w:t>Incorporation of Certain Documents by Reference</w:t>
      </w:r>
      <w:r>
        <w:rPr>
          <w:sz w:val="20"/>
          <w:szCs w:val="20"/>
          <w:color w:val="auto"/>
        </w:rPr>
        <w:tab/>
      </w:r>
      <w:r>
        <w:rPr>
          <w:rFonts w:ascii="Courier New" w:cs="Courier New" w:eastAsia="Courier New" w:hAnsi="Courier New"/>
          <w:sz w:val="16"/>
          <w:szCs w:val="16"/>
          <w:color w:val="auto"/>
        </w:rPr>
        <w:t>2</w:t>
      </w:r>
    </w:p>
    <w:p>
      <w:pPr>
        <w:ind w:left="320"/>
        <w:spacing w:after="0"/>
        <w:tabs>
          <w:tab w:leader="dot" w:pos="8320" w:val="left"/>
        </w:tabs>
        <w:rPr>
          <w:sz w:val="20"/>
          <w:szCs w:val="20"/>
          <w:color w:val="auto"/>
        </w:rPr>
      </w:pPr>
      <w:r>
        <w:rPr>
          <w:rFonts w:ascii="Courier New" w:cs="Courier New" w:eastAsia="Courier New" w:hAnsi="Courier New"/>
          <w:sz w:val="18"/>
          <w:szCs w:val="18"/>
          <w:color w:val="auto"/>
        </w:rPr>
        <w:t>The Trust</w:t>
      </w:r>
      <w:r>
        <w:rPr>
          <w:sz w:val="20"/>
          <w:szCs w:val="20"/>
          <w:color w:val="auto"/>
        </w:rPr>
        <w:tab/>
      </w:r>
      <w:r>
        <w:rPr>
          <w:rFonts w:ascii="Courier New" w:cs="Courier New" w:eastAsia="Courier New" w:hAnsi="Courier New"/>
          <w:sz w:val="16"/>
          <w:szCs w:val="16"/>
          <w:color w:val="auto"/>
        </w:rPr>
        <w:t>3</w:t>
      </w:r>
    </w:p>
    <w:p>
      <w:pPr>
        <w:ind w:left="320"/>
        <w:spacing w:after="0"/>
        <w:tabs>
          <w:tab w:leader="dot" w:pos="8320" w:val="left"/>
        </w:tabs>
        <w:rPr>
          <w:sz w:val="20"/>
          <w:szCs w:val="20"/>
          <w:color w:val="auto"/>
        </w:rPr>
      </w:pPr>
      <w:r>
        <w:rPr>
          <w:rFonts w:ascii="Courier New" w:cs="Courier New" w:eastAsia="Courier New" w:hAnsi="Courier New"/>
          <w:sz w:val="18"/>
          <w:szCs w:val="18"/>
          <w:color w:val="auto"/>
        </w:rPr>
        <w:t>Use of Proceeds</w:t>
      </w:r>
      <w:r>
        <w:rPr>
          <w:sz w:val="20"/>
          <w:szCs w:val="20"/>
          <w:color w:val="auto"/>
        </w:rPr>
        <w:tab/>
      </w:r>
      <w:r>
        <w:rPr>
          <w:rFonts w:ascii="Courier New" w:cs="Courier New" w:eastAsia="Courier New" w:hAnsi="Courier New"/>
          <w:sz w:val="16"/>
          <w:szCs w:val="16"/>
          <w:color w:val="auto"/>
        </w:rPr>
        <w:t>4</w:t>
      </w:r>
    </w:p>
    <w:p>
      <w:pPr>
        <w:ind w:left="320"/>
        <w:spacing w:after="0"/>
        <w:tabs>
          <w:tab w:leader="dot" w:pos="8320" w:val="left"/>
        </w:tabs>
        <w:rPr>
          <w:sz w:val="20"/>
          <w:szCs w:val="20"/>
          <w:color w:val="auto"/>
        </w:rPr>
      </w:pPr>
      <w:r>
        <w:rPr>
          <w:rFonts w:ascii="Courier New" w:cs="Courier New" w:eastAsia="Courier New" w:hAnsi="Courier New"/>
          <w:sz w:val="18"/>
          <w:szCs w:val="18"/>
          <w:color w:val="auto"/>
        </w:rPr>
        <w:t>Ratios of Earnings to Fixed Charges</w:t>
      </w:r>
      <w:r>
        <w:rPr>
          <w:sz w:val="20"/>
          <w:szCs w:val="20"/>
          <w:color w:val="auto"/>
        </w:rPr>
        <w:tab/>
      </w:r>
      <w:r>
        <w:rPr>
          <w:rFonts w:ascii="Courier New" w:cs="Courier New" w:eastAsia="Courier New" w:hAnsi="Courier New"/>
          <w:sz w:val="16"/>
          <w:szCs w:val="16"/>
          <w:color w:val="auto"/>
        </w:rPr>
        <w:t>4</w:t>
      </w:r>
    </w:p>
    <w:p>
      <w:pPr>
        <w:ind w:left="320"/>
        <w:spacing w:after="0"/>
        <w:tabs>
          <w:tab w:leader="dot" w:pos="8320" w:val="left"/>
        </w:tabs>
        <w:rPr>
          <w:sz w:val="20"/>
          <w:szCs w:val="20"/>
          <w:color w:val="auto"/>
        </w:rPr>
      </w:pPr>
      <w:r>
        <w:rPr>
          <w:rFonts w:ascii="Courier New" w:cs="Courier New" w:eastAsia="Courier New" w:hAnsi="Courier New"/>
          <w:sz w:val="18"/>
          <w:szCs w:val="18"/>
          <w:color w:val="auto"/>
        </w:rPr>
        <w:t>Description of Debt Securities</w:t>
      </w:r>
      <w:r>
        <w:rPr>
          <w:sz w:val="20"/>
          <w:szCs w:val="20"/>
          <w:color w:val="auto"/>
        </w:rPr>
        <w:tab/>
      </w:r>
      <w:r>
        <w:rPr>
          <w:rFonts w:ascii="Courier New" w:cs="Courier New" w:eastAsia="Courier New" w:hAnsi="Courier New"/>
          <w:sz w:val="16"/>
          <w:szCs w:val="16"/>
          <w:color w:val="auto"/>
        </w:rPr>
        <w:t>4</w:t>
      </w:r>
    </w:p>
    <w:p>
      <w:pPr>
        <w:ind w:left="320"/>
        <w:spacing w:after="0"/>
        <w:tabs>
          <w:tab w:leader="dot" w:pos="8200" w:val="left"/>
        </w:tabs>
        <w:rPr>
          <w:sz w:val="20"/>
          <w:szCs w:val="20"/>
          <w:color w:val="auto"/>
        </w:rPr>
      </w:pPr>
      <w:r>
        <w:rPr>
          <w:rFonts w:ascii="Courier New" w:cs="Courier New" w:eastAsia="Courier New" w:hAnsi="Courier New"/>
          <w:sz w:val="18"/>
          <w:szCs w:val="18"/>
          <w:color w:val="auto"/>
        </w:rPr>
        <w:t>Description of Preferred Shares</w:t>
      </w:r>
      <w:r>
        <w:rPr>
          <w:sz w:val="20"/>
          <w:szCs w:val="20"/>
          <w:color w:val="auto"/>
        </w:rPr>
        <w:tab/>
      </w:r>
      <w:r>
        <w:rPr>
          <w:rFonts w:ascii="Courier New" w:cs="Courier New" w:eastAsia="Courier New" w:hAnsi="Courier New"/>
          <w:sz w:val="18"/>
          <w:szCs w:val="18"/>
          <w:color w:val="auto"/>
        </w:rPr>
        <w:t>16</w:t>
      </w:r>
    </w:p>
    <w:p>
      <w:pPr>
        <w:ind w:left="320"/>
        <w:spacing w:after="0" w:line="238" w:lineRule="auto"/>
        <w:tabs>
          <w:tab w:leader="dot" w:pos="8200" w:val="left"/>
        </w:tabs>
        <w:rPr>
          <w:sz w:val="20"/>
          <w:szCs w:val="20"/>
          <w:color w:val="auto"/>
        </w:rPr>
      </w:pPr>
      <w:r>
        <w:rPr>
          <w:rFonts w:ascii="Courier New" w:cs="Courier New" w:eastAsia="Courier New" w:hAnsi="Courier New"/>
          <w:sz w:val="18"/>
          <w:szCs w:val="18"/>
          <w:color w:val="auto"/>
        </w:rPr>
        <w:t>Description of Common Shares</w:t>
      </w:r>
      <w:r>
        <w:rPr>
          <w:sz w:val="20"/>
          <w:szCs w:val="20"/>
          <w:color w:val="auto"/>
        </w:rPr>
        <w:tab/>
      </w:r>
      <w:r>
        <w:rPr>
          <w:rFonts w:ascii="Courier New" w:cs="Courier New" w:eastAsia="Courier New" w:hAnsi="Courier New"/>
          <w:sz w:val="18"/>
          <w:szCs w:val="18"/>
          <w:color w:val="auto"/>
        </w:rPr>
        <w:t>22</w:t>
      </w:r>
    </w:p>
    <w:p>
      <w:pPr>
        <w:ind w:left="320"/>
        <w:spacing w:after="0"/>
        <w:tabs>
          <w:tab w:leader="dot" w:pos="8200" w:val="left"/>
        </w:tabs>
        <w:rPr>
          <w:sz w:val="20"/>
          <w:szCs w:val="20"/>
          <w:color w:val="auto"/>
        </w:rPr>
      </w:pPr>
      <w:r>
        <w:rPr>
          <w:rFonts w:ascii="Courier New" w:cs="Courier New" w:eastAsia="Courier New" w:hAnsi="Courier New"/>
          <w:sz w:val="18"/>
          <w:szCs w:val="18"/>
          <w:color w:val="auto"/>
        </w:rPr>
        <w:t>Plan of Distribution</w:t>
      </w:r>
      <w:r>
        <w:rPr>
          <w:sz w:val="20"/>
          <w:szCs w:val="20"/>
          <w:color w:val="auto"/>
        </w:rPr>
        <w:tab/>
      </w:r>
      <w:r>
        <w:rPr>
          <w:rFonts w:ascii="Courier New" w:cs="Courier New" w:eastAsia="Courier New" w:hAnsi="Courier New"/>
          <w:sz w:val="18"/>
          <w:szCs w:val="18"/>
          <w:color w:val="auto"/>
        </w:rPr>
        <w:t>24</w:t>
      </w:r>
    </w:p>
    <w:p>
      <w:pPr>
        <w:ind w:left="320"/>
        <w:spacing w:after="0" w:line="238" w:lineRule="auto"/>
        <w:tabs>
          <w:tab w:leader="dot" w:pos="8200" w:val="left"/>
        </w:tabs>
        <w:rPr>
          <w:sz w:val="20"/>
          <w:szCs w:val="20"/>
          <w:color w:val="auto"/>
        </w:rPr>
      </w:pPr>
      <w:r>
        <w:rPr>
          <w:rFonts w:ascii="Courier New" w:cs="Courier New" w:eastAsia="Courier New" w:hAnsi="Courier New"/>
          <w:sz w:val="18"/>
          <w:szCs w:val="18"/>
          <w:color w:val="auto"/>
        </w:rPr>
        <w:t>Legal Opinions</w:t>
      </w:r>
      <w:r>
        <w:rPr>
          <w:sz w:val="20"/>
          <w:szCs w:val="20"/>
          <w:color w:val="auto"/>
        </w:rPr>
        <w:tab/>
      </w:r>
      <w:r>
        <w:rPr>
          <w:rFonts w:ascii="Courier New" w:cs="Courier New" w:eastAsia="Courier New" w:hAnsi="Courier New"/>
          <w:sz w:val="18"/>
          <w:szCs w:val="18"/>
          <w:color w:val="auto"/>
        </w:rPr>
        <w:t>25</w:t>
      </w:r>
    </w:p>
    <w:p>
      <w:pPr>
        <w:ind w:left="320"/>
        <w:spacing w:after="0"/>
        <w:tabs>
          <w:tab w:leader="dot" w:pos="8200" w:val="left"/>
        </w:tabs>
        <w:rPr>
          <w:sz w:val="20"/>
          <w:szCs w:val="20"/>
          <w:color w:val="auto"/>
        </w:rPr>
      </w:pPr>
      <w:r>
        <w:rPr>
          <w:rFonts w:ascii="Courier New" w:cs="Courier New" w:eastAsia="Courier New" w:hAnsi="Courier New"/>
          <w:sz w:val="18"/>
          <w:szCs w:val="18"/>
          <w:color w:val="auto"/>
        </w:rPr>
        <w:t>Experts</w:t>
      </w:r>
      <w:r>
        <w:rPr>
          <w:sz w:val="20"/>
          <w:szCs w:val="20"/>
          <w:color w:val="auto"/>
        </w:rPr>
        <w:tab/>
      </w:r>
      <w:r>
        <w:rPr>
          <w:rFonts w:ascii="Courier New" w:cs="Courier New" w:eastAsia="Courier New" w:hAnsi="Courier New"/>
          <w:sz w:val="18"/>
          <w:szCs w:val="18"/>
          <w:color w:val="auto"/>
        </w:rPr>
        <w:t>25</w:t>
      </w:r>
    </w:p>
    <w:p>
      <w:pPr>
        <w:spacing w:after="0" w:line="37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S-2</w:t>
      </w:r>
    </w:p>
    <w:p>
      <w:pPr>
        <w:sectPr>
          <w:pgSz w:w="11900" w:h="16838" w:orient="portrait"/>
          <w:cols w:equalWidth="0" w:num="1">
            <w:col w:w="10219"/>
          </w:cols>
          <w:pgMar w:left="240" w:top="691" w:right="1440" w:bottom="1440" w:gutter="0" w:footer="0" w:header="0"/>
        </w:sectPr>
      </w:pPr>
    </w:p>
    <w:bookmarkStart w:id="3" w:name="page4"/>
    <w:bookmarkEnd w:id="3"/>
    <w:p>
      <w:pPr>
        <w:ind w:left="3480"/>
        <w:spacing w:after="0"/>
        <w:rPr>
          <w:sz w:val="20"/>
          <w:szCs w:val="20"/>
          <w:color w:val="auto"/>
        </w:rPr>
      </w:pPr>
      <w:r>
        <w:rPr>
          <w:rFonts w:ascii="Courier New" w:cs="Courier New" w:eastAsia="Courier New" w:hAnsi="Courier New"/>
          <w:sz w:val="18"/>
          <w:szCs w:val="18"/>
          <w:color w:val="auto"/>
        </w:rPr>
        <w:t>RISK FACTORS</w:t>
      </w:r>
    </w:p>
    <w:p>
      <w:pPr>
        <w:spacing w:after="0" w:line="201" w:lineRule="exact"/>
        <w:rPr>
          <w:sz w:val="20"/>
          <w:szCs w:val="20"/>
          <w:color w:val="auto"/>
        </w:rPr>
      </w:pPr>
    </w:p>
    <w:p>
      <w:pPr>
        <w:ind w:right="1999" w:firstLine="211"/>
        <w:spacing w:after="0" w:line="280" w:lineRule="auto"/>
        <w:rPr>
          <w:sz w:val="20"/>
          <w:szCs w:val="20"/>
          <w:color w:val="auto"/>
        </w:rPr>
      </w:pPr>
      <w:r>
        <w:rPr>
          <w:rFonts w:ascii="Courier New" w:cs="Courier New" w:eastAsia="Courier New" w:hAnsi="Courier New"/>
          <w:sz w:val="16"/>
          <w:szCs w:val="16"/>
          <w:color w:val="auto"/>
        </w:rPr>
        <w:t>THIS PROSPECTUS SUPPLEMENT DOES NOT DESCRIBE ALL OF THE RISKS OF AN INVESTMENT IN NOTES THAT RESULT FROM SUCH NOTES BEING DENOMINATED OR PAYABLE IN OR DETERMINED BY REFERENCE TO A CURRENCY OR COMPOSITE CURRENCY OTHER THAN UNITED STATES DOLLARS OR TO ONE OR MORE INTEREST RATE, CURRENCY OR OTHER INDICES OR FORMULAS. THE TRUST AND THE AGENTS DISCLAIM ANY RESPONSIBILITY TO ADVISE PROSPECTIVE INVESTORS OF SUCH RISKS AS THEY EXIST AT THE DATE OF THIS PROSPECTUS SUPPLEMENT OR AS THEY CHANGE FROM TIME TO TIME. EACH PROSPECTIVE INVESTOR SHOULD CONSULT HIS OWN FINANCIAL AND LEGAL ADVISORS AS TO THE RISKS ENTAILED BY AN INVESTMENT IN NOTES DENOMINATED OR PAYABLE IN OR DETERMINED BY REFERENCE TO A CURRENCY OR COMPOSITE CURRENCY OTHER THAN UNITED STATES DOLLARS OR TO ONE OR MORE INTEREST RATE, CURRENCY OR OTHER INDICES OR FORMULAS. SUCH NOTES ARE NOT AN APPROPRIATE INVESTMENT FOR INVESTORS WHO ARE UNSOPHISTICATED WITH RESPECT TO FOREIGN CURRENCY TRANSACTIONS OR TRANSACTIONS INVOLVING THE APPLICABLE INTEREST RATE INDEX OR CURRENCY INDEX OR OTHER INDICES OR FORMULAS.</w:t>
      </w: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STRUCTURE RISKS</w:t>
      </w:r>
    </w:p>
    <w:p>
      <w:pPr>
        <w:spacing w:after="0" w:line="201" w:lineRule="exact"/>
        <w:rPr>
          <w:sz w:val="20"/>
          <w:szCs w:val="20"/>
          <w:color w:val="auto"/>
        </w:rPr>
      </w:pPr>
    </w:p>
    <w:p>
      <w:pPr>
        <w:ind w:right="1999" w:firstLine="211"/>
        <w:spacing w:after="0" w:line="275" w:lineRule="auto"/>
        <w:rPr>
          <w:sz w:val="20"/>
          <w:szCs w:val="20"/>
          <w:color w:val="auto"/>
        </w:rPr>
      </w:pPr>
      <w:r>
        <w:rPr>
          <w:rFonts w:ascii="Courier New" w:cs="Courier New" w:eastAsia="Courier New" w:hAnsi="Courier New"/>
          <w:sz w:val="16"/>
          <w:szCs w:val="16"/>
          <w:color w:val="auto"/>
        </w:rPr>
        <w:t>An investment in Notes indexed, as to principal, premium, if any, and/or interest, to one or more currencies or composite currencies (including exchange rates and swap indices between currencies or composite currencies), commodities, interest rates or other indices or formulas, either directly or inversely, entails significant risks that are not associated with similar investments in a conventional fixed rate or floating rate debt security. Such risks include, without limitation, the possibility that any such index or formula may be subject to significant changes, that the resulting interest rate will be less than that payable on a conventional fixed rate or floating rate debt security issued by the Trust at the same time, that the repayment of principal and/or premium, if any, can occur at times other than that expected by the investor, and that the investor could lose all or a substantial portion of principal and/or premium, if any, payable on the Maturity Date (as defined below). Such risks depend on a number of interrelated factors, including economic, financial and political events, over which the Trust has no control. Additionally, if the formula used to determine the amount of principal, premium, if any, and/or interest payable with respect to such Notes contains a multiplier or leverage factor, the effect of any change in the applicable index or indices or formula or formulas will be magnified. In recent years, values of certain indices and formulas have been highly volatile and such volatility may continue or increase in the future. Fluctuations in the value of any particular index or formula that have occurred in the past are not necessarily indicative, however, of fluctuations that may occur in the future.</w:t>
      </w:r>
    </w:p>
    <w:p>
      <w:pPr>
        <w:spacing w:after="0" w:line="293" w:lineRule="exact"/>
        <w:rPr>
          <w:sz w:val="20"/>
          <w:szCs w:val="20"/>
          <w:color w:val="auto"/>
        </w:rPr>
      </w:pPr>
    </w:p>
    <w:p>
      <w:pPr>
        <w:ind w:right="1999" w:firstLine="211"/>
        <w:spacing w:after="0" w:line="280" w:lineRule="auto"/>
        <w:rPr>
          <w:sz w:val="20"/>
          <w:szCs w:val="20"/>
          <w:color w:val="auto"/>
        </w:rPr>
      </w:pPr>
      <w:r>
        <w:rPr>
          <w:rFonts w:ascii="Courier New" w:cs="Courier New" w:eastAsia="Courier New" w:hAnsi="Courier New"/>
          <w:sz w:val="16"/>
          <w:szCs w:val="16"/>
          <w:color w:val="auto"/>
        </w:rPr>
        <w:t>The secondary market for Notes will be affected by a number of factors independent of the creditworthiness of the Trust and the value of the applicable index or indices or formula or formulas, including the complexity and volatility of each such index or formula, the method of calculating the principal, premium, if any, and/or interest in respect of such Notes, the time remaining to the maturity of such Notes, the outstanding amount of such Notes, any redemption features of such Notes, the amount of other debt securities linked to such index or formula and the level, direction and volatility of market interest rates generally. Such factors also will affect the market value of such Notes. In addition, certain Notes may be designed for specific investment objectives or strategies and, therefore, may have a more limited secondary market and experience more price volatility than conventional debt securities. Investors may not be able to sell such Notes readily or at prices that will enable investors to realize their anticipated yield.</w:t>
      </w:r>
    </w:p>
    <w:p>
      <w:pPr>
        <w:spacing w:after="0" w:line="290" w:lineRule="exact"/>
        <w:rPr>
          <w:sz w:val="20"/>
          <w:szCs w:val="20"/>
          <w:color w:val="auto"/>
        </w:rPr>
      </w:pPr>
    </w:p>
    <w:p>
      <w:pPr>
        <w:ind w:right="1999" w:firstLine="211"/>
        <w:spacing w:after="0" w:line="265" w:lineRule="auto"/>
        <w:rPr>
          <w:sz w:val="20"/>
          <w:szCs w:val="20"/>
          <w:color w:val="auto"/>
        </w:rPr>
      </w:pPr>
      <w:r>
        <w:rPr>
          <w:rFonts w:ascii="Courier New" w:cs="Courier New" w:eastAsia="Courier New" w:hAnsi="Courier New"/>
          <w:sz w:val="18"/>
          <w:szCs w:val="18"/>
          <w:color w:val="auto"/>
        </w:rPr>
        <w:t>Any optional redemption feature of Notes might affect the market value of such Notes. Since the Trust may be expected to redeem such Notes when prevailing interest rates are relatively low, an investor might not be able to reinvest the redemption proceeds at an effective interest rate as high as the interest rate on such Notes.</w:t>
      </w:r>
    </w:p>
    <w:p>
      <w:pPr>
        <w:spacing w:after="0" w:line="90" w:lineRule="exact"/>
        <w:rPr>
          <w:sz w:val="20"/>
          <w:szCs w:val="20"/>
          <w:color w:val="auto"/>
        </w:rPr>
      </w:pPr>
    </w:p>
    <w:p>
      <w:pPr>
        <w:ind w:right="1999" w:firstLine="211"/>
        <w:spacing w:after="0" w:line="344" w:lineRule="auto"/>
        <w:rPr>
          <w:sz w:val="20"/>
          <w:szCs w:val="20"/>
          <w:color w:val="auto"/>
        </w:rPr>
      </w:pPr>
      <w:r>
        <w:rPr>
          <w:rFonts w:ascii="Courier New" w:cs="Courier New" w:eastAsia="Courier New" w:hAnsi="Courier New"/>
          <w:sz w:val="16"/>
          <w:szCs w:val="16"/>
          <w:color w:val="auto"/>
        </w:rPr>
        <w:t>The Notes will not have an established trading market when issued, and there can be no assurance of a secondary market for the Notes or the liquidity of such market if one develops. See "Supplemental Plan of Distribution."</w:t>
      </w:r>
    </w:p>
    <w:p>
      <w:pPr>
        <w:spacing w:after="0" w:line="31" w:lineRule="exact"/>
        <w:rPr>
          <w:sz w:val="20"/>
          <w:szCs w:val="20"/>
          <w:color w:val="auto"/>
        </w:rPr>
      </w:pPr>
    </w:p>
    <w:p>
      <w:pPr>
        <w:ind w:right="2319" w:firstLine="211"/>
        <w:spacing w:after="0" w:line="274" w:lineRule="auto"/>
        <w:rPr>
          <w:sz w:val="20"/>
          <w:szCs w:val="20"/>
          <w:color w:val="auto"/>
        </w:rPr>
      </w:pPr>
      <w:r>
        <w:rPr>
          <w:rFonts w:ascii="Courier New" w:cs="Courier New" w:eastAsia="Courier New" w:hAnsi="Courier New"/>
          <w:sz w:val="18"/>
          <w:szCs w:val="18"/>
          <w:color w:val="auto"/>
        </w:rPr>
        <w:t>No investor should purchase Notes unless such investor understands and is able to bear the risk that such Notes may not be readily saleable, that the value of Notes will fluctuate over time and that such fluctuations may be significant.</w:t>
      </w:r>
    </w:p>
    <w:p>
      <w:pPr>
        <w:spacing w:after="0" w:line="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S-3</w:t>
      </w:r>
    </w:p>
    <w:p>
      <w:pPr>
        <w:sectPr>
          <w:pgSz w:w="11900" w:h="16838" w:orient="portrait"/>
          <w:cols w:equalWidth="0" w:num="1">
            <w:col w:w="10219"/>
          </w:cols>
          <w:pgMar w:left="240" w:top="691" w:right="1440" w:bottom="591"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CREDIT RATINGS</w:t>
      </w:r>
    </w:p>
    <w:p>
      <w:pPr>
        <w:spacing w:after="0" w:line="201" w:lineRule="exact"/>
        <w:rPr>
          <w:sz w:val="20"/>
          <w:szCs w:val="20"/>
          <w:color w:val="auto"/>
        </w:rPr>
      </w:pPr>
    </w:p>
    <w:p>
      <w:pPr>
        <w:ind w:right="2099" w:firstLine="211"/>
        <w:spacing w:after="0" w:line="260" w:lineRule="auto"/>
        <w:rPr>
          <w:sz w:val="20"/>
          <w:szCs w:val="20"/>
          <w:color w:val="auto"/>
        </w:rPr>
      </w:pPr>
      <w:r>
        <w:rPr>
          <w:rFonts w:ascii="Courier New" w:cs="Courier New" w:eastAsia="Courier New" w:hAnsi="Courier New"/>
          <w:sz w:val="18"/>
          <w:szCs w:val="18"/>
          <w:color w:val="auto"/>
        </w:rPr>
        <w:t>The credit ratings assigned to the Trust's medium-term note program may not reflect the potential impact of all risks related to structure and other factors on the value of the Notes. Accordingly, prospective investors should consult their own financial and legal advisors as to the risks entailed by an investment in the Notes and the suitability of such Notes in light of their particular circumstances.</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EXCHANGE RATES AND EXCHANGE CONTROLS</w:t>
      </w:r>
    </w:p>
    <w:p>
      <w:pPr>
        <w:spacing w:after="0" w:line="201"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6"/>
          <w:szCs w:val="16"/>
          <w:color w:val="auto"/>
        </w:rPr>
        <w:t>An investment in Foreign Currency Notes (as defined below) entails significant risks that are not associated with a similar investment in a debt security denominated and payable in United States dollars. Such risks include, without limitation, the possibility of significant changes in the rate of exchange between the United States dollar and the applicable foreign currency or composite currency and the possibility of the imposition or modification of exchange controls by the applicable governments or monetary authorities. Such risks generally depend on factors over which the Trust has no control, such as economic, financial and political events and the supply and demand for the applicable currencies or composite currencies. In addition, if the formula used to determine the amount of principal, premium, if any, and/or interest payable with respect to Foreign Currency Notes contains a multiplier or leverage factor, the effect of any change in the applicable currencies or composite currencies will be magnified. In recent years, rates of exchange between the United States dollar and foreign currencies or composite currencies have been highly volatile and such volatility may continue or increase in the future. Fluctuations in any particular exchange rate that have occurred in the past are not necessarily indicative, however, of fluctuations that may occur in the future. Depreciation of the foreign currency or composite currency in which a Foreign Currency Note is payable against the United States dollar would result in a decrease in the United States dollar-equivalent yield of such Foreign Currency Note, in the United States dollar-equivalent value of the principal and premium, if any, payable on the Maturity Date of such Foreign Currency Note, and, generally, in the United States dollar-equivalent market value of such Foreign Currency Note.</w:t>
      </w:r>
    </w:p>
    <w:p>
      <w:pPr>
        <w:spacing w:after="0" w:line="200" w:lineRule="exact"/>
        <w:rPr>
          <w:sz w:val="20"/>
          <w:szCs w:val="20"/>
          <w:color w:val="auto"/>
        </w:rPr>
      </w:pPr>
    </w:p>
    <w:p>
      <w:pPr>
        <w:spacing w:after="0" w:line="308" w:lineRule="exact"/>
        <w:rPr>
          <w:sz w:val="20"/>
          <w:szCs w:val="20"/>
          <w:color w:val="auto"/>
        </w:rPr>
      </w:pPr>
    </w:p>
    <w:p>
      <w:pPr>
        <w:ind w:right="1999" w:firstLine="211"/>
        <w:spacing w:after="0" w:line="247" w:lineRule="auto"/>
        <w:rPr>
          <w:sz w:val="20"/>
          <w:szCs w:val="20"/>
          <w:color w:val="auto"/>
        </w:rPr>
      </w:pPr>
      <w:r>
        <w:rPr>
          <w:rFonts w:ascii="Courier New" w:cs="Courier New" w:eastAsia="Courier New" w:hAnsi="Courier New"/>
          <w:sz w:val="18"/>
          <w:szCs w:val="18"/>
          <w:color w:val="auto"/>
        </w:rPr>
        <w:t>Governments or monetary authorities have imposed from time to time, and may in the future impose or revise, exchange controls at or prior to the date on which any payment of principal of, or premium, if any, or interest on, a Foreign Currency Note is due, which could affect exchange rates as well as the availability of the foreign currency or composite currency in which such payment is to be made on such date. Even if there are no exchange controls, it is possible that the foreign currency or composite currency in which a payment in respect of any particular Foreign Currency Note is to be made would not be available on the applicable payment date due to other circumstances beyond the reasonable control of the Trust. In such cases, the Trust will be entitled to satisfy its obligations in respect of such Foreign Currency Note in United States dollars. See "Special Provisions Relating to Foreign Currency Notes-- Payment Currency."</w:t>
      </w:r>
    </w:p>
    <w:p>
      <w:pPr>
        <w:spacing w:after="0" w:line="108"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DESCRIPTION OF NOTES</w:t>
      </w:r>
    </w:p>
    <w:p>
      <w:pPr>
        <w:spacing w:after="0" w:line="201" w:lineRule="exact"/>
        <w:rPr>
          <w:sz w:val="20"/>
          <w:szCs w:val="20"/>
          <w:color w:val="auto"/>
        </w:rPr>
      </w:pPr>
    </w:p>
    <w:p>
      <w:pPr>
        <w:ind w:right="1999" w:firstLine="211"/>
        <w:spacing w:after="0" w:line="277" w:lineRule="auto"/>
        <w:rPr>
          <w:sz w:val="20"/>
          <w:szCs w:val="20"/>
          <w:color w:val="auto"/>
        </w:rPr>
      </w:pPr>
      <w:r>
        <w:rPr>
          <w:rFonts w:ascii="Courier New" w:cs="Courier New" w:eastAsia="Courier New" w:hAnsi="Courier New"/>
          <w:sz w:val="16"/>
          <w:szCs w:val="16"/>
          <w:color w:val="auto"/>
        </w:rPr>
        <w:t>The Notes will be issued as a series of Debt Securities (as defined below) under an Indenture, dated as of September 1, 1998, as amended, supplemented or modified from time to time (the "Indenture"), between the Trust and First Union National Bank, as trustee (the "Trustee"). The Indenture is subject to, and governed by, the Trust Indenture Act of 1939, as amended. The following summary of certain provisions of the Notes and the Indenture does not purport to be complete and is qualified in its entirety by reference to the actual provisions of the Notes and the Indenture. Capitalized terms used but not defined herein shall have the meanings given to them in the accompanying Prospectus, the Notes or the Indenture, as the case may be. The term "Debt Securities," as used in this Prospectus Supplement, refers to all debt securities, including the Notes, issued and issuable from time to time under the Indenture. The following description of the particular terms of the Notes offered hereby (referred to in the accompanying Prospectus as the "Senior Securities") supplements, and to the extent inconsistent therewith replaces, the description of the general terms and provisions of the Senior Securities set forth in the Prospectus, to which description reference is hereby made.</w:t>
      </w:r>
    </w:p>
    <w:p>
      <w:pPr>
        <w:spacing w:after="0" w:line="299" w:lineRule="exact"/>
        <w:rPr>
          <w:sz w:val="20"/>
          <w:szCs w:val="20"/>
          <w:color w:val="auto"/>
        </w:rPr>
      </w:pPr>
    </w:p>
    <w:p>
      <w:pPr>
        <w:ind w:right="2319" w:firstLine="211"/>
        <w:spacing w:after="0" w:line="347" w:lineRule="auto"/>
        <w:rPr>
          <w:sz w:val="20"/>
          <w:szCs w:val="20"/>
          <w:color w:val="auto"/>
        </w:rPr>
      </w:pPr>
      <w:r>
        <w:rPr>
          <w:rFonts w:ascii="Courier New" w:cs="Courier New" w:eastAsia="Courier New" w:hAnsi="Courier New"/>
          <w:sz w:val="18"/>
          <w:szCs w:val="18"/>
          <w:color w:val="auto"/>
        </w:rPr>
        <w:t>The following description of Notes will apply to each Note offered hereby unless otherwise specified in the applicable Pricing Supplement.</w:t>
      </w:r>
    </w:p>
    <w:p>
      <w:pPr>
        <w:spacing w:after="0" w:line="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S-4</w:t>
      </w:r>
    </w:p>
    <w:p>
      <w:pPr>
        <w:sectPr>
          <w:pgSz w:w="11900" w:h="16838" w:orient="portrait"/>
          <w:cols w:equalWidth="0" w:num="1">
            <w:col w:w="10219"/>
          </w:cols>
          <w:pgMar w:left="240" w:top="691" w:right="1440" w:bottom="388"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GENERAL</w:t>
      </w:r>
    </w:p>
    <w:p>
      <w:pPr>
        <w:spacing w:after="0" w:line="201" w:lineRule="exact"/>
        <w:rPr>
          <w:sz w:val="20"/>
          <w:szCs w:val="20"/>
          <w:color w:val="auto"/>
        </w:rPr>
      </w:pPr>
    </w:p>
    <w:p>
      <w:pPr>
        <w:ind w:right="2319" w:firstLine="211"/>
        <w:spacing w:after="0" w:line="306" w:lineRule="auto"/>
        <w:rPr>
          <w:sz w:val="20"/>
          <w:szCs w:val="20"/>
          <w:color w:val="auto"/>
        </w:rPr>
      </w:pPr>
      <w:r>
        <w:rPr>
          <w:rFonts w:ascii="Courier New" w:cs="Courier New" w:eastAsia="Courier New" w:hAnsi="Courier New"/>
          <w:sz w:val="16"/>
          <w:szCs w:val="16"/>
          <w:color w:val="auto"/>
        </w:rPr>
        <w:t>The Notes will be unsecured obligations of the Trust and will rank pari passu with all other unsecured and unsubordinated indebtedness of the Trust from time to time outstanding. The Notes are effectively subordinated to mortgages and other secured indebtedness of the Trust (approximately $648 million at June 30, 1998), which encumber certain assets of the Trust.</w:t>
      </w:r>
    </w:p>
    <w:p>
      <w:pPr>
        <w:spacing w:after="0" w:line="60" w:lineRule="exact"/>
        <w:rPr>
          <w:sz w:val="20"/>
          <w:szCs w:val="20"/>
          <w:color w:val="auto"/>
        </w:rPr>
      </w:pPr>
    </w:p>
    <w:p>
      <w:pPr>
        <w:ind w:right="1999" w:firstLine="211"/>
        <w:spacing w:after="0" w:line="253" w:lineRule="auto"/>
        <w:rPr>
          <w:sz w:val="20"/>
          <w:szCs w:val="20"/>
          <w:color w:val="auto"/>
        </w:rPr>
      </w:pPr>
      <w:r>
        <w:rPr>
          <w:rFonts w:ascii="Courier New" w:cs="Courier New" w:eastAsia="Courier New" w:hAnsi="Courier New"/>
          <w:sz w:val="18"/>
          <w:szCs w:val="18"/>
          <w:color w:val="auto"/>
        </w:rPr>
        <w:t>The Indenture does not limit the aggregate initial offering price of Debt Securities that may be issued thereunder and Debt Securities may be issued thereunder from time to time in one or more series up to the aggregate initial offering price from time to time authorized by the Trust for each series. The Trust may, from time to time, without the consent of the Holders of the Notes, provide for the issuance of Notes or other Debt Securities under the Indenture in addition to the $250,000,000 aggregate initial offering price of Notes offered hereby.</w:t>
      </w:r>
    </w:p>
    <w:p>
      <w:pPr>
        <w:spacing w:after="0" w:line="104" w:lineRule="exact"/>
        <w:rPr>
          <w:sz w:val="20"/>
          <w:szCs w:val="20"/>
          <w:color w:val="auto"/>
        </w:rPr>
      </w:pPr>
    </w:p>
    <w:p>
      <w:pPr>
        <w:ind w:right="1999" w:firstLine="211"/>
        <w:spacing w:after="0" w:line="288" w:lineRule="auto"/>
        <w:rPr>
          <w:sz w:val="20"/>
          <w:szCs w:val="20"/>
          <w:color w:val="auto"/>
        </w:rPr>
      </w:pPr>
      <w:r>
        <w:rPr>
          <w:rFonts w:ascii="Courier New" w:cs="Courier New" w:eastAsia="Courier New" w:hAnsi="Courier New"/>
          <w:sz w:val="16"/>
          <w:szCs w:val="16"/>
          <w:color w:val="auto"/>
        </w:rPr>
        <w:t>The Notes are currently limited to up to $250,000,000 aggregate initial offering price, or the equivalent thereof in one or more foreign or composite currencies. The Notes will be offered on a continuous basis and will mature on any day nine months or more from their dates of issue (each, a "Stated Maturity Date"), as specified in the applicable Pricing Supplement. Unless otherwise specified in the applicable Pricing Supplement, interest-bearing Notes will either be Fixed Rate Notes or Floating Rate Notes, as specified in the applicable Pricing Supplement. Notes may also be issued that do not bear any interest currently or that bear interest at a below market rate.</w:t>
      </w:r>
    </w:p>
    <w:p>
      <w:pPr>
        <w:spacing w:after="0" w:line="286" w:lineRule="exact"/>
        <w:rPr>
          <w:sz w:val="20"/>
          <w:szCs w:val="20"/>
          <w:color w:val="auto"/>
        </w:rPr>
      </w:pPr>
    </w:p>
    <w:p>
      <w:pPr>
        <w:ind w:right="2099" w:firstLine="211"/>
        <w:spacing w:after="0" w:line="248" w:lineRule="auto"/>
        <w:rPr>
          <w:sz w:val="20"/>
          <w:szCs w:val="20"/>
          <w:color w:val="auto"/>
        </w:rPr>
      </w:pPr>
      <w:r>
        <w:rPr>
          <w:rFonts w:ascii="Courier New" w:cs="Courier New" w:eastAsia="Courier New" w:hAnsi="Courier New"/>
          <w:sz w:val="18"/>
          <w:szCs w:val="18"/>
          <w:color w:val="auto"/>
        </w:rPr>
        <w:t>Unless otherwise specified in the applicable Pricing Supplement, the Notes will be denominated in, and payments of principal, premium, if any, and/or interest will be made in, United States dollars. The Notes also may be denominated in, and payments of principal, premium, if any, and/or interest may be made in, one or more foreign currencies or composite currencies ("Foreign Currency Notes"). See "Special Provisions Relating to Foreign Currency Notes--Payment of Principal, Premium, if any, and Interest." The currency or composite currency in which a Note is denominated, whether United States dollars or otherwise, is herein referred to as the "Specified Currency." References herein to "United States dollars," "U.S. dollars" and "U.S.$" are to the lawful currency of the United States of America (the "United States").</w:t>
      </w:r>
    </w:p>
    <w:p>
      <w:pPr>
        <w:spacing w:after="0" w:line="105" w:lineRule="exact"/>
        <w:rPr>
          <w:sz w:val="20"/>
          <w:szCs w:val="20"/>
          <w:color w:val="auto"/>
        </w:rPr>
      </w:pPr>
    </w:p>
    <w:p>
      <w:pPr>
        <w:ind w:right="1999" w:firstLine="211"/>
        <w:spacing w:after="0" w:line="278" w:lineRule="auto"/>
        <w:rPr>
          <w:sz w:val="20"/>
          <w:szCs w:val="20"/>
          <w:color w:val="auto"/>
        </w:rPr>
      </w:pPr>
      <w:r>
        <w:rPr>
          <w:rFonts w:ascii="Courier New" w:cs="Courier New" w:eastAsia="Courier New" w:hAnsi="Courier New"/>
          <w:sz w:val="16"/>
          <w:szCs w:val="16"/>
          <w:color w:val="auto"/>
        </w:rPr>
        <w:t>Unless otherwise specified in the applicable Pricing Supplement, purchasers are required to pay for the Notes in the applicable Specified Currencies. At the present time, there are limited facilities in the United States for the conversion of United States dollars into foreign currencies or composite currencies and vice versa, and commercial banks do not generally offer non-United States dollar checking or savings account facilities in the United States. Each applicable Agent is prepared to arrange for the conversion of United States dollars into the applicable Specified Currency to enable the purchaser to pay for the related Foreign Currency Note, provided that a request is made to such Agent on or prior to the fifth Business Day (as defined below) preceding the date of delivery of such Foreign Currency Note, or by such other day as determined by such Agent. Each such conversion will be made by an Agent on such terms and subject to such conditions, limitations and charges as such Agent may from time to time establish in accordance with its regular foreign exchange practices. All costs of exchange will be borne by the purchaser of each such Foreign Currency Note. See "Special Provisions Relating to Foreign Currency Notes."</w:t>
      </w:r>
    </w:p>
    <w:p>
      <w:pPr>
        <w:spacing w:after="0" w:line="200" w:lineRule="exact"/>
        <w:rPr>
          <w:sz w:val="20"/>
          <w:szCs w:val="20"/>
          <w:color w:val="auto"/>
        </w:rPr>
      </w:pPr>
    </w:p>
    <w:p>
      <w:pPr>
        <w:spacing w:after="0" w:line="297" w:lineRule="exact"/>
        <w:rPr>
          <w:sz w:val="20"/>
          <w:szCs w:val="20"/>
          <w:color w:val="auto"/>
        </w:rPr>
      </w:pPr>
    </w:p>
    <w:p>
      <w:pPr>
        <w:ind w:right="2319" w:firstLine="211"/>
        <w:spacing w:after="0" w:line="260" w:lineRule="auto"/>
        <w:rPr>
          <w:sz w:val="20"/>
          <w:szCs w:val="20"/>
          <w:color w:val="auto"/>
        </w:rPr>
      </w:pPr>
      <w:r>
        <w:rPr>
          <w:rFonts w:ascii="Courier New" w:cs="Courier New" w:eastAsia="Courier New" w:hAnsi="Courier New"/>
          <w:sz w:val="18"/>
          <w:szCs w:val="18"/>
          <w:color w:val="auto"/>
        </w:rPr>
        <w:t>Interest rates offered by the Trust with respect to the Notes may differ depending upon, among other things, the aggregate principal amount of Notes purchased in any single transaction. Interest rates or formulas and other terms of Notes are subject to change by the Trust from time to time, but no such change will affect any Note already issued or as to which an offer to purchase has been accepted by the Trust.</w:t>
      </w:r>
    </w:p>
    <w:p>
      <w:pPr>
        <w:spacing w:after="0" w:line="93"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Each Note will be issued in fully registered form as a Book-Entry Note or a Certificated Note. The authorized denominations of each Note other than a Foreign Currency Note will be $1,000 and integral multiples thereof, unless otherwise specified in the applicable Pricing Supplement, while the authorized denominations of each Foreign Currency Note will be specified in the applicable Pricing Supplement.</w:t>
      </w:r>
    </w:p>
    <w:p>
      <w:pPr>
        <w:spacing w:after="0" w:line="93" w:lineRule="exact"/>
        <w:rPr>
          <w:sz w:val="20"/>
          <w:szCs w:val="20"/>
          <w:color w:val="auto"/>
        </w:rPr>
      </w:pPr>
    </w:p>
    <w:p>
      <w:pPr>
        <w:ind w:right="1999" w:firstLine="211"/>
        <w:spacing w:after="0" w:line="298" w:lineRule="auto"/>
        <w:rPr>
          <w:sz w:val="20"/>
          <w:szCs w:val="20"/>
          <w:color w:val="auto"/>
        </w:rPr>
      </w:pPr>
      <w:r>
        <w:rPr>
          <w:rFonts w:ascii="Courier New" w:cs="Courier New" w:eastAsia="Courier New" w:hAnsi="Courier New"/>
          <w:sz w:val="16"/>
          <w:szCs w:val="16"/>
          <w:color w:val="auto"/>
        </w:rPr>
        <w:t>Payments of principal of, premium, if any, and interest on, Book-Entry Notes will be made by the Trust through the Paying Agent (as defined below) to the Depositary. See "--Book-Entry Notes." In the case of Certificated Notes, payment of principal and premium, if any, due on the Stated Maturity Date or any prior date on which the principal, or an installment of principal, of each Certificated Note becomes due and payable, whether by the declaration of</w:t>
      </w:r>
    </w:p>
    <w:p>
      <w:pPr>
        <w:sectPr>
          <w:pgSz w:w="11900" w:h="16838" w:orient="portrait"/>
          <w:cols w:equalWidth="0" w:num="1">
            <w:col w:w="10219"/>
          </w:cols>
          <w:pgMar w:left="240" w:top="691" w:right="1440" w:bottom="0" w:gutter="0" w:footer="0" w:header="0"/>
        </w:sectPr>
      </w:pPr>
    </w:p>
    <w:bookmarkStart w:id="6" w:name="page7"/>
    <w:bookmarkEnd w:id="6"/>
    <w:p>
      <w:pPr>
        <w:ind w:left="2820"/>
        <w:spacing w:after="0"/>
        <w:rPr>
          <w:sz w:val="20"/>
          <w:szCs w:val="20"/>
          <w:color w:val="auto"/>
        </w:rPr>
      </w:pPr>
      <w:r>
        <w:rPr>
          <w:rFonts w:ascii="Courier New" w:cs="Courier New" w:eastAsia="Courier New" w:hAnsi="Courier New"/>
          <w:sz w:val="16"/>
          <w:szCs w:val="16"/>
          <w:color w:val="auto"/>
        </w:rPr>
        <w:t>S-5</w:t>
      </w:r>
    </w:p>
    <w:p>
      <w:pPr>
        <w:sectPr>
          <w:pgSz w:w="11900" w:h="16838" w:orient="portrait"/>
          <w:cols w:equalWidth="0" w:num="1">
            <w:col w:w="9019"/>
          </w:cols>
          <w:pgMar w:left="1440" w:top="312" w:right="1440" w:bottom="1440" w:gutter="0" w:footer="0" w:header="0"/>
        </w:sectPr>
      </w:pPr>
    </w:p>
    <w:bookmarkStart w:id="7" w:name="page8"/>
    <w:bookmarkEnd w:id="7"/>
    <w:p>
      <w:pPr>
        <w:spacing w:after="0" w:line="4"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acceleration, notice of redemption at the option of the Trust, notice of the Holder's option to elect repayment or otherwise (the Stated Maturity Date or such prior date, as the case may be, is herein referred to as the "Maturity Date" with respect to the principal of the applicable Note repayable on such date) will be made in immediately available funds upon presentation and surrender thereof (or, in the case of any repayment on an Optional Repayment Date, upon presentation and surrender thereof and a duly completed election form in accordance with the provisions described below) at the office or agency maintained by the Trust for such purpose in the Borough of Manhattan, The City of New York. Such office or agency is maintained currently by First Union National Bank (the "Paying Agent") at 40 Broad Street, New York, New York 10004. Payment of interest due on the Maturity Date of each Certificated Note will be made to the person to whom payment of the principal and premium, if any, shall be made. Payment of interest due on each Certificated Note on any Interest Payment Date (as defined below) other than the Maturity Date will be made at the office or agency referred to above maintained by the Trust for such purpose or, at the option of the Trust, may be made by check mailed to the address of the Holder entitled thereto as such address shall appear in the Security Register of the Trust. Notwithstanding the foregoing, a Holder of $10,000,000 (or, if the applicable Specified Currency is other than United States dollars, the equivalent thereof in such Specified Currency) or more in aggregate principal amount of Notes (whether having identical or different terms and provisions) will be entitled to receive interest payments on any Interest Payment Date other than the Maturity Date by wire transfer of immediately available funds if appropriate wire transfer instructions have been received in writing by the Paying Agent not less than 15 days prior to such Interest Payment Date. Any such wire transfer instructions received by the Paying Agent shall remain in effect until revoked by such Holder. For special payment terms applicable to Foreign Currency Notes, see "Special Provisions Relating to Foreign Currency Notes--Payment of Principal, Premium, if any, and Interest."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As used herein, "Business Day" means any day, other than a Saturday or Sunday, that is neither a legal holiday nor a day on which banking institutions are authorized or required by law, regulation or executive order to close in The City of New York; provided, however, that with respect to Foreign Currency Notes, such day is also not a day on which banking institutions are authorized or required by law, regulation or executive order to close in the Principal Financial Center (as defined below) of the country issuing the Specified Currency (or if the Specified Currency is European Currency Units ("ECU"), such day is not a day that appears as an ECU non-settlement day on the display designated as "ISDE" on the Reuter Monitor Money Rates Service (or a day so designated by the ECU Banking Association), or, if ECU non-settlement days do not appear on that page (and are not so designated), is not a day on which payments in ECU cannot be settled in the international interbank market); provided, further, that, with respect to Notes as to which LIBOR is an applicable Interest Rate Basis, such day is also a London Business Day (as defined below). "London Business Day" means any day</w:t>
      </w:r>
    </w:p>
    <w:p>
      <w:pPr>
        <w:spacing w:after="0" w:line="181" w:lineRule="exact"/>
        <w:rPr>
          <w:sz w:val="20"/>
          <w:szCs w:val="20"/>
          <w:color w:val="auto"/>
        </w:rPr>
      </w:pPr>
    </w:p>
    <w:p>
      <w:pPr>
        <w:ind w:right="1999" w:firstLine="8"/>
        <w:spacing w:after="0" w:line="248"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Index Currency (as defined below) is other than ECU, on which dealings in such Index Currency are transacted in the London interbank market or (ii) if the Index Currency is ECU, that does not appear as an ECU non-settlement day on the display designated as "ISDE" on the Reuter Monitor Money Rates Service (or a day so designated by the ECU Banking Association, or, if ECU non-settlement days do not appear on that page (and are not so designated), is not a day on which payments in ECU cannot be settled in the international interbank market).</w:t>
      </w:r>
    </w:p>
    <w:p>
      <w:pPr>
        <w:spacing w:after="0" w:line="106" w:lineRule="exact"/>
        <w:rPr>
          <w:sz w:val="20"/>
          <w:szCs w:val="20"/>
          <w:color w:val="auto"/>
        </w:rPr>
      </w:pPr>
    </w:p>
    <w:p>
      <w:pPr>
        <w:ind w:right="1999" w:firstLine="211"/>
        <w:spacing w:after="0" w:line="298" w:lineRule="auto"/>
        <w:rPr>
          <w:sz w:val="20"/>
          <w:szCs w:val="20"/>
          <w:color w:val="auto"/>
        </w:rPr>
      </w:pPr>
      <w:r>
        <w:rPr>
          <w:rFonts w:ascii="Courier New" w:cs="Courier New" w:eastAsia="Courier New" w:hAnsi="Courier New"/>
          <w:sz w:val="16"/>
          <w:szCs w:val="16"/>
          <w:color w:val="auto"/>
        </w:rPr>
        <w:t>"Principal Financial Center" means the capital city of the country issuing the Specified Currency or, solely with respect to the calculation of LIBOR, the Index Currency, except that with respect to United States dollars, Australian dollars, Deutsche marks, Dutch guilders, Italian lire, Swiss francs and ECU, the Principal Financial Center shall be The City of New York, Sydney, Frankfurt, Amsterdam, Milan, Zurich and Luxembourg, respectively.</w:t>
      </w:r>
    </w:p>
    <w:p>
      <w:pPr>
        <w:spacing w:after="0" w:line="68" w:lineRule="exact"/>
        <w:rPr>
          <w:sz w:val="20"/>
          <w:szCs w:val="20"/>
          <w:color w:val="auto"/>
        </w:rPr>
      </w:pPr>
    </w:p>
    <w:p>
      <w:pPr>
        <w:ind w:right="2099" w:firstLine="211"/>
        <w:spacing w:after="0" w:line="287" w:lineRule="auto"/>
        <w:rPr>
          <w:sz w:val="20"/>
          <w:szCs w:val="20"/>
          <w:color w:val="auto"/>
        </w:rPr>
      </w:pPr>
      <w:r>
        <w:rPr>
          <w:rFonts w:ascii="Courier New" w:cs="Courier New" w:eastAsia="Courier New" w:hAnsi="Courier New"/>
          <w:sz w:val="16"/>
          <w:szCs w:val="16"/>
          <w:color w:val="auto"/>
        </w:rPr>
        <w:t>Book-Entry Notes may be transferred or exchanged only through the Depositary. See "--Book-Entry Notes." Registration of transfer or exchange of Certificated Notes will be made at the office or agency maintained by the Trust for such purpose in the Borough of Manhattan, The City of New York. No service charge will be made by the Trust or The Bank of New York (the "Securities Registrar") for any such registration of transfer or exchange of Notes, but the Trust may require payment of a sum sufficient to cover any tax or other governmental charge that may be imposed in connection therewith (other than exchanges pursuant to the Indenture not involving any transfer).</w:t>
      </w:r>
    </w:p>
    <w:p>
      <w:pPr>
        <w:spacing w:after="0" w:line="75" w:lineRule="exact"/>
        <w:rPr>
          <w:sz w:val="20"/>
          <w:szCs w:val="20"/>
          <w:color w:val="auto"/>
        </w:rPr>
      </w:pPr>
    </w:p>
    <w:p>
      <w:pPr>
        <w:ind w:right="1999" w:firstLine="211"/>
        <w:spacing w:after="0" w:line="318" w:lineRule="auto"/>
        <w:rPr>
          <w:sz w:val="20"/>
          <w:szCs w:val="20"/>
          <w:color w:val="auto"/>
        </w:rPr>
      </w:pPr>
      <w:r>
        <w:rPr>
          <w:rFonts w:ascii="Courier New" w:cs="Courier New" w:eastAsia="Courier New" w:hAnsi="Courier New"/>
          <w:sz w:val="16"/>
          <w:szCs w:val="16"/>
          <w:color w:val="auto"/>
        </w:rPr>
        <w:t>Notwithstanding any provisions described in this Prospectus Supplement to the contrary, if a Note specifies that an Addendum is attached thereto or that "Other/Additional Provisions" apply, such Note will be subject to the terms specified in such Addendum or "Other/Additional Provisions," as the case may</w:t>
      </w:r>
    </w:p>
    <w:p>
      <w:pPr>
        <w:sectPr>
          <w:pgSz w:w="11900" w:h="16842" w:orient="portrait"/>
          <w:cols w:equalWidth="0" w:num="1">
            <w:col w:w="10219"/>
          </w:cols>
          <w:pgMar w:left="240" w:top="691" w:right="1440" w:bottom="0"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be, and will be described in the applicable Pricing Supplement.</w:t>
      </w:r>
    </w:p>
    <w:p>
      <w:pPr>
        <w:sectPr>
          <w:pgSz w:w="11900" w:h="16838" w:orient="portrait"/>
          <w:cols w:equalWidth="0" w:num="1">
            <w:col w:w="10219"/>
          </w:cols>
          <w:pgMar w:left="240" w:top="110"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S-6</w:t>
      </w:r>
    </w:p>
    <w:p>
      <w:pPr>
        <w:sectPr>
          <w:pgSz w:w="11900" w:h="16838" w:orient="portrait"/>
          <w:cols w:equalWidth="0" w:num="1">
            <w:col w:w="10219"/>
          </w:cols>
          <w:pgMar w:left="240" w:top="110" w:right="1440" w:bottom="1440" w:gutter="0" w:footer="0" w:header="0"/>
          <w:type w:val="continuous"/>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REDEMPTION AT THE OPTION OF THE TRUST</w:t>
      </w:r>
    </w:p>
    <w:p>
      <w:pPr>
        <w:spacing w:after="0" w:line="201" w:lineRule="exact"/>
        <w:rPr>
          <w:sz w:val="20"/>
          <w:szCs w:val="20"/>
          <w:color w:val="auto"/>
        </w:rPr>
      </w:pPr>
    </w:p>
    <w:p>
      <w:pPr>
        <w:ind w:right="1999" w:firstLine="211"/>
        <w:spacing w:after="0" w:line="243" w:lineRule="auto"/>
        <w:rPr>
          <w:sz w:val="20"/>
          <w:szCs w:val="20"/>
          <w:color w:val="auto"/>
        </w:rPr>
      </w:pPr>
      <w:r>
        <w:rPr>
          <w:rFonts w:ascii="Courier New" w:cs="Courier New" w:eastAsia="Courier New" w:hAnsi="Courier New"/>
          <w:sz w:val="18"/>
          <w:szCs w:val="18"/>
          <w:color w:val="auto"/>
        </w:rPr>
        <w:t>Unless otherwise specified in the applicable Pricing Supplement, the Notes will not be subject to any sinking fund. The applicable Pricing Supplement will indicate if the Notes will be redeemable prior to the Stated Maturity Date and the terms on which such Notes will be redeemable at the option of the Trust. If so specified, the Notes will be subject to redemption at the option of the Trust on any date on and after the applicable Initial Redemption Date in whole or from time to time in part in increments of $1,000 or such other minimum denomination specified in such Pricing Supplement (provided that any remaining principal amount thereof shall be at least $1,000 or such minimum denomination), at the applicable Redemption Price (as defined below), together with unpaid interest accrued to the date of redemption, on notice given not more than 60 nor less than 30 calendar days prior to the date of redemption and in accordance with the provisions of the Indenture. Unless otherwise specified in the applicable Pricing Supplement, "Redemption Price," with respect to a Note, means an amount equal to the Initial Redemption Percentage specified in the applicable Pricing Supplement (as adjusted by the Annual Redemption Percentage Reduction, if applicable) multiplied by the unpaid principal amount to be redeemed. The Initial Redemption Percentage, if any, applicable to a Note shall decline at each anniversary of the Initial Redemption Date by an amount equal to the applicable Annual Redemption Percentage Reduction, if any, until the Redemption Price is equal to 100% of the unpaid principal amount to be redeemed. See also "--Original Issue Discount Notes."</w:t>
      </w:r>
    </w:p>
    <w:p>
      <w:pPr>
        <w:spacing w:after="0" w:line="1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REPAYMENT AT THE NOTEHOLDERS' OPTION; REPURCHASES BY THE TRUST</w:t>
      </w:r>
    </w:p>
    <w:p>
      <w:pPr>
        <w:spacing w:after="0" w:line="201"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The applicable Pricing Supplement will indicate if the Notes will be repayable at the option of the Holders thereof on a date specified prior to the applicable Maturity Date and, unless otherwise specified in the Pricing Supplement, such Notes shall be repayable at a price equal to 100% of the principal amount thereof, together with unpaid interest accrued to the date of repayment.</w:t>
      </w:r>
    </w:p>
    <w:p>
      <w:pPr>
        <w:spacing w:after="0" w:line="93" w:lineRule="exact"/>
        <w:rPr>
          <w:sz w:val="20"/>
          <w:szCs w:val="20"/>
          <w:color w:val="auto"/>
        </w:rPr>
      </w:pPr>
    </w:p>
    <w:p>
      <w:pPr>
        <w:ind w:right="1999" w:firstLine="211"/>
        <w:spacing w:after="0" w:line="275" w:lineRule="auto"/>
        <w:rPr>
          <w:sz w:val="20"/>
          <w:szCs w:val="20"/>
          <w:color w:val="auto"/>
        </w:rPr>
      </w:pPr>
      <w:r>
        <w:rPr>
          <w:rFonts w:ascii="Courier New" w:cs="Courier New" w:eastAsia="Courier New" w:hAnsi="Courier New"/>
          <w:sz w:val="16"/>
          <w:szCs w:val="16"/>
          <w:color w:val="auto"/>
        </w:rPr>
        <w:t>In order for such a Note to be repaid, the Paying Agent must receive at least 30 days but not more than 60 days prior to the repayment date (i) such Note with the form entitled "Option to Elect Repayment" on the reverse of such Note duly completed or (ii) facsimile transmission or a letter from a member of a national securities exchange or the National Association of Securities Dealers, Inc. or a commercial bank or trust company in the United States setting forth the name of the Holder of such Note, the principal amount of such Note, the principal amount of such Note to be repaid, the certificate number or a description of the tenor and terms of such Note, a statement that the option to elect repayment is being exercised thereby, and a guarantee that such Note to be repaid, together with the duly completed form entitled "Option to Elect Repayment" on the reverse of such Note, will be received by the Paying Agent not later than the fifth Business Day after the date of such facsimile transmission or letter; however, such facsimile transmission or letter shall only be effective if such Note and duly completed form are received by the Paying Agent by such fifth Business Day. Unless otherwise specified in the applicable Pricing Supplement, exercise of the repayment option by the Holder of a Note will be irrevocable. The repayment option may be exercised by the Holder of a Note for less than the entire principal amount of the Note, but in that event, the principal amount of the Note remaining outstanding after repayment must be in an authorized denomination.</w:t>
      </w:r>
    </w:p>
    <w:p>
      <w:pPr>
        <w:spacing w:after="0" w:line="303" w:lineRule="exact"/>
        <w:rPr>
          <w:sz w:val="20"/>
          <w:szCs w:val="20"/>
          <w:color w:val="auto"/>
        </w:rPr>
      </w:pPr>
    </w:p>
    <w:p>
      <w:pPr>
        <w:ind w:right="1999" w:firstLine="211"/>
        <w:spacing w:after="0" w:line="247" w:lineRule="auto"/>
        <w:rPr>
          <w:sz w:val="20"/>
          <w:szCs w:val="20"/>
          <w:color w:val="auto"/>
        </w:rPr>
      </w:pPr>
      <w:r>
        <w:rPr>
          <w:rFonts w:ascii="Courier New" w:cs="Courier New" w:eastAsia="Courier New" w:hAnsi="Courier New"/>
          <w:sz w:val="18"/>
          <w:szCs w:val="18"/>
          <w:color w:val="auto"/>
        </w:rPr>
        <w:t>If a Note is represented by a Global Security, the Depositary's nominee will be the Holder of such Note and therefore will be the only entity that can exercise a right to repayment. In order to ensure that the Depositary's nominee will timely exercise a right to repayment with respect to a particular Note, the Beneficial Owner of such Note must instruct the broker or other Direct Participant (as defined below) or Indirect Participant (as defined below) through which it holds an interest in such Note to notify the Depositary of its desire to exercise a right to repayment. Different firms have different deadlines for accepting instructions from their customers. Accordingly, each Beneficial Owner should consult the broker or other Direct Participant or Indirect Participant through which it holds an interest in a Note in order to ascertain the deadline by which such instruction must be given in order for timely notice to be delivered to the Depositary.</w:t>
      </w:r>
    </w:p>
    <w:p>
      <w:pPr>
        <w:spacing w:after="0" w:line="108" w:lineRule="exact"/>
        <w:rPr>
          <w:sz w:val="20"/>
          <w:szCs w:val="20"/>
          <w:color w:val="auto"/>
        </w:rPr>
      </w:pPr>
    </w:p>
    <w:p>
      <w:pPr>
        <w:ind w:right="2319" w:firstLine="211"/>
        <w:spacing w:after="0" w:line="274" w:lineRule="auto"/>
        <w:rPr>
          <w:sz w:val="20"/>
          <w:szCs w:val="20"/>
          <w:color w:val="auto"/>
        </w:rPr>
      </w:pPr>
      <w:r>
        <w:rPr>
          <w:rFonts w:ascii="Courier New" w:cs="Courier New" w:eastAsia="Courier New" w:hAnsi="Courier New"/>
          <w:sz w:val="18"/>
          <w:szCs w:val="18"/>
          <w:color w:val="auto"/>
        </w:rPr>
        <w:t>If applicable, the Trust will comply with the requirements of Rule 14e-1 under the Securities Exchange Act of 1934, as amended (the "Exchange Act"), and any other securities laws or regulations in connection with any such repayment.</w:t>
      </w:r>
    </w:p>
    <w:p>
      <w:pPr>
        <w:spacing w:after="0" w:line="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S-7</w:t>
      </w:r>
    </w:p>
    <w:p>
      <w:pPr>
        <w:sectPr>
          <w:pgSz w:w="11900" w:h="16838" w:orient="portrait"/>
          <w:cols w:equalWidth="0" w:num="1">
            <w:col w:w="10219"/>
          </w:cols>
          <w:pgMar w:left="240" w:top="691" w:right="1440" w:bottom="0" w:gutter="0" w:footer="0" w:header="0"/>
        </w:sectPr>
      </w:pPr>
    </w:p>
    <w:bookmarkStart w:id="10" w:name="page11"/>
    <w:bookmarkEnd w:id="10"/>
    <w:p>
      <w:pPr>
        <w:ind w:right="1999" w:firstLine="211"/>
        <w:spacing w:after="0" w:line="344" w:lineRule="auto"/>
        <w:rPr>
          <w:sz w:val="20"/>
          <w:szCs w:val="20"/>
          <w:color w:val="auto"/>
        </w:rPr>
      </w:pPr>
      <w:r>
        <w:rPr>
          <w:rFonts w:ascii="Courier New" w:cs="Courier New" w:eastAsia="Courier New" w:hAnsi="Courier New"/>
          <w:sz w:val="16"/>
          <w:szCs w:val="16"/>
          <w:color w:val="auto"/>
        </w:rPr>
        <w:t>The Trust may at any time purchase Notes at any price or prices in the open market or otherwise. Notes so purchased by the Trust may, at the discretion of the Trust, be held, resold or surrendered to the Trustee for cancellation.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31" w:lineRule="exact"/>
        <w:rPr>
          <w:sz w:val="20"/>
          <w:szCs w:val="20"/>
          <w:color w:val="auto"/>
        </w:rPr>
      </w:pPr>
    </w:p>
    <w:p>
      <w:pPr>
        <w:ind w:right="1999" w:firstLine="211"/>
        <w:spacing w:after="0" w:line="243" w:lineRule="auto"/>
        <w:rPr>
          <w:sz w:val="20"/>
          <w:szCs w:val="20"/>
          <w:color w:val="auto"/>
        </w:rPr>
      </w:pPr>
      <w:r>
        <w:rPr>
          <w:rFonts w:ascii="Courier New" w:cs="Courier New" w:eastAsia="Courier New" w:hAnsi="Courier New"/>
          <w:sz w:val="18"/>
          <w:szCs w:val="18"/>
          <w:color w:val="auto"/>
        </w:rPr>
        <w:t>Unless otherwise specified in the applicable Pricing Supplement, each interest-bearing Note will bear interest from its date of issue at the rate per annum, in the case of a Fixed Rate Note, or pursuant to the interest rate formula, in the case of a Floating Rate Note, in each case, as specified in the applicable Pricing Supplement, until the principal thereof is paid or duly made available for payment. Unless otherwise specified in the applicable Pricing Supplement, interest payments in respect of Fixed Rate Notes and Floating Rate Notes will equal the amount of interest accrued from and including the immediately preceding Interest Payment Date in respect of which interest has been paid or duly made available for payment (or from and including the date of issue, if no interest has been paid or duly made available for payment with respect to the applicable Note) to but excluding the applicable Interest Payment Date or the Maturity Date, as the case may be (each, an "Interest Period").</w:t>
      </w:r>
    </w:p>
    <w:p>
      <w:pPr>
        <w:spacing w:after="0" w:line="116" w:lineRule="exact"/>
        <w:rPr>
          <w:sz w:val="20"/>
          <w:szCs w:val="20"/>
          <w:color w:val="auto"/>
        </w:rPr>
      </w:pPr>
    </w:p>
    <w:p>
      <w:pPr>
        <w:ind w:right="1999" w:firstLine="211"/>
        <w:spacing w:after="0" w:line="250" w:lineRule="auto"/>
        <w:rPr>
          <w:sz w:val="20"/>
          <w:szCs w:val="20"/>
          <w:color w:val="auto"/>
        </w:rPr>
      </w:pPr>
      <w:r>
        <w:rPr>
          <w:rFonts w:ascii="Courier New" w:cs="Courier New" w:eastAsia="Courier New" w:hAnsi="Courier New"/>
          <w:sz w:val="18"/>
          <w:szCs w:val="18"/>
          <w:color w:val="auto"/>
        </w:rPr>
        <w:t>Interest on Fixed Rate Notes and Floating Rate Notes will be payable in arrears on each Interest Payment Date and on the Maturity Date. Unless otherwise specified in the applicable Pricing Supplement, the first payment of interest on any such Note originally issued between a Record Date (as defined below) and the related Interest Payment Date will be made on the Interest Payment Date immediately following the next succeeding Record Date to the Holder on such next succeeding Record Date. Unless otherwise specified in the applicable Pricing Supplement, a "Record Date" shall be the fifteenth calendar day (whether or not a Business Day) immediately preceding the related Interest Payment Date.</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Fixed Rate Notes</w:t>
      </w:r>
    </w:p>
    <w:p>
      <w:pPr>
        <w:spacing w:after="0" w:line="31" w:lineRule="exact"/>
        <w:rPr>
          <w:sz w:val="20"/>
          <w:szCs w:val="20"/>
          <w:color w:val="auto"/>
        </w:rPr>
      </w:pPr>
    </w:p>
    <w:p>
      <w:pPr>
        <w:ind w:right="2099" w:firstLine="211"/>
        <w:spacing w:after="0" w:line="256" w:lineRule="auto"/>
        <w:rPr>
          <w:sz w:val="20"/>
          <w:szCs w:val="20"/>
          <w:color w:val="auto"/>
        </w:rPr>
      </w:pPr>
      <w:r>
        <w:rPr>
          <w:rFonts w:ascii="Courier New" w:cs="Courier New" w:eastAsia="Courier New" w:hAnsi="Courier New"/>
          <w:sz w:val="18"/>
          <w:szCs w:val="18"/>
          <w:color w:val="auto"/>
        </w:rPr>
        <w:t>Interest on Fixed Rate Notes will be payable in arrears as specified in the applicable Pricing Supplement (each, an "Interest Payment Date") and on the Maturity Date. Unless otherwise specified in the applicable Pricing Supplement, interest on Fixed Rate Notes will be computed on the basis of a 360-day year of twelve 30-day months.</w:t>
      </w:r>
    </w:p>
    <w:p>
      <w:pPr>
        <w:spacing w:after="0" w:line="96" w:lineRule="exact"/>
        <w:rPr>
          <w:sz w:val="20"/>
          <w:szCs w:val="20"/>
          <w:color w:val="auto"/>
        </w:rPr>
      </w:pPr>
    </w:p>
    <w:p>
      <w:pPr>
        <w:ind w:right="1999" w:firstLine="211"/>
        <w:spacing w:after="0" w:line="293" w:lineRule="auto"/>
        <w:rPr>
          <w:sz w:val="20"/>
          <w:szCs w:val="20"/>
          <w:color w:val="auto"/>
        </w:rPr>
      </w:pPr>
      <w:r>
        <w:rPr>
          <w:rFonts w:ascii="Courier New" w:cs="Courier New" w:eastAsia="Courier New" w:hAnsi="Courier New"/>
          <w:sz w:val="16"/>
          <w:szCs w:val="16"/>
          <w:color w:val="auto"/>
        </w:rPr>
        <w:t>If any Interest Payment Date or the Maturity Date of a Fixed Rate Note falls on a day that is not a Business Day, the required payment of principal, premium, if any, and/or interest will be made on the next succeeding Business Day with the same force and effect as if made on the date such payment was due, and no interest will accrue on such payment for the period from and after such Interest Payment Date or the Maturity Date, as the case may be, to the date of such payment on the next succeeding Business Day.</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Floating Rate Notes</w:t>
      </w:r>
    </w:p>
    <w:p>
      <w:pPr>
        <w:spacing w:after="0" w:line="31" w:lineRule="exact"/>
        <w:rPr>
          <w:sz w:val="20"/>
          <w:szCs w:val="20"/>
          <w:color w:val="auto"/>
        </w:rPr>
      </w:pPr>
    </w:p>
    <w:p>
      <w:pPr>
        <w:ind w:right="1999" w:firstLine="211"/>
        <w:spacing w:after="0" w:line="243" w:lineRule="auto"/>
        <w:rPr>
          <w:sz w:val="20"/>
          <w:szCs w:val="20"/>
          <w:color w:val="auto"/>
        </w:rPr>
      </w:pPr>
      <w:r>
        <w:rPr>
          <w:rFonts w:ascii="Courier New" w:cs="Courier New" w:eastAsia="Courier New" w:hAnsi="Courier New"/>
          <w:sz w:val="18"/>
          <w:szCs w:val="18"/>
          <w:color w:val="auto"/>
        </w:rPr>
        <w:t>Unless otherwise specified in the applicable Pricing Supplement, Floating Rate Notes will be issued as described below. The applicable Pricing Supplement will specify certain terms with respect to which each Floating Rate Note is being delivered, including: whether such Floating Rate Note is a "Regular Floating Rate Note," a "Floating Rate/Fixed Rate Note" or an "Inverse Floating Rate Note," the Fixed Rate Commencement Date, if applicable, Fixed Interest Rate, if applicable, Interest Rate Basis or Bases, Initial Interest Rate, if any, Initial Interest Reset Date, Interest Reset Period and Dates, Interest Payment Period and Dates, Index Maturity, Maximum Interest Rate and/or Minimum Interest Rate, if any, and Spread and/or Spread Multiplier, if any, as such terms are defined below. If one or more of the applicable Interest Rate Bases is LIBOR or the CMT Rate, the applicable Pricing Supplement will specify the Index Currency, if any, and Designated LIBOR Page or the Designated CMT Maturity Index and Designated CMT Telerate Page, respectively, as such terms are defined below.</w:t>
      </w:r>
    </w:p>
    <w:p>
      <w:pPr>
        <w:spacing w:after="0" w:line="112" w:lineRule="exact"/>
        <w:rPr>
          <w:sz w:val="20"/>
          <w:szCs w:val="20"/>
          <w:color w:val="auto"/>
        </w:rPr>
      </w:pPr>
    </w:p>
    <w:p>
      <w:pPr>
        <w:ind w:right="2419" w:firstLine="211"/>
        <w:spacing w:after="0" w:line="347" w:lineRule="auto"/>
        <w:rPr>
          <w:sz w:val="20"/>
          <w:szCs w:val="20"/>
          <w:color w:val="auto"/>
        </w:rPr>
      </w:pPr>
      <w:r>
        <w:rPr>
          <w:rFonts w:ascii="Courier New" w:cs="Courier New" w:eastAsia="Courier New" w:hAnsi="Courier New"/>
          <w:sz w:val="18"/>
          <w:szCs w:val="18"/>
          <w:color w:val="auto"/>
        </w:rPr>
        <w:t>The interest rate borne by the Floating Rate Notes will be determined as follows:</w:t>
      </w:r>
    </w:p>
    <w:p>
      <w:pPr>
        <w:spacing w:after="0" w:line="18" w:lineRule="exact"/>
        <w:rPr>
          <w:sz w:val="20"/>
          <w:szCs w:val="20"/>
          <w:color w:val="auto"/>
        </w:rPr>
      </w:pPr>
    </w:p>
    <w:p>
      <w:pPr>
        <w:ind w:right="1999" w:firstLine="219"/>
        <w:spacing w:after="0" w:line="287" w:lineRule="auto"/>
        <w:tabs>
          <w:tab w:leader="none" w:pos="63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such Floating Rate Note is designated as a "Floating Rate/Fixed Rate Note," or an "Inverse Floating Rate Note" or as having an Addendum attached or having "Other/Additional Provisions" apply relating to a different interest rate formula, such Floating Rate Note will be designated as a "Regular Floating Rate Note" and, except as described below or in the applicable Pricing Supplement, will bear interest at the rate determined by reference to the applicable Interest Rate Basis or Bases (a) plus or minus the applicable Spread, if any, and/or (b) multiplied by the applicable Spread Multiplier, if any. Commencing on the Initial Interest Reset Date, the rate at</w:t>
      </w:r>
    </w:p>
    <w:p>
      <w:pPr>
        <w:sectPr>
          <w:pgSz w:w="11900" w:h="16838" w:orient="portrait"/>
          <w:cols w:equalWidth="0" w:num="1">
            <w:col w:w="10219"/>
          </w:cols>
          <w:pgMar w:left="240" w:top="691" w:right="1440" w:bottom="0" w:gutter="0" w:footer="0" w:header="0"/>
        </w:sectPr>
      </w:pPr>
    </w:p>
    <w:bookmarkStart w:id="11" w:name="page12"/>
    <w:bookmarkEnd w:id="11"/>
    <w:p>
      <w:pPr>
        <w:ind w:left="2820"/>
        <w:spacing w:after="0"/>
        <w:rPr>
          <w:sz w:val="20"/>
          <w:szCs w:val="20"/>
          <w:color w:val="auto"/>
        </w:rPr>
      </w:pPr>
      <w:r>
        <w:rPr>
          <w:rFonts w:ascii="Courier New" w:cs="Courier New" w:eastAsia="Courier New" w:hAnsi="Courier New"/>
          <w:sz w:val="16"/>
          <w:szCs w:val="16"/>
          <w:color w:val="auto"/>
        </w:rPr>
        <w:t>S-8</w:t>
      </w:r>
    </w:p>
    <w:p>
      <w:pPr>
        <w:sectPr>
          <w:pgSz w:w="11900" w:h="16838" w:orient="portrait"/>
          <w:cols w:equalWidth="0" w:num="1">
            <w:col w:w="9019"/>
          </w:cols>
          <w:pgMar w:left="1440" w:top="312" w:right="1440" w:bottom="1440" w:gutter="0" w:footer="0" w:header="0"/>
        </w:sectPr>
      </w:pPr>
    </w:p>
    <w:bookmarkStart w:id="12" w:name="page13"/>
    <w:bookmarkEnd w:id="12"/>
    <w:p>
      <w:pPr>
        <w:ind w:right="2199"/>
        <w:spacing w:after="0" w:line="274" w:lineRule="auto"/>
        <w:rPr>
          <w:sz w:val="20"/>
          <w:szCs w:val="20"/>
          <w:color w:val="auto"/>
        </w:rPr>
      </w:pPr>
      <w:r>
        <w:rPr>
          <w:rFonts w:ascii="Courier New" w:cs="Courier New" w:eastAsia="Courier New" w:hAnsi="Courier New"/>
          <w:sz w:val="18"/>
          <w:szCs w:val="18"/>
          <w:color w:val="auto"/>
        </w:rPr>
        <w:t>which interest on such Regular Floating Rate Note shall be payable shall be reset as of each Interest Reset Date; provided, however, that the interest rate in effect for the period, if any, from the date of issue to the Initial Interest Reset Date will be the Initial Interest Rate.</w:t>
      </w:r>
    </w:p>
    <w:p>
      <w:pPr>
        <w:spacing w:after="0" w:line="82" w:lineRule="exact"/>
        <w:rPr>
          <w:sz w:val="20"/>
          <w:szCs w:val="20"/>
          <w:color w:val="auto"/>
        </w:rPr>
      </w:pPr>
    </w:p>
    <w:p>
      <w:pPr>
        <w:ind w:right="1999" w:firstLine="219"/>
        <w:spacing w:after="0" w:line="279" w:lineRule="auto"/>
        <w:tabs>
          <w:tab w:leader="none" w:pos="73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Floating Rate Note is designated as a "Floating Rate/Fixed Rate Note," then, except as described below or in the applicable Pricing Supplement, such Floating Rate Note will bear interest at the rate determined by reference to the applicable Interest Rate Basis or Bases (a) plus or minus the applicable Spread, if any, and/or (b) multiplied by the applicable Spread Multiplier, if any. Commencing on the Initial Interest Reset Date, the rate at which interest on such Floating Rate/Fixed Rate Note shall be payable shall be reset as of each Interest Reset Date; provided, however, that (y) the interest rate in effect for the period, if any, from the date of issue to the Initial Interest Reset Date will be the Initial Interest Rate and (z) the interest rate in effect for the period commencing on the Fixed Rate Commencement Date to the Maturity Date shall be the Fixed Interest Rate, if such rate is specified in the applicable Pricing Supplement or, if no such Fixed Interest Rate is specified, the interest rate in effect thereon on the day immediately preceding the Fixed Rate Commencement Date.</w:t>
      </w:r>
    </w:p>
    <w:p>
      <w:pPr>
        <w:spacing w:after="0" w:line="291" w:lineRule="exact"/>
        <w:rPr>
          <w:rFonts w:ascii="Courier New" w:cs="Courier New" w:eastAsia="Courier New" w:hAnsi="Courier New"/>
          <w:sz w:val="16"/>
          <w:szCs w:val="16"/>
          <w:color w:val="auto"/>
        </w:rPr>
      </w:pPr>
    </w:p>
    <w:p>
      <w:pPr>
        <w:ind w:right="1999" w:firstLine="219"/>
        <w:spacing w:after="0" w:line="24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Floating Rate Note is designated as an "Inverse Floating Rate Note," then, except as described below or in the applicable Pricing Supplement, such Floating Rate Note will bear interest at the Fixed Interest Rate minus the rate determined by reference to the applicable Interest Rate Basis or Bases (a) plus or minus the applicable Spread, if any, and/or (b) multiplied by the applicable Spread Multiplier, if any; provided, however, that, unless otherwise specified in the applicable Pricing Supplement, the interest rate thereon will not be less than zero. Commencing on the Initial Interest Reset Date, the rate at which interest on such Inverse Floating Rate Note shall be payable shall be reset as of each Interest Reset Date; provided, however, that the interest rate in effect for the period, if any, from the date of issue to the Initial Interest Reset Date will be the Initial Interest Rate.</w:t>
      </w:r>
    </w:p>
    <w:p>
      <w:pPr>
        <w:spacing w:after="0" w:line="108" w:lineRule="exact"/>
        <w:rPr>
          <w:sz w:val="20"/>
          <w:szCs w:val="20"/>
          <w:color w:val="auto"/>
        </w:rPr>
      </w:pPr>
    </w:p>
    <w:p>
      <w:pPr>
        <w:ind w:right="1999" w:firstLine="211"/>
        <w:spacing w:after="0" w:line="253" w:lineRule="auto"/>
        <w:rPr>
          <w:sz w:val="20"/>
          <w:szCs w:val="20"/>
          <w:color w:val="auto"/>
        </w:rPr>
      </w:pPr>
      <w:r>
        <w:rPr>
          <w:rFonts w:ascii="Courier New" w:cs="Courier New" w:eastAsia="Courier New" w:hAnsi="Courier New"/>
          <w:sz w:val="18"/>
          <w:szCs w:val="18"/>
          <w:color w:val="auto"/>
        </w:rPr>
        <w:t>The "Spread" is the number of basis points to be added to or subtracted from the related Interest Rate Basis or Bases applicable to such Floating Rate Note. The "Spread Multiplier" is the percentage of the related Interest Rate Basis or Bases applicable to such Floating Rate Note by which such Interest Rate Basis or Bases will be multiplied to determine the applicable interest rate on such Floating Rate Note. The "Index Maturity" is the period to maturity of the instrument or obligation with respect to which the related Interest Rate Basis or Bases will be calculated.</w:t>
      </w:r>
    </w:p>
    <w:p>
      <w:pPr>
        <w:spacing w:after="0" w:line="104" w:lineRule="exact"/>
        <w:rPr>
          <w:sz w:val="20"/>
          <w:szCs w:val="20"/>
          <w:color w:val="auto"/>
        </w:rPr>
      </w:pPr>
    </w:p>
    <w:p>
      <w:pPr>
        <w:ind w:right="2099" w:firstLine="211"/>
        <w:spacing w:after="0" w:line="287" w:lineRule="auto"/>
        <w:rPr>
          <w:sz w:val="20"/>
          <w:szCs w:val="20"/>
          <w:color w:val="auto"/>
        </w:rPr>
      </w:pPr>
      <w:r>
        <w:rPr>
          <w:rFonts w:ascii="Courier New" w:cs="Courier New" w:eastAsia="Courier New" w:hAnsi="Courier New"/>
          <w:sz w:val="16"/>
          <w:szCs w:val="16"/>
          <w:color w:val="auto"/>
        </w:rPr>
        <w:t>Unless otherwise specified in the applicable Pricing Supplement, the interest rate with respect to each Interest Rate Basis will be determined in accordance with the applicable provisions below. Except as set forth above or in the applicable Pricing Supplement, the interest rate in effect on each day shall be (i) if such day is an Interest Reset Date, the interest rate determined as of the Interest Determination Date (as defined below) immediately preceding such Interest Reset Date or (ii) if such day is not an Interest Reset Date, the interest rate determined as of the Interest Determination Date immediately preceding the most recent Interest Reset Date.</w:t>
      </w:r>
    </w:p>
    <w:p>
      <w:pPr>
        <w:spacing w:after="0" w:line="75" w:lineRule="exact"/>
        <w:rPr>
          <w:sz w:val="20"/>
          <w:szCs w:val="20"/>
          <w:color w:val="auto"/>
        </w:rPr>
      </w:pPr>
    </w:p>
    <w:p>
      <w:pPr>
        <w:ind w:right="1999" w:firstLine="211"/>
        <w:spacing w:after="0" w:line="279" w:lineRule="auto"/>
        <w:rPr>
          <w:sz w:val="20"/>
          <w:szCs w:val="20"/>
          <w:color w:val="auto"/>
        </w:rPr>
      </w:pPr>
      <w:r>
        <w:rPr>
          <w:rFonts w:ascii="Courier New" w:cs="Courier New" w:eastAsia="Courier New" w:hAnsi="Courier New"/>
          <w:sz w:val="16"/>
          <w:szCs w:val="16"/>
          <w:color w:val="auto"/>
        </w:rPr>
        <w:t>Interest on Floating Rate Notes will be determined by reference to the applicable Interest Rate Basis or Interest Rate Bases, which may, as described below, include (i) the CD Rate, (ii) the CMT Rate, (iii) the Commercial Paper Rate, (iv) the Eleventh District Cost of Funds Rate, (v) the Federal Funds Rate, (vi) LIBOR, (vii) the Prime Rate, (viii) the Treasury Rate, or (ix) such other Interest Rate Basis or interest rate formula as may be specified in the applicable Pricing Supplement, provided, however, that the interest rate in effect on a Floating Rate Note for the period, if any, from the date of issue to the Initial Interest Reset Date will be the Initial Interest Rate; provided, further, that with respect to a Floating Rate/Fixed Rate Note the interest rate in effect for the period commencing on the Fixed Rate Commencement Date to the Maturity Date shall be the Fixed Interest Rate, if such rate is specified in the applicable Pricing Supplement or, if no such Fixed Interest Rate is specified, the interest rate in effect thereon on the day immediately preceding the Fixed Rate Commencement Date.</w:t>
      </w:r>
    </w:p>
    <w:p>
      <w:pPr>
        <w:spacing w:after="0" w:line="291" w:lineRule="exact"/>
        <w:rPr>
          <w:sz w:val="20"/>
          <w:szCs w:val="20"/>
          <w:color w:val="auto"/>
        </w:rPr>
      </w:pPr>
    </w:p>
    <w:p>
      <w:pPr>
        <w:ind w:right="1999" w:firstLine="211"/>
        <w:spacing w:after="0" w:line="289" w:lineRule="auto"/>
        <w:rPr>
          <w:sz w:val="20"/>
          <w:szCs w:val="20"/>
          <w:color w:val="auto"/>
        </w:rPr>
      </w:pPr>
      <w:r>
        <w:rPr>
          <w:rFonts w:ascii="Courier New" w:cs="Courier New" w:eastAsia="Courier New" w:hAnsi="Courier New"/>
          <w:sz w:val="16"/>
          <w:szCs w:val="16"/>
          <w:color w:val="auto"/>
        </w:rPr>
        <w:t>The applicable Pricing Supplement will specify whether the rate of interest on the related Floating Rate Note will be reset daily, weekly, monthly, quarterly, semiannually or annually or on such other specified basis (each, an "Interest Reset Period") and the dates on which such rate of interest will be reset (each, an "Interest Reset Date"). Unless otherwise specified in the applicable Pricing Supplement, the Interest Reset Dates will be, in the case of Floating Rate Notes which reset: (i) daily, each Business Day; (ii) weekly, the Wednesday of each week (with the exception of weekly reset Floating Rate</w:t>
      </w:r>
    </w:p>
    <w:p>
      <w:pPr>
        <w:sectPr>
          <w:pgSz w:w="11900" w:h="16838" w:orient="portrait"/>
          <w:cols w:equalWidth="0" w:num="1">
            <w:col w:w="10219"/>
          </w:cols>
          <w:pgMar w:left="240" w:top="691" w:right="1440" w:bottom="0" w:gutter="0" w:footer="0" w:header="0"/>
        </w:sectPr>
      </w:pPr>
    </w:p>
    <w:bookmarkStart w:id="13" w:name="page14"/>
    <w:bookmarkEnd w:id="13"/>
    <w:p>
      <w:pPr>
        <w:ind w:right="2519"/>
        <w:spacing w:after="0" w:line="289" w:lineRule="auto"/>
        <w:rPr>
          <w:sz w:val="20"/>
          <w:szCs w:val="20"/>
          <w:color w:val="auto"/>
        </w:rPr>
      </w:pPr>
      <w:r>
        <w:rPr>
          <w:rFonts w:ascii="Courier New" w:cs="Courier New" w:eastAsia="Courier New" w:hAnsi="Courier New"/>
          <w:sz w:val="16"/>
          <w:szCs w:val="16"/>
          <w:color w:val="auto"/>
        </w:rPr>
        <w:t>Notes as to which the Treasury Rate is an applicable Interest Rate Basis, which will reset the Tuesday of each week, except as described below);</w:t>
      </w:r>
    </w:p>
    <w:p>
      <w:pPr>
        <w:spacing w:after="0" w:line="1" w:lineRule="exact"/>
        <w:rPr>
          <w:sz w:val="20"/>
          <w:szCs w:val="20"/>
          <w:color w:val="auto"/>
        </w:rPr>
      </w:pPr>
    </w:p>
    <w:p>
      <w:pPr>
        <w:ind w:left="4020" w:right="5779" w:hanging="4012"/>
        <w:spacing w:after="0" w:line="646" w:lineRule="auto"/>
        <w:tabs>
          <w:tab w:leader="none" w:pos="649"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monthly, the third Wednesday of each S-9</w:t>
      </w:r>
    </w:p>
    <w:p>
      <w:pPr>
        <w:sectPr>
          <w:pgSz w:w="11900" w:h="16838" w:orient="portrait"/>
          <w:cols w:equalWidth="0" w:num="1">
            <w:col w:w="10219"/>
          </w:cols>
          <w:pgMar w:left="240" w:top="110" w:right="1440" w:bottom="1440" w:gutter="0" w:footer="0" w:header="0"/>
        </w:sectPr>
      </w:pPr>
    </w:p>
    <w:bookmarkStart w:id="14" w:name="page15"/>
    <w:bookmarkEnd w:id="14"/>
    <w:p>
      <w:pPr>
        <w:ind w:right="1999"/>
        <w:spacing w:after="0" w:line="244" w:lineRule="auto"/>
        <w:rPr>
          <w:sz w:val="20"/>
          <w:szCs w:val="20"/>
          <w:color w:val="auto"/>
        </w:rPr>
      </w:pPr>
      <w:r>
        <w:rPr>
          <w:rFonts w:ascii="Courier New" w:cs="Courier New" w:eastAsia="Courier New" w:hAnsi="Courier New"/>
          <w:sz w:val="18"/>
          <w:szCs w:val="18"/>
          <w:color w:val="auto"/>
        </w:rPr>
        <w:t>month (with the exception of monthly reset Floating Rate Notes as to which the Eleventh District Cost of Funds Rate is an applicable Interest Rate Basis, which will reset on the first calendar day of the month); (iv) quarterly, the third Wednesday of March, June, September and December of each year; (v) semiannually, the third Wednesday of the two months specified in the applicable Pricing Supplement; and (vi) annually, the third Wednesday of the month specified in the applicable Pricing Supplement; provided, however, that, with respect to Floating Rate/Fixed Rate Notes, the rate of interest thereon will not reset after the applicable Fixed Rate Commencement Date. If any Interest Reset Date for any Floating Rate Note would otherwise be a day that is not a Business Day, such Interest Reset Date will be postponed to the next succeeding Business Day, except that in the case of a Floating Rate Note as to which LIBOR is an applicable Interest Rate Basis and such Business Day falls in the next succeeding calendar month, such Interest Reset Date will be the immediately preceding Business Day. In addition, in the case of a Floating Rate Note as to which the Treasury Rate is an applicable Interest Rate Basis and the Interest Determination Date would otherwise fall on an Interest Reset Date, then such Interest Reset Date will be postponed to the next succeeding Business Day.</w:t>
      </w:r>
    </w:p>
    <w:p>
      <w:pPr>
        <w:spacing w:after="0" w:line="113"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The interest rate applicable to each Interest Reset Period commencing on the related Interest Reset Date will be the rate determined as of the applicable Interest Determination Date and calculated on or prior to the Calculation Date (as defined below), except with respect to LIBOR and the Eleventh District Cost of Funds Rate, which will be calculated as of such Interest Determination Date. The "Interest Determination Date" with respect to the CD Rate, the CMT Rate, the Commercial Paper Rate, the Federal Funds Rate and the Prime Rate will be the second Business Day immediately preceding the applicable Interest Reset Date; the "Interest Determination Date" with respect to the Eleventh District Cost of Funds Rate will be the last business day of the month immediately preceding the applicable Interest Reset Date on which the Federal Home Loan Bank of San Francisco (the "FHLB of San Francisco") publishes the Index (as defined below); and the "Interest Determination Date" with respect to LIBOR will be the second London Business Day immediately preceding the applicable Interest Reset Date, unless the Index Currency is British pounds sterling, in which case the "Interest Determination Date" will be the applicable Interest Reset Date. With respect to the Treasury Rate, the "Interest Determination Date" will be the day in the week in which the applicable Interest Reset Date falls on which day Treasury Bills (as defined below) are normally auctioned (Treasury Bills are normally sold at an auction held on Monday of each week, unless that day is a legal holiday, in which case the auction is normally held on the following Tuesday, except that such auction may be held on the preceding Friday); provided, however, that if an auction is held on the Friday of the week preceding the applicable Interest Reset Date, the Interest Determination Date will be such preceding Friday. The "Interest Determination Date" pertaining to a Floating Rate Note the interest rate of which is determined by reference to two or more Interest Rate Bases will be the most recent Business Day which is at least two Business Days prior to the applicable Interest Reset Date for such Floating Rate Note on which each Interest Rate Basis is determinable. Each Interest Rate Basis will be determined as of such date, and the applicable interest rate will take effect on the applicable Interest Reset Date.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2099" w:firstLine="211"/>
        <w:spacing w:after="0" w:line="256" w:lineRule="auto"/>
        <w:rPr>
          <w:sz w:val="20"/>
          <w:szCs w:val="20"/>
          <w:color w:val="auto"/>
        </w:rPr>
      </w:pPr>
      <w:r>
        <w:rPr>
          <w:rFonts w:ascii="Courier New" w:cs="Courier New" w:eastAsia="Courier New" w:hAnsi="Courier New"/>
          <w:sz w:val="18"/>
          <w:szCs w:val="18"/>
          <w:color w:val="auto"/>
        </w:rPr>
        <w:t>A Floating Rate Note may also have either or both of the following: (i) a Maximum Interest Rate, or ceiling, that may accrue during any Interest Period and (ii) a Minimum Interest Rate, or floor, that may accrue during any Interest Period. In addition to any Maximum Interest Rate that may apply to any Floating Rate Note, the interest rate on Floating Rate Notes will in no event be higher than the maximum rate permitted by New York law, as the same may be modified by United States law of general application.</w:t>
      </w:r>
    </w:p>
    <w:p>
      <w:pPr>
        <w:spacing w:after="0" w:line="98" w:lineRule="exact"/>
        <w:rPr>
          <w:sz w:val="20"/>
          <w:szCs w:val="20"/>
          <w:color w:val="auto"/>
        </w:rPr>
      </w:pPr>
    </w:p>
    <w:p>
      <w:pPr>
        <w:ind w:right="1999" w:firstLine="211"/>
        <w:spacing w:after="0" w:line="277" w:lineRule="auto"/>
        <w:rPr>
          <w:sz w:val="20"/>
          <w:szCs w:val="20"/>
          <w:color w:val="auto"/>
        </w:rPr>
      </w:pPr>
      <w:r>
        <w:rPr>
          <w:rFonts w:ascii="Courier New" w:cs="Courier New" w:eastAsia="Courier New" w:hAnsi="Courier New"/>
          <w:sz w:val="16"/>
          <w:szCs w:val="16"/>
          <w:color w:val="auto"/>
        </w:rPr>
        <w:t>Except as provided below or in the applicable Pricing Supplement, interest will be payable, in the case of Floating Rate Notes which reset: (i) daily, weekly or monthly, on the third Wednesday of each month or the third Wednesday of March, June, September and December of each year, as specified in the applicable Pricing Supplement; (ii) quarterly, on the third Wednesday of March, June, September and December of each year; (iii) semiannually, on the third Wednesday of the two months of each year specified in the applicable Pricing Supplement; and (iv) annually, on the third Wednesday of the month of each year specified in the applicable Pricing Supplement (each, an "Interest Payment Date") and, in each case, on the Maturity Date. If any Interest Payment Date other than the Maturity Date for any Floating Rate Note would otherwise be a day that is not a Business Day, such Interest Payment Date will be postponed to the next succeeding Business Day, except that in the case of a Floating Rate Note as to which LIBOR is an applicable Interest Rate Basis and such Business Day falls in the next succeeding calendar month, such Interest Payment Date will be the immediately preceding Business Day. If the Maturity Date of a Floating Rate Note falls on a day that is not a Business Day, the</w:t>
      </w:r>
    </w:p>
    <w:p>
      <w:pPr>
        <w:sectPr>
          <w:pgSz w:w="11900" w:h="16838" w:orient="portrait"/>
          <w:cols w:equalWidth="0" w:num="1">
            <w:col w:w="10219"/>
          </w:cols>
          <w:pgMar w:left="240" w:top="691" w:right="1440" w:bottom="0" w:gutter="0" w:footer="0" w:header="0"/>
        </w:sectPr>
      </w:pPr>
    </w:p>
    <w:bookmarkStart w:id="15" w:name="page16"/>
    <w:bookmarkEnd w:id="15"/>
    <w:p>
      <w:pPr>
        <w:ind w:right="2199"/>
        <w:spacing w:after="0" w:line="347" w:lineRule="auto"/>
        <w:rPr>
          <w:sz w:val="20"/>
          <w:szCs w:val="20"/>
          <w:color w:val="auto"/>
        </w:rPr>
      </w:pPr>
      <w:r>
        <w:rPr>
          <w:rFonts w:ascii="Courier New" w:cs="Courier New" w:eastAsia="Courier New" w:hAnsi="Courier New"/>
          <w:sz w:val="18"/>
          <w:szCs w:val="18"/>
          <w:color w:val="auto"/>
        </w:rPr>
        <w:t>required payment of principal, premium, if any, and interest will be made on the</w:t>
      </w:r>
    </w:p>
    <w:p>
      <w:pPr>
        <w:spacing w:after="0" w:line="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S-10</w:t>
      </w:r>
    </w:p>
    <w:p>
      <w:pPr>
        <w:sectPr>
          <w:pgSz w:w="11900" w:h="16838" w:orient="portrait"/>
          <w:cols w:equalWidth="0" w:num="1">
            <w:col w:w="10219"/>
          </w:cols>
          <w:pgMar w:left="240" w:top="110" w:right="1440" w:bottom="1440" w:gutter="0" w:footer="0" w:header="0"/>
        </w:sectPr>
      </w:pPr>
    </w:p>
    <w:bookmarkStart w:id="16" w:name="page17"/>
    <w:bookmarkEnd w:id="16"/>
    <w:p>
      <w:pPr>
        <w:ind w:right="1999"/>
        <w:spacing w:after="0" w:line="274" w:lineRule="auto"/>
        <w:rPr>
          <w:sz w:val="20"/>
          <w:szCs w:val="20"/>
          <w:color w:val="auto"/>
        </w:rPr>
      </w:pPr>
      <w:r>
        <w:rPr>
          <w:rFonts w:ascii="Courier New" w:cs="Courier New" w:eastAsia="Courier New" w:hAnsi="Courier New"/>
          <w:sz w:val="18"/>
          <w:szCs w:val="18"/>
          <w:color w:val="auto"/>
        </w:rPr>
        <w:t>next succeeding Business Day with the same force and effect as if made on the date such payment was due, and no interest will accrue on such payment for the period from and after the Maturity Date to the date of such payment on the next succeeding Business Day.</w:t>
      </w:r>
    </w:p>
    <w:p>
      <w:pPr>
        <w:spacing w:after="0" w:line="82" w:lineRule="exact"/>
        <w:rPr>
          <w:sz w:val="20"/>
          <w:szCs w:val="20"/>
          <w:color w:val="auto"/>
        </w:rPr>
      </w:pPr>
    </w:p>
    <w:p>
      <w:pPr>
        <w:ind w:right="1999" w:firstLine="211"/>
        <w:spacing w:after="0" w:line="282" w:lineRule="auto"/>
        <w:rPr>
          <w:sz w:val="20"/>
          <w:szCs w:val="20"/>
          <w:color w:val="auto"/>
        </w:rPr>
      </w:pPr>
      <w:r>
        <w:rPr>
          <w:rFonts w:ascii="Courier New" w:cs="Courier New" w:eastAsia="Courier New" w:hAnsi="Courier New"/>
          <w:sz w:val="16"/>
          <w:szCs w:val="16"/>
          <w:color w:val="auto"/>
        </w:rPr>
        <w:t>All percentages resulting from any calculation on Floating Rate Notes will be rounded to the nearest one hundred-thousandth of a percentage point, with five-one millionths of a percentage point rounded upwards (e.g., 9.876545% (or</w:t>
      </w:r>
    </w:p>
    <w:p>
      <w:pPr>
        <w:spacing w:after="0" w:line="1" w:lineRule="exact"/>
        <w:rPr>
          <w:sz w:val="20"/>
          <w:szCs w:val="20"/>
          <w:color w:val="auto"/>
        </w:rPr>
      </w:pPr>
    </w:p>
    <w:p>
      <w:pPr>
        <w:ind w:right="1999" w:firstLine="105"/>
        <w:spacing w:after="0" w:line="256" w:lineRule="auto"/>
        <w:rPr>
          <w:sz w:val="20"/>
          <w:szCs w:val="20"/>
          <w:color w:val="auto"/>
        </w:rPr>
      </w:pPr>
      <w:r>
        <w:rPr>
          <w:rFonts w:ascii="Courier New" w:cs="Courier New" w:eastAsia="Courier New" w:hAnsi="Courier New"/>
          <w:sz w:val="18"/>
          <w:szCs w:val="18"/>
          <w:color w:val="auto"/>
        </w:rPr>
        <w:t>.09876545) would be rounded to 9.87655% (or .0987655)), and all amounts used in or resulting from such calculation on Floating Rate Notes will be rounded, in the case of United States dollars, to the nearest cent or, in the case of a foreign currency or composite currency, to the nearest unit (with one-half cent or unit being rounded upwards).</w:t>
      </w:r>
    </w:p>
    <w:p>
      <w:pPr>
        <w:spacing w:after="0" w:line="96" w:lineRule="exact"/>
        <w:rPr>
          <w:sz w:val="20"/>
          <w:szCs w:val="20"/>
          <w:color w:val="auto"/>
        </w:rPr>
      </w:pPr>
    </w:p>
    <w:p>
      <w:pPr>
        <w:ind w:right="1999" w:firstLine="211"/>
        <w:spacing w:after="0" w:line="245" w:lineRule="auto"/>
        <w:rPr>
          <w:sz w:val="20"/>
          <w:szCs w:val="20"/>
          <w:color w:val="auto"/>
        </w:rPr>
      </w:pPr>
      <w:r>
        <w:rPr>
          <w:rFonts w:ascii="Courier New" w:cs="Courier New" w:eastAsia="Courier New" w:hAnsi="Courier New"/>
          <w:sz w:val="18"/>
          <w:szCs w:val="18"/>
          <w:color w:val="auto"/>
        </w:rPr>
        <w:t>With respect to each Floating Rate Note, accrued interest is calculated by multiplying its principal amount by an accrued interest factor. Such accrued interest factor is computed by adding the interest factor calculated for each day in the applicable Interest Period. Unless otherwise specified in the applicable Pricing Supplement, the interest factor for each day will be computed by dividing the interest rate applicable to such day by 360, in the case of Floating Rate Notes for which an applicable Interest Rate Basis is the CD Rate, the Commercial Paper Rate, the Eleventh District Cost of Funds Rate, the Federal Funds Rate, LIBOR or the Prime Rate, or by the actual number of days in the year in the case of Floating Rate Notes for which an applicable Interest Rate Basis is the CMT Rate or the Treasury Rate. Unless otherwise specified in the applicable Pricing Supplement, the interest factor for Floating Rate Notes for which the interest rate is calculated with reference to two or more Interest Rate Bases will be calculated in each period in the same manner as if only one of the applicable Interest Rate Bases applied as specified in the applicable Pricing Supplement.</w:t>
      </w:r>
    </w:p>
    <w:p>
      <w:pPr>
        <w:spacing w:after="0" w:line="113" w:lineRule="exact"/>
        <w:rPr>
          <w:sz w:val="20"/>
          <w:szCs w:val="20"/>
          <w:color w:val="auto"/>
        </w:rPr>
      </w:pPr>
    </w:p>
    <w:p>
      <w:pPr>
        <w:ind w:right="1999" w:firstLine="211"/>
        <w:spacing w:after="0" w:line="282" w:lineRule="auto"/>
        <w:rPr>
          <w:sz w:val="20"/>
          <w:szCs w:val="20"/>
          <w:color w:val="auto"/>
        </w:rPr>
      </w:pPr>
      <w:r>
        <w:rPr>
          <w:rFonts w:ascii="Courier New" w:cs="Courier New" w:eastAsia="Courier New" w:hAnsi="Courier New"/>
          <w:sz w:val="16"/>
          <w:szCs w:val="16"/>
          <w:color w:val="auto"/>
        </w:rPr>
        <w:t>Unless otherwise specified in the applicable Pricing Supplement, First Union National Bank will be the "Calculation Agent" with respect to any Floating Rate Note. Upon request of the Holder of any Floating Rate Note, the Calculation Agent will disclose the interest rate then in effect and, if determined, the interest rate that will become effective as a result of a determination made for the next succeeding Interest Reset Date with respect to such Floating Rate Note. Unless otherwise specified in the applicable Pricing Supplement, the "Calculation Date," if applicable, pertaining to any Interest Determination Date will be the earlier of (i) the tenth calendar day after such Interest Determination Date, or, if such day is not a Business Day, the next succeeding Business Day or (ii) the Business Day immediately preceding the applicable Interest Payment Date or the Maturity Date, as the case may be.</w:t>
      </w:r>
    </w:p>
    <w:p>
      <w:pPr>
        <w:spacing w:after="0" w:line="78" w:lineRule="exact"/>
        <w:rPr>
          <w:sz w:val="20"/>
          <w:szCs w:val="20"/>
          <w:color w:val="auto"/>
        </w:rPr>
      </w:pPr>
    </w:p>
    <w:p>
      <w:pPr>
        <w:ind w:right="2099" w:firstLine="211"/>
        <w:spacing w:after="0" w:line="292" w:lineRule="auto"/>
        <w:rPr>
          <w:sz w:val="20"/>
          <w:szCs w:val="20"/>
          <w:color w:val="auto"/>
        </w:rPr>
      </w:pPr>
      <w:r>
        <w:rPr>
          <w:rFonts w:ascii="Courier New" w:cs="Courier New" w:eastAsia="Courier New" w:hAnsi="Courier New"/>
          <w:sz w:val="18"/>
          <w:szCs w:val="18"/>
          <w:color w:val="auto"/>
        </w:rPr>
        <w:t>Unless otherwise specified in the applicable Pricing Supplement, the Calculation Agent shall determine each Interest Rate Basis in accordance with the following provisions.</w:t>
      </w:r>
    </w:p>
    <w:p>
      <w:pPr>
        <w:spacing w:after="0" w:line="66"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CD Rate. Unless otherwise specified in the applicable Pricing Supplement, "CD Rate" means, with respect to any Interest Determination Date relating to a Floating Rate Note for which the interest rate is determined with reference to the CD Rate (a "CD Rate Interest Determination Date"), the rate on such date for negotiable United States dollar certificates of deposit having the Index Maturity specified in the applicable Pricing Supplement as published by the Board of Governors of the Federal Reserve System in "Statistical Release H.15(519), Selected Interest Rates" or any successor publication ("H.15(519)") under the heading "CDs (Secondary Market)," or, if not published by 3:00 P.M., New York City time, on the related Calculation Date, the rate on such CD Rate Interest Determination Date for negotiable United States dollar certificates of deposit of the Index Maturity specified in the applicable Pricing Supplement as published by the Federal Reserve Bank of New York in its daily statistical release "Composite 3:30 P.M. Quotations for U.S. Government Securities" or any successor publication ("Composite Quotations") under the heading "Certificates of Deposit." If such rate is not yet published in either H.15(519) or Composite Quotations by 3:00 P.M., New York City time, on the related Calculation Date, then the CD Rate on such CD Rate Interest Determination Date will be calculated by the Calculation Agent and will be the arithmetic mean of the secondary market offered rates as of 10:00 A.M., New York City time, on such CD Rate Interest Determination Date, of three leading nonbank dealers in negotiable United States dollar certificates of deposit in The City of New York (which may include any of the Agents or their affiliates) selected by the Calculation Agent for negotiable United States dollar certificates of deposit of major United States money center banks in the market for negotiable United States dollar certificates of deposit with a remaining maturity closest to the Index Maturity specified in the applicable Pricing Supplement in an amount that is representative for a single transaction in that market at that time; provided,</w:t>
      </w:r>
    </w:p>
    <w:p>
      <w:pPr>
        <w:sectPr>
          <w:pgSz w:w="11900" w:h="16838" w:orient="portrait"/>
          <w:cols w:equalWidth="0" w:num="1">
            <w:col w:w="10219"/>
          </w:cols>
          <w:pgMar w:left="240" w:top="691" w:right="1440" w:bottom="292" w:gutter="0" w:footer="0" w:header="0"/>
        </w:sectPr>
      </w:pPr>
    </w:p>
    <w:bookmarkStart w:id="17" w:name="page18"/>
    <w:bookmarkEnd w:id="17"/>
    <w:p>
      <w:pPr>
        <w:ind w:left="2700"/>
        <w:spacing w:after="0"/>
        <w:rPr>
          <w:sz w:val="20"/>
          <w:szCs w:val="20"/>
          <w:color w:val="auto"/>
        </w:rPr>
      </w:pPr>
      <w:r>
        <w:rPr>
          <w:rFonts w:ascii="Courier New" w:cs="Courier New" w:eastAsia="Courier New" w:hAnsi="Courier New"/>
          <w:sz w:val="16"/>
          <w:szCs w:val="16"/>
          <w:color w:val="auto"/>
        </w:rPr>
        <w:t>S-11</w:t>
      </w:r>
    </w:p>
    <w:p>
      <w:pPr>
        <w:sectPr>
          <w:pgSz w:w="11900" w:h="16838" w:orient="portrait"/>
          <w:cols w:equalWidth="0" w:num="1">
            <w:col w:w="9019"/>
          </w:cols>
          <w:pgMar w:left="1440" w:top="312" w:right="1440" w:bottom="1440" w:gutter="0" w:footer="0" w:header="0"/>
        </w:sectPr>
      </w:pPr>
    </w:p>
    <w:bookmarkStart w:id="18" w:name="page19"/>
    <w:bookmarkEnd w:id="18"/>
    <w:p>
      <w:pPr>
        <w:ind w:right="1999"/>
        <w:spacing w:after="0" w:line="274" w:lineRule="auto"/>
        <w:rPr>
          <w:sz w:val="20"/>
          <w:szCs w:val="20"/>
          <w:color w:val="auto"/>
        </w:rPr>
      </w:pPr>
      <w:r>
        <w:rPr>
          <w:rFonts w:ascii="Courier New" w:cs="Courier New" w:eastAsia="Courier New" w:hAnsi="Courier New"/>
          <w:sz w:val="18"/>
          <w:szCs w:val="18"/>
          <w:color w:val="auto"/>
        </w:rPr>
        <w:t>however, that if the dealers so selected by the Calculation Agent are not quoting as mentioned in this sentence, the CD Rate determined as of such CD Rate Interest Determination Date will be the CD Rate in effect on such CD Rate Interest Determination Date.</w:t>
      </w:r>
    </w:p>
    <w:p>
      <w:pPr>
        <w:spacing w:after="0" w:line="82"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CMT Rate. Unless otherwise specified in the applicable Pricing Supplement, "CMT Rate" means, with respect to any Interest Determination Date relating to a Floating Rate Note for which the interest rate is determined with reference to the CMT Rate (a "CMT Rate Interest Determination Date"), the rate displayed on the Designated CMT Telerate Page under the caption " . . . Treasury Constant Maturities . . . Federal Reserve Board Release H.15 . . . Mondays Approximately 3:45 P.M.," under the column for the Designated CMT Maturity Index for (i) if the Designated CMT Telerate Page is 7055, the rate on such CMT Rate Interest Determination Date and (ii) if the Designated CMT Telerate Page is 7052, the weekly or monthly average, as specified in the applicable Pricing Supplement, for the week or the month, as applicable, ended immediately preceding the week or month, as applicable, in which the related CMT Rate Interest Determination Date occurs. If such rate is no longer displayed on the relevant page or is not displayed by 3:00 P.M., New York City time, on the related Calculation Date, then the CMT Rate for such CMT Rate Interest Determination Date will be such treasury constant maturity rate for the Designated CMT Maturity Index as published in the relevant H.15(519). If such rate is no longer published or is not published by 3:00 P.M., New York City time, on the related Calculation Date, then the CMT Rate on such CMT Rate Interest Determination Date will be such treasury constant maturity rate for the Designated CMT Maturity Index (or other United States Treasury rate for the Designated CMT Maturity Index) for the CMT Rate Interest Determination Date with respect to such Interest Reset Date as may then be published by either the Board of Governors of the Federal Reserve System or the United States Department of the Treasury that the Calculation Agent determines to be comparable to the rate formerly displayed on the Designated CMT Telerate Page and published in the relevant H.15(519). If such information is not provided by 3:00 P.M., New York City time, on the related Calculation Date, then the CMT Rate on the CMT Rate Interest Determination Date will be calculated by the Calculation Agent and will be a yield to maturity, based on the arithmetic mean of the secondary market closing offer side prices as of approximately 3:30 P.M., New York City time, on such CMT Rate Interest Determination Date reported, according to their written records, by three leading primary United States government securities dealers (each, a "Reference Dealer") in The City of New York (which may include any of the Agents or their affiliates) selected by the Calculation Agent (from five such Reference Dealers selected by the Calculation Agent and eliminating the highest quotation (or, in the event of equality, one of the highest) and the lowest quotation (or, in the event of equality, one of the lowest)), for the most recently issued direct noncallable fixed rate obligations of the United States ("Treasury Notes") with an original maturity of approximately the Designated CMT Maturity Index and a remaining term to maturity of not less than such Designated CMT Maturity Index minus one year. If the Calculation Agent is unable to obtain three such Treasury Note quotations, the CMT Rate on such CMT Rate Interest Determination Date will be calculated by the Calculation Agent and will be a yield to maturity based on the arithmetic mean of the secondary market offer side prices as of approximately 3:30 P.M., New York City time, on such CMT Rate Interest Determination Date of three Reference Dealers in The City of New York (from five such Reference Dealers selected by the Calculation Agent and eliminating the highest quotation (or, in the event of equality, one of the highest) and the lowest quotation (or, in the event of equality, one of the lowest)), for Treasury Notes with an original maturity of the number of years that is the next highest to the Designated CMT Maturity Index and a remaining term to maturity closest to the Designated CMT Maturity Index and in an amount of at least $100,000,000. If three or four (and not five) of such Reference Dealers are quoting as described above, then the CMT Rate will be based on the arithmetic mean of the offer prices obtained and neither the highest nor the lowest of such quotes will be eliminated; provided, however, that if fewer than three Reference Dealers so selected by the Calculation Agent are quoting as mentioned herein, the CMT Rate determined as of such CMT Rate Interest Determination Date will be the CMT Rate in effect on such CMT Rate Interest Determination Date. If two Treasury Notes with an original maturity as described in the second preceding sentence have remaining terms to maturity equally close to the Designated CMT Maturity Index, the Calculation Agent will obtain quotations for the Treasury Note with the shorter remaining term to maturity and will use such quotations to calculate the CMT Rate as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1999" w:firstLine="211"/>
        <w:spacing w:after="0" w:line="306" w:lineRule="auto"/>
        <w:rPr>
          <w:sz w:val="20"/>
          <w:szCs w:val="20"/>
          <w:color w:val="auto"/>
        </w:rPr>
      </w:pPr>
      <w:r>
        <w:rPr>
          <w:rFonts w:ascii="Courier New" w:cs="Courier New" w:eastAsia="Courier New" w:hAnsi="Courier New"/>
          <w:sz w:val="16"/>
          <w:szCs w:val="16"/>
          <w:color w:val="auto"/>
        </w:rPr>
        <w:t>"Designated CMT Telerate Page" means the display on the Dow Jones Telerate Service (or any successor service) on the page specified in the applicable Pricing Supplement (or any other page as may replace such page on that service (or any successor service) for the purpose of displaying Treasury Constant Maturities as reported in H.15(519)) for the purpose of displaying Treasury</w:t>
      </w:r>
    </w:p>
    <w:p>
      <w:pPr>
        <w:sectPr>
          <w:pgSz w:w="11900" w:h="16838" w:orient="portrait"/>
          <w:cols w:equalWidth="0" w:num="1">
            <w:col w:w="10219"/>
          </w:cols>
          <w:pgMar w:left="240" w:top="691" w:right="1440" w:bottom="0" w:gutter="0" w:footer="0" w:header="0"/>
        </w:sectPr>
      </w:pPr>
    </w:p>
    <w:bookmarkStart w:id="19" w:name="page20"/>
    <w:bookmarkEnd w:id="19"/>
    <w:p>
      <w:pPr>
        <w:jc w:val="both"/>
        <w:ind w:right="2099"/>
        <w:spacing w:after="0" w:line="292" w:lineRule="auto"/>
        <w:rPr>
          <w:sz w:val="20"/>
          <w:szCs w:val="20"/>
          <w:color w:val="auto"/>
        </w:rPr>
      </w:pPr>
      <w:r>
        <w:rPr>
          <w:rFonts w:ascii="Courier New" w:cs="Courier New" w:eastAsia="Courier New" w:hAnsi="Courier New"/>
          <w:sz w:val="18"/>
          <w:szCs w:val="18"/>
          <w:color w:val="auto"/>
        </w:rPr>
        <w:t>Constant Maturities as reported in H.15(519). If no such page is specified in the applicable Pricing Supplement, the Designated CMT Telerate Page shall be 7052, for the most recent week.</w:t>
      </w:r>
    </w:p>
    <w:p>
      <w:pPr>
        <w:spacing w:after="0" w:line="26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S-12</w:t>
      </w:r>
    </w:p>
    <w:p>
      <w:pPr>
        <w:sectPr>
          <w:pgSz w:w="11900" w:h="16838" w:orient="portrait"/>
          <w:cols w:equalWidth="0" w:num="1">
            <w:col w:w="10219"/>
          </w:cols>
          <w:pgMar w:left="240" w:top="110" w:right="1440" w:bottom="1440" w:gutter="0" w:footer="0" w:header="0"/>
        </w:sectPr>
      </w:pPr>
    </w:p>
    <w:bookmarkStart w:id="20" w:name="page21"/>
    <w:bookmarkEnd w:id="20"/>
    <w:p>
      <w:pPr>
        <w:ind w:right="1999" w:firstLine="211"/>
        <w:spacing w:after="0" w:line="260" w:lineRule="auto"/>
        <w:rPr>
          <w:sz w:val="20"/>
          <w:szCs w:val="20"/>
          <w:color w:val="auto"/>
        </w:rPr>
      </w:pPr>
      <w:r>
        <w:rPr>
          <w:rFonts w:ascii="Courier New" w:cs="Courier New" w:eastAsia="Courier New" w:hAnsi="Courier New"/>
          <w:sz w:val="18"/>
          <w:szCs w:val="18"/>
          <w:color w:val="auto"/>
        </w:rPr>
        <w:t>"Designated CMT Maturity Index" means the original period to maturity of the U.S. Treasury securities (either one, two, three, five, seven, 10, 20 or 30 years) specified in the applicable Pricing Supplement with respect to which the CMT Rate will be calculated. If no such maturity is specified in the applicable Pricing Supplement, the Designated CMT Maturity Index shall be two years.</w:t>
      </w:r>
    </w:p>
    <w:p>
      <w:pPr>
        <w:spacing w:after="0" w:line="93" w:lineRule="exact"/>
        <w:rPr>
          <w:sz w:val="20"/>
          <w:szCs w:val="20"/>
          <w:color w:val="auto"/>
        </w:rPr>
      </w:pPr>
    </w:p>
    <w:p>
      <w:pPr>
        <w:ind w:right="2099" w:firstLine="211"/>
        <w:spacing w:after="0" w:line="276" w:lineRule="auto"/>
        <w:rPr>
          <w:sz w:val="20"/>
          <w:szCs w:val="20"/>
          <w:color w:val="auto"/>
        </w:rPr>
      </w:pPr>
      <w:r>
        <w:rPr>
          <w:rFonts w:ascii="Courier New" w:cs="Courier New" w:eastAsia="Courier New" w:hAnsi="Courier New"/>
          <w:sz w:val="16"/>
          <w:szCs w:val="16"/>
          <w:color w:val="auto"/>
        </w:rPr>
        <w:t>Commercial Paper Rate. Unless otherwise specified in the applicable Pricing Supplement, "Commercial Paper Rate" means, with respect to any Interest Determination Date relating to a Floating Rate Note for which the interest rate is determined with reference to the Commercial Paper Rate (a "Commercial Paper Rate Interest Determination Date"), the Money Market Yield (as defined</w:t>
      </w:r>
    </w:p>
    <w:p>
      <w:pPr>
        <w:spacing w:after="0" w:line="3"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below) on such date of the rate for commercial paper having the Index Maturity specified in the applicable Pricing Supplement as published in H.15(519) under the heading "Commercial Paper--Nonfinancial." In the event that such rate is not published by 3:00 P.M., New York City time, on the related Calculation</w:t>
      </w:r>
    </w:p>
    <w:p>
      <w:pPr>
        <w:spacing w:after="0" w:line="1"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Date, then the Commercial Paper Rate on such Commercial Paper Rate Interest Determination Date will be the Money Market Yield of the rate for commercial paper having the Index Maturity specified in the applicable Pricing Supplement as published in Composite Quotations under the heading "Commercial Paper" (with an Index Maturity of one month or three months being deemed to be equivalent to an Index Maturity of 30 days or 90 days, respectively). If such rate is not yet published in either H.15(519) or Composite Quotations by 3:00 P.M., New York City time, on the related Calculation Date, then the Commercial</w:t>
      </w:r>
    </w:p>
    <w:tbl>
      <w:tblPr>
        <w:tblLayout w:type="fixed"/>
        <w:tblInd w:w="0" w:type="dxa"/>
        <w:tblCellMar>
          <w:top w:w="0" w:type="dxa"/>
          <w:left w:w="0" w:type="dxa"/>
          <w:bottom w:w="0" w:type="dxa"/>
          <w:right w:w="0" w:type="dxa"/>
        </w:tblCellMar>
      </w:tblPr>
      <w:tr>
        <w:trPr>
          <w:trHeight w:val="172"/>
        </w:trPr>
        <w:tc>
          <w:tcPr>
            <w:tcW w:w="1120" w:type="dxa"/>
            <w:vAlign w:val="bottom"/>
          </w:tcPr>
          <w:p>
            <w:pPr>
              <w:spacing w:after="0" w:line="172" w:lineRule="exact"/>
              <w:rPr>
                <w:sz w:val="20"/>
                <w:szCs w:val="20"/>
                <w:color w:val="auto"/>
              </w:rPr>
            </w:pPr>
            <w:r>
              <w:rPr>
                <w:rFonts w:ascii="Courier New" w:cs="Courier New" w:eastAsia="Courier New" w:hAnsi="Courier New"/>
                <w:sz w:val="18"/>
                <w:szCs w:val="18"/>
                <w:color w:val="auto"/>
              </w:rPr>
              <w:t>Paper Rate</w:t>
            </w:r>
          </w:p>
        </w:tc>
        <w:tc>
          <w:tcPr>
            <w:tcW w:w="840" w:type="dxa"/>
            <w:vAlign w:val="bottom"/>
          </w:tcPr>
          <w:p>
            <w:pPr>
              <w:ind w:left="40"/>
              <w:spacing w:after="0" w:line="172" w:lineRule="exact"/>
              <w:rPr>
                <w:sz w:val="20"/>
                <w:szCs w:val="20"/>
                <w:color w:val="auto"/>
              </w:rPr>
            </w:pPr>
            <w:r>
              <w:rPr>
                <w:rFonts w:ascii="Courier New" w:cs="Courier New" w:eastAsia="Courier New" w:hAnsi="Courier New"/>
                <w:sz w:val="18"/>
                <w:szCs w:val="18"/>
                <w:color w:val="auto"/>
              </w:rPr>
              <w:t>on such</w:t>
            </w:r>
          </w:p>
        </w:tc>
        <w:tc>
          <w:tcPr>
            <w:tcW w:w="6260" w:type="dxa"/>
            <w:vAlign w:val="bottom"/>
          </w:tcPr>
          <w:p>
            <w:pPr>
              <w:ind w:left="40"/>
              <w:spacing w:after="0" w:line="172" w:lineRule="exact"/>
              <w:rPr>
                <w:sz w:val="20"/>
                <w:szCs w:val="20"/>
                <w:color w:val="auto"/>
              </w:rPr>
            </w:pPr>
            <w:r>
              <w:rPr>
                <w:rFonts w:ascii="Courier New" w:cs="Courier New" w:eastAsia="Courier New" w:hAnsi="Courier New"/>
                <w:sz w:val="18"/>
                <w:szCs w:val="18"/>
                <w:color w:val="auto"/>
              </w:rPr>
              <w:t>Commercial Paper Rate Interest Determination Date will be</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calculated</w:t>
            </w:r>
          </w:p>
        </w:tc>
        <w:tc>
          <w:tcPr>
            <w:tcW w:w="71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8"/>
              </w:rPr>
              <w:t>by the Calculation Agent and will be the Money Market Yield of the</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arithmetic</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mean of</w:t>
            </w:r>
          </w:p>
        </w:tc>
        <w:tc>
          <w:tcPr>
            <w:tcW w:w="6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offered rates at approximately 11:00 A.M., New York</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City time,</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on such</w:t>
            </w:r>
          </w:p>
        </w:tc>
        <w:tc>
          <w:tcPr>
            <w:tcW w:w="6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Commercial Paper Rate Interest Determination Date of three</w:t>
            </w:r>
          </w:p>
        </w:tc>
      </w:tr>
      <w:tr>
        <w:trPr>
          <w:trHeight w:val="203"/>
        </w:trPr>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leading dealers of</w:t>
            </w:r>
          </w:p>
        </w:tc>
        <w:tc>
          <w:tcPr>
            <w:tcW w:w="6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commercial paper in The City of New York (which may include</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any of the</w:t>
            </w:r>
          </w:p>
        </w:tc>
        <w:tc>
          <w:tcPr>
            <w:tcW w:w="71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Agents or their affiliates) selected by the Calculation Agent for</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commercial</w:t>
            </w:r>
          </w:p>
        </w:tc>
        <w:tc>
          <w:tcPr>
            <w:tcW w:w="71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paper having the Index Maturity specified in the applicable Pricing</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Supplement</w:t>
            </w:r>
          </w:p>
        </w:tc>
        <w:tc>
          <w:tcPr>
            <w:tcW w:w="71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8"/>
              </w:rPr>
              <w:t>placed for a nonfinancial issuer whose bond rating is "AA," or the</w:t>
            </w:r>
          </w:p>
        </w:tc>
      </w:tr>
      <w:tr>
        <w:trPr>
          <w:trHeight w:val="203"/>
        </w:trPr>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equivalent, from a</w:t>
            </w:r>
          </w:p>
        </w:tc>
        <w:tc>
          <w:tcPr>
            <w:tcW w:w="6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nationally recognized statistical rating organization;</w:t>
            </w:r>
          </w:p>
        </w:tc>
      </w:tr>
      <w:tr>
        <w:trPr>
          <w:trHeight w:val="203"/>
        </w:trPr>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provided, however,</w:t>
            </w:r>
          </w:p>
        </w:tc>
        <w:tc>
          <w:tcPr>
            <w:tcW w:w="6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that if the dealers so selected by the Calculation Agent</w:t>
            </w:r>
          </w:p>
        </w:tc>
      </w:tr>
      <w:tr>
        <w:trPr>
          <w:trHeight w:val="203"/>
        </w:trPr>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are not quoting as</w:t>
            </w:r>
          </w:p>
        </w:tc>
        <w:tc>
          <w:tcPr>
            <w:tcW w:w="6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mentioned in this sentence, the Commercial Paper Rate</w:t>
            </w:r>
          </w:p>
        </w:tc>
      </w:tr>
      <w:tr>
        <w:trPr>
          <w:trHeight w:val="235"/>
        </w:trPr>
        <w:tc>
          <w:tcPr>
            <w:tcW w:w="1120" w:type="dxa"/>
            <w:vAlign w:val="bottom"/>
          </w:tcPr>
          <w:p>
            <w:pPr>
              <w:spacing w:after="0"/>
              <w:rPr>
                <w:sz w:val="20"/>
                <w:szCs w:val="20"/>
                <w:color w:val="auto"/>
              </w:rPr>
            </w:pPr>
            <w:r>
              <w:rPr>
                <w:rFonts w:ascii="Courier New" w:cs="Courier New" w:eastAsia="Courier New" w:hAnsi="Courier New"/>
                <w:sz w:val="18"/>
                <w:szCs w:val="18"/>
                <w:color w:val="auto"/>
              </w:rPr>
              <w:t>determined</w:t>
            </w:r>
          </w:p>
        </w:tc>
        <w:tc>
          <w:tcPr>
            <w:tcW w:w="71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as of such Commercial Paper Rate Interest Determination Date will</w:t>
            </w:r>
          </w:p>
        </w:tc>
      </w:tr>
    </w:tbl>
    <w:p>
      <w:pPr>
        <w:ind w:right="2099"/>
        <w:spacing w:after="0" w:line="309" w:lineRule="auto"/>
        <w:rPr>
          <w:sz w:val="20"/>
          <w:szCs w:val="20"/>
          <w:color w:val="auto"/>
        </w:rPr>
      </w:pPr>
      <w:r>
        <w:rPr>
          <w:rFonts w:ascii="Courier New" w:cs="Courier New" w:eastAsia="Courier New" w:hAnsi="Courier New"/>
          <w:sz w:val="18"/>
          <w:szCs w:val="18"/>
          <w:color w:val="auto"/>
        </w:rPr>
        <w:t>be the Commercial Paper Rate in effect on such Commercial Paper Rate Interest Determination Date.</w:t>
      </w:r>
    </w:p>
    <w:p>
      <w:pPr>
        <w:spacing w:after="0" w:line="51" w:lineRule="exact"/>
        <w:rPr>
          <w:sz w:val="20"/>
          <w:szCs w:val="20"/>
          <w:color w:val="auto"/>
        </w:rPr>
      </w:pPr>
    </w:p>
    <w:p>
      <w:pPr>
        <w:ind w:right="1999" w:firstLine="211"/>
        <w:spacing w:after="0" w:line="347" w:lineRule="auto"/>
        <w:rPr>
          <w:sz w:val="20"/>
          <w:szCs w:val="20"/>
          <w:color w:val="auto"/>
        </w:rPr>
      </w:pPr>
      <w:r>
        <w:rPr>
          <w:rFonts w:ascii="Courier New" w:cs="Courier New" w:eastAsia="Courier New" w:hAnsi="Courier New"/>
          <w:sz w:val="18"/>
          <w:szCs w:val="18"/>
          <w:color w:val="auto"/>
        </w:rPr>
        <w:t>"Money Market Yield" means a yield (expressed as a percentage) calculated in accordance with the following formula:</w:t>
      </w:r>
    </w:p>
    <w:p>
      <w:pPr>
        <w:sectPr>
          <w:pgSz w:w="11900" w:h="16838" w:orient="portrait"/>
          <w:cols w:equalWidth="0" w:num="1">
            <w:col w:w="10219"/>
          </w:cols>
          <w:pgMar w:left="240" w:top="691" w:right="1440" w:bottom="0" w:gutter="0" w:footer="0" w:header="0"/>
        </w:sectPr>
      </w:pPr>
    </w:p>
    <w:p>
      <w:pPr>
        <w:spacing w:after="0" w:line="200" w:lineRule="exact"/>
        <w:rPr>
          <w:sz w:val="20"/>
          <w:szCs w:val="20"/>
          <w:color w:val="auto"/>
        </w:rPr>
      </w:pPr>
    </w:p>
    <w:p>
      <w:pPr>
        <w:spacing w:after="0" w:line="223"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Money Market Yield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firstLine="316"/>
        <w:spacing w:after="0" w:line="344" w:lineRule="auto"/>
        <w:rPr>
          <w:sz w:val="20"/>
          <w:szCs w:val="20"/>
          <w:color w:val="auto"/>
        </w:rPr>
      </w:pPr>
      <w:r>
        <w:rPr>
          <w:rFonts w:ascii="Courier New" w:cs="Courier New" w:eastAsia="Courier New" w:hAnsi="Courier New"/>
          <w:sz w:val="16"/>
          <w:szCs w:val="16"/>
          <w:color w:val="auto"/>
        </w:rPr>
        <w:t>D x 360 ------------- 360 - (D x 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x 100</w:t>
      </w:r>
    </w:p>
    <w:p>
      <w:pPr>
        <w:spacing w:after="0" w:line="798" w:lineRule="exact"/>
        <w:rPr>
          <w:sz w:val="20"/>
          <w:szCs w:val="20"/>
          <w:color w:val="auto"/>
        </w:rPr>
      </w:pPr>
    </w:p>
    <w:p>
      <w:pPr>
        <w:sectPr>
          <w:pgSz w:w="11900" w:h="16838" w:orient="portrait"/>
          <w:cols w:equalWidth="0" w:num="3">
            <w:col w:w="3700" w:space="520"/>
            <w:col w:w="1380" w:space="200"/>
            <w:col w:w="4419"/>
          </w:cols>
          <w:pgMar w:left="240" w:top="691" w:right="1440" w:bottom="0" w:gutter="0" w:footer="0" w:header="0"/>
          <w:type w:val="continuous"/>
        </w:sectPr>
      </w:pPr>
    </w:p>
    <w:p>
      <w:pPr>
        <w:spacing w:after="0" w:line="34" w:lineRule="exact"/>
        <w:rPr>
          <w:sz w:val="20"/>
          <w:szCs w:val="20"/>
          <w:color w:val="auto"/>
        </w:rPr>
      </w:pPr>
    </w:p>
    <w:p>
      <w:pPr>
        <w:ind w:right="2099"/>
        <w:spacing w:after="0" w:line="274" w:lineRule="auto"/>
        <w:rPr>
          <w:sz w:val="20"/>
          <w:szCs w:val="20"/>
          <w:color w:val="auto"/>
        </w:rPr>
      </w:pPr>
      <w:r>
        <w:rPr>
          <w:rFonts w:ascii="Courier New" w:cs="Courier New" w:eastAsia="Courier New" w:hAnsi="Courier New"/>
          <w:sz w:val="18"/>
          <w:szCs w:val="18"/>
          <w:color w:val="auto"/>
        </w:rPr>
        <w:t>where "D" refers to the applicable per annum rate for commercial paper quoted on a bank discount basis and expressed as a decimal, and "M" refers to the actual number of days in the Interest Period for which interest is being calculated.</w:t>
      </w:r>
    </w:p>
    <w:p>
      <w:pPr>
        <w:spacing w:after="0" w:line="82" w:lineRule="exact"/>
        <w:rPr>
          <w:sz w:val="20"/>
          <w:szCs w:val="20"/>
          <w:color w:val="auto"/>
        </w:rPr>
      </w:pPr>
    </w:p>
    <w:p>
      <w:pPr>
        <w:ind w:right="1999" w:firstLine="211"/>
        <w:spacing w:after="0" w:line="275" w:lineRule="auto"/>
        <w:rPr>
          <w:sz w:val="20"/>
          <w:szCs w:val="20"/>
          <w:color w:val="auto"/>
        </w:rPr>
      </w:pPr>
      <w:r>
        <w:rPr>
          <w:rFonts w:ascii="Courier New" w:cs="Courier New" w:eastAsia="Courier New" w:hAnsi="Courier New"/>
          <w:sz w:val="16"/>
          <w:szCs w:val="16"/>
          <w:color w:val="auto"/>
        </w:rPr>
        <w:t>Eleventh District Cost of Funds Rate. Unless otherwise specified in the applicable Pricing Supplement, "Eleventh District Cost of Funds Rate" means, with respect to any Interest Determination Date relating to a Floating Rate Note for which the interest rate is determined with reference to the Eleventh District Cost of Funds Rate (an "Eleventh District Cost of Funds Rate Interest Determination Date"), the rate equal to the monthly weighted average cost of funds for the calendar month immediately preceding the month in which such Eleventh District Cost of Funds Rate Interest Determination Date falls, as set forth under the caption "11th District" on Telerate Page 7058 as of 11:00 A.M., San Francisco time, on such Eleventh District Cost of Funds Rate Interest Determination Date. If such rate does not appear on Telerate Page</w:t>
      </w:r>
    </w:p>
    <w:p>
      <w:pPr>
        <w:spacing w:after="0" w:line="184" w:lineRule="exact"/>
        <w:rPr>
          <w:sz w:val="20"/>
          <w:szCs w:val="20"/>
          <w:color w:val="auto"/>
        </w:rPr>
      </w:pPr>
    </w:p>
    <w:p>
      <w:pPr>
        <w:ind w:right="1999"/>
        <w:spacing w:after="0" w:line="277" w:lineRule="auto"/>
        <w:rPr>
          <w:sz w:val="20"/>
          <w:szCs w:val="20"/>
          <w:color w:val="auto"/>
        </w:rPr>
      </w:pPr>
      <w:r>
        <w:rPr>
          <w:rFonts w:ascii="Courier New" w:cs="Courier New" w:eastAsia="Courier New" w:hAnsi="Courier New"/>
          <w:sz w:val="16"/>
          <w:szCs w:val="16"/>
          <w:color w:val="auto"/>
        </w:rPr>
        <w:t>7058 on such Eleventh District Cost of Funds Rate Interest Determination Date then the Eleventh District Cost of Funds Rate on such Eleventh District Cost of Funds Rate Interest Determination Date shall be the monthly weighted average cost of funds paid by member institutions of the Eleventh Federal Home Loan Bank District that was most recently announced (the "Index") by the FHLB of San Francisco as such cost of funds for the calendar month immediately preceding such Eleventh District Cost of Funds Rate Interest Determination Date. If the FHLB of San Francisco fails to announce the Index on or prior to such Eleventh District Cost of Funds Rate Interest Determination Date for the calendar month immediately preceding such Eleventh District Cost of Funds Rate Interest Determination Date, the Eleventh District Cost of Funds Rate determined as of such Eleventh District Cost of Funds Rate Interest Determination Date will be the Eleventh District Cost of Funds Rate in effect</w:t>
      </w:r>
    </w:p>
    <w:p>
      <w:pPr>
        <w:sectPr>
          <w:pgSz w:w="11900" w:h="16838" w:orient="portrait"/>
          <w:cols w:equalWidth="0" w:num="1">
            <w:col w:w="10219"/>
          </w:cols>
          <w:pgMar w:left="240" w:top="691" w:right="1440" w:bottom="0" w:gutter="0" w:footer="0" w:header="0"/>
          <w:type w:val="continuous"/>
        </w:sectPr>
      </w:pPr>
    </w:p>
    <w:bookmarkStart w:id="21" w:name="page22"/>
    <w:bookmarkEnd w:id="21"/>
    <w:p>
      <w:pPr>
        <w:spacing w:after="0"/>
        <w:rPr>
          <w:sz w:val="20"/>
          <w:szCs w:val="20"/>
          <w:color w:val="auto"/>
        </w:rPr>
      </w:pPr>
      <w:r>
        <w:rPr>
          <w:rFonts w:ascii="Courier New" w:cs="Courier New" w:eastAsia="Courier New" w:hAnsi="Courier New"/>
          <w:sz w:val="16"/>
          <w:szCs w:val="16"/>
          <w:color w:val="auto"/>
        </w:rPr>
        <w:t>on such Eleventh District Cost of Funds Rate Interest Determination Date.</w:t>
      </w:r>
    </w:p>
    <w:p>
      <w:pPr>
        <w:sectPr>
          <w:pgSz w:w="11900" w:h="16838" w:orient="portrait"/>
          <w:cols w:equalWidth="0" w:num="1">
            <w:col w:w="10219"/>
          </w:cols>
          <w:pgMar w:left="240" w:top="110" w:right="1440" w:bottom="1440" w:gutter="0" w:footer="0" w:header="0"/>
        </w:sectPr>
      </w:pPr>
    </w:p>
    <w:p>
      <w:pPr>
        <w:spacing w:after="0" w:line="22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S-13</w:t>
      </w:r>
    </w:p>
    <w:p>
      <w:pPr>
        <w:sectPr>
          <w:pgSz w:w="11900" w:h="16838" w:orient="portrait"/>
          <w:cols w:equalWidth="0" w:num="1">
            <w:col w:w="10219"/>
          </w:cols>
          <w:pgMar w:left="240" w:top="110" w:right="1440" w:bottom="1440" w:gutter="0" w:footer="0" w:header="0"/>
          <w:type w:val="continuous"/>
        </w:sectPr>
      </w:pPr>
    </w:p>
    <w:bookmarkStart w:id="22" w:name="page23"/>
    <w:bookmarkEnd w:id="22"/>
    <w:p>
      <w:pPr>
        <w:ind w:right="1999" w:firstLine="211"/>
        <w:spacing w:after="0" w:line="243" w:lineRule="auto"/>
        <w:rPr>
          <w:sz w:val="20"/>
          <w:szCs w:val="20"/>
          <w:color w:val="auto"/>
        </w:rPr>
      </w:pPr>
      <w:r>
        <w:rPr>
          <w:rFonts w:ascii="Courier New" w:cs="Courier New" w:eastAsia="Courier New" w:hAnsi="Courier New"/>
          <w:sz w:val="18"/>
          <w:szCs w:val="18"/>
          <w:color w:val="auto"/>
        </w:rPr>
        <w:t>Federal Funds Rate. Unless otherwise specified in the applicable Pricing Supplement, "Federal Funds Rate" means, with respect to any Interest Determination Date relating to a Floating Rate Note for which the interest rate is determined with reference to the Federal Funds Rate (a "Federal Funds Rate Interest Determination Date"), the rate on such date for United States dollar federal funds as published in H.15(519) under the heading "Federal Funds (Effective)" or, if not published by 3:00 P.M., New York City time, on the related Calculation Date, the rate on such Federal Funds Rate Interest Determination Date as published in Composite Quotations under the heading "Federal Funds/Effective Rate." If such rate is not published in either H.15(519) or Composite Quotations by 3:00 P.M., New York City time, on the related Calculation Date, then the Federal Funds Rate on such Federal Funds Rate Interest Determination Date will be calculated by the Calculation Agent and will be the arithmetic mean of the rates for the last transaction in overnight United States dollar federal funds arranged by three leading brokers of federal funds transactions in The City of New York (which may include any of the Agents or their affiliates) selected by the Calculation Agent prior to 9:00 A.M., New York City time, on such Federal Funds Rate Interest Determination Date; provided, however, that if the brokers so selected by the Calculation Agent are not quoting as mentioned in this sentence, the Federal Funds Rate determined as of such Federal Funds Rate Interest Determination Date will be the Federal Funds Rate in effect on such Federal Funds Rate Interest Determination Date.</w:t>
      </w:r>
    </w:p>
    <w:p>
      <w:pPr>
        <w:spacing w:after="0" w:line="113" w:lineRule="exact"/>
        <w:rPr>
          <w:sz w:val="20"/>
          <w:szCs w:val="20"/>
          <w:color w:val="auto"/>
        </w:rPr>
      </w:pPr>
    </w:p>
    <w:p>
      <w:pPr>
        <w:ind w:right="1999" w:firstLine="211"/>
        <w:spacing w:after="0" w:line="402" w:lineRule="auto"/>
        <w:rPr>
          <w:sz w:val="20"/>
          <w:szCs w:val="20"/>
          <w:color w:val="auto"/>
        </w:rPr>
      </w:pPr>
      <w:r>
        <w:rPr>
          <w:rFonts w:ascii="Courier New" w:cs="Courier New" w:eastAsia="Courier New" w:hAnsi="Courier New"/>
          <w:sz w:val="16"/>
          <w:szCs w:val="16"/>
          <w:color w:val="auto"/>
        </w:rPr>
        <w:t>LIBOR. Unless otherwise specified in the applicable Pricing Supplement, "LIBOR" means the rate determined in accordance with the following provisions:</w:t>
      </w:r>
    </w:p>
    <w:p>
      <w:pPr>
        <w:spacing w:after="0" w:line="1" w:lineRule="exact"/>
        <w:rPr>
          <w:sz w:val="20"/>
          <w:szCs w:val="20"/>
          <w:color w:val="auto"/>
        </w:rPr>
      </w:pPr>
    </w:p>
    <w:p>
      <w:pPr>
        <w:ind w:right="1999" w:firstLine="219"/>
        <w:spacing w:after="0" w:line="244" w:lineRule="auto"/>
        <w:tabs>
          <w:tab w:leader="none" w:pos="6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any Interest Determination Date relating to a Floating Rate Note for which the interest rate is determined with reference to LIBOR (a "LIBOR Interest Determination Date"), LIBOR will be either: (a) if "LIBOR Reuters" is specified in the applicable Pricing Supplement, the arithmetic mean of the offered rates (unless the Designated LIBOR Page by its terms provides only for a single rate, in which case such single rate shall be used) for deposits in the Index Currency having the Index Maturity specified in such Pricing Supplement, commencing on the applicable Interest Reset Date, that appear (or, if only a single rate is required as aforesaid, appears) on the Designated LIBOR Page as of 11:00 A.M., London time, on such LIBOR Interest Determination Date, or (b) if "LIBOR Telerate" is specified in the applicable Pricing Supplement or if neither "LIBOR Reuters" nor "LIBOR Telerate" is specified in the applicable Pricing Supplement as the method for calculating LIBOR, the rate for deposits in the Index Currency having the Index Maturity specified in such Pricing Supplement, commencing on such Interest Reset Date, that appears on the Designated LIBOR Page as of 11:00 A.M., London time, on such LIBOR Interest Determination Date. If fewer than two such offered rates appear, or if no such rate appears, as applicable, LIBOR on such LIBOR Interest Determination Date will be determined in accordance with the provisions described in clause (ii) below.</w:t>
      </w:r>
    </w:p>
    <w:p>
      <w:pPr>
        <w:spacing w:after="0" w:line="108" w:lineRule="exact"/>
        <w:rPr>
          <w:rFonts w:ascii="Courier New" w:cs="Courier New" w:eastAsia="Courier New" w:hAnsi="Courier New"/>
          <w:sz w:val="18"/>
          <w:szCs w:val="18"/>
          <w:color w:val="auto"/>
        </w:rPr>
      </w:pPr>
    </w:p>
    <w:p>
      <w:pPr>
        <w:ind w:right="1999" w:firstLine="219"/>
        <w:spacing w:after="0" w:line="274" w:lineRule="auto"/>
        <w:tabs>
          <w:tab w:leader="none" w:pos="737"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 LIBOR Interest Determination Date on which fewer than two offered rates appear, or no rate appears, as the case may be, on the Designated LIBOR Page as specified in clause (i) above, the Calculation Agent will request the principal London offices of each of four major reference banks in the London interbank market, as selected by the Calculation Agent, to provide the Calculation Agent with its offered quotation for deposits in the Index Currency for the period of the Index Maturity specified in the applicable Pricing Supplement, commencing on the applicable Interest Reset Date, to prime banks in the London interbank market at approximately 11:00 A.M., London time, on such LIBOR Interest Determination Date and in a principal amount that is representative for a single transaction in such Index Currency in such market at such time. If at least two quotations are so provided, then LIBOR on such LIBOR Interest Determination Date will be the arithmetic mean of such quotations. If fewer than two such quotations are so provided, then LIBOR on such LIBOR Interest Determination Date will be the arithmetic mean of the rates quoted at approximately 11:00 A.M., in the applicable Principal Financial Center, on such LIBOR Interest Determination Date by three major banks in such Principal Financial Center selected by the Calculation Agent for loans in the Index Currency to leading European banks, having the Index Maturity specified in the applicable Pricing Supplement and in a principal amount that is representative for a single transaction in such Index Currency in such market at such time; provided, however, that if the banks so selected by the Calculation Agent are not quoting as mentioned in this sentence, LIBOR determined as of such LIBOR Interest Determination Date will be LIBOR in effect on such LIBOR Interest Determination Date.</w:t>
      </w:r>
    </w:p>
    <w:p>
      <w:pPr>
        <w:spacing w:after="0" w:line="200" w:lineRule="exact"/>
        <w:rPr>
          <w:sz w:val="20"/>
          <w:szCs w:val="20"/>
          <w:color w:val="auto"/>
        </w:rPr>
      </w:pPr>
    </w:p>
    <w:p>
      <w:pPr>
        <w:spacing w:after="0" w:line="308" w:lineRule="exact"/>
        <w:rPr>
          <w:sz w:val="20"/>
          <w:szCs w:val="20"/>
          <w:color w:val="auto"/>
        </w:rPr>
      </w:pPr>
    </w:p>
    <w:p>
      <w:pPr>
        <w:ind w:right="2199" w:firstLine="211"/>
        <w:spacing w:after="0" w:line="274" w:lineRule="auto"/>
        <w:rPr>
          <w:sz w:val="20"/>
          <w:szCs w:val="20"/>
          <w:color w:val="auto"/>
        </w:rPr>
      </w:pPr>
      <w:r>
        <w:rPr>
          <w:rFonts w:ascii="Courier New" w:cs="Courier New" w:eastAsia="Courier New" w:hAnsi="Courier New"/>
          <w:sz w:val="18"/>
          <w:szCs w:val="18"/>
          <w:color w:val="auto"/>
        </w:rPr>
        <w:t>"Index Currency" means the currency or composite currency specified in the applicable Pricing Supplement as to which LIBOR shall be calculated. If no such currency or composite currency is specified in the applicable Pricing Supplement, the Index Currency shall be United States dollars.</w:t>
      </w:r>
    </w:p>
    <w:p>
      <w:pPr>
        <w:sectPr>
          <w:pgSz w:w="11900" w:h="16838" w:orient="portrait"/>
          <w:cols w:equalWidth="0" w:num="1">
            <w:col w:w="10219"/>
          </w:cols>
          <w:pgMar w:left="240" w:top="690" w:right="1440" w:bottom="0" w:gutter="0" w:footer="0" w:header="0"/>
        </w:sectPr>
      </w:pPr>
    </w:p>
    <w:bookmarkStart w:id="23" w:name="page24"/>
    <w:bookmarkEnd w:id="23"/>
    <w:p>
      <w:pPr>
        <w:ind w:left="2700"/>
        <w:spacing w:after="0"/>
        <w:rPr>
          <w:sz w:val="20"/>
          <w:szCs w:val="20"/>
          <w:color w:val="auto"/>
        </w:rPr>
      </w:pPr>
      <w:r>
        <w:rPr>
          <w:rFonts w:ascii="Courier New" w:cs="Courier New" w:eastAsia="Courier New" w:hAnsi="Courier New"/>
          <w:sz w:val="16"/>
          <w:szCs w:val="16"/>
          <w:color w:val="auto"/>
        </w:rPr>
        <w:t>S-14</w:t>
      </w:r>
    </w:p>
    <w:p>
      <w:pPr>
        <w:sectPr>
          <w:pgSz w:w="11900" w:h="16838" w:orient="portrait"/>
          <w:cols w:equalWidth="0" w:num="1">
            <w:col w:w="9019"/>
          </w:cols>
          <w:pgMar w:left="1440" w:top="515" w:right="1440" w:bottom="1440" w:gutter="0" w:footer="0" w:header="0"/>
        </w:sectPr>
      </w:pPr>
    </w:p>
    <w:bookmarkStart w:id="24" w:name="page25"/>
    <w:bookmarkEnd w:id="24"/>
    <w:p>
      <w:pPr>
        <w:ind w:right="1999" w:firstLine="211"/>
        <w:spacing w:after="0" w:line="247" w:lineRule="auto"/>
        <w:rPr>
          <w:sz w:val="20"/>
          <w:szCs w:val="20"/>
          <w:color w:val="auto"/>
        </w:rPr>
      </w:pPr>
      <w:r>
        <w:rPr>
          <w:rFonts w:ascii="Courier New" w:cs="Courier New" w:eastAsia="Courier New" w:hAnsi="Courier New"/>
          <w:sz w:val="18"/>
          <w:szCs w:val="18"/>
          <w:color w:val="auto"/>
        </w:rPr>
        <w:t>"Designated LIBOR Page" means (a) if "LIBOR Reuters" is specified in the applicable Pricing Supplement, the display on the Reuter Monitor Money Rates Service (or any successor service) on the page specified in such Pricing Supplement (or any other page as may replace such page or such service (or any successor service)) for the purpose of displaying the London interbank rates of major banks for the applicable Index Currency, or (b) if "LIBOR Telerate" is specified in the applicable Pricing Supplement or neither "LIBOR Reuters" nor "LIBOR Telerate" is specified in the applicable Pricing Supplement as the method for calculating LIBOR, the display on the Dow Jones Telerate Service (or any successor service) on the page specified in such Pricing Supplement (or any other page as may replace such page or such service (or any successor service)) for the purpose of displaying the London interbank rates of major banks for the applicable Index Currency.</w:t>
      </w:r>
    </w:p>
    <w:p>
      <w:pPr>
        <w:spacing w:after="0" w:line="108" w:lineRule="exact"/>
        <w:rPr>
          <w:sz w:val="20"/>
          <w:szCs w:val="20"/>
          <w:color w:val="auto"/>
        </w:rPr>
      </w:pPr>
    </w:p>
    <w:p>
      <w:pPr>
        <w:ind w:right="1999" w:firstLine="211"/>
        <w:spacing w:after="0" w:line="241" w:lineRule="auto"/>
        <w:rPr>
          <w:sz w:val="20"/>
          <w:szCs w:val="20"/>
          <w:color w:val="auto"/>
        </w:rPr>
      </w:pPr>
      <w:r>
        <w:rPr>
          <w:rFonts w:ascii="Courier New" w:cs="Courier New" w:eastAsia="Courier New" w:hAnsi="Courier New"/>
          <w:sz w:val="18"/>
          <w:szCs w:val="18"/>
          <w:color w:val="auto"/>
        </w:rPr>
        <w:t>Prime Rate. Unless otherwise specified in the applicable Pricing Supplement, "Prime Rate" means, with respect to any Interest Determination Date relating to a Floating Rate Note for which the interest rate is determined with reference to the Prime Rate (a "Prime Rate Interest Determination Date"), the rate on such date as is published in H.15(519) under the heading "Bank Prime Loan." If such rate is not published prior to 3:00 P.M., New York City time, on the related Calculation Date, then the Prime Rate shall be the arithmetic mean of the rates of interest publicly announced by each bank that appears on the Reuters Screen USPRIME1 Page (as defined below) as such bank's prime rate or base lending rate as in effect for such Prime Rate Interest Determination Date. If fewer than four such rates appear on the Reuters Screen USPRIME1 Page for such Prime Rate Interest Determination Date, then the Prime Rate shall be the arithmetic mean of the prime rates quoted on the basis of the actual number of days in the year divided by a 360-day year as of the close of business on such Prime Rate Interest Determination Date by four major money center banks in The City of New York selected by the Calculation Agent. If fewer than four such quotations are so provided, then the Prime Rate shall be the arithmetic mean of four prime rates quoted on the basis of the actual number of days in the year divided by a 360-day year as of the close of business on such Prime Rate Interest Determination Date as furnished in The City of New York by the major money center banks, if any, that have provided such quotations and by a reasonable number of substitute banks or trust companies to obtain four such prime rate quotations, provided such substitute banks or trust companies are organized and doing business under the laws of the United States, or any State thereof, each having total equity capital of at least $500,000,000 and being subject to supervision or examination by Federal or State authority, selected by the Calculation Agent to provide such rate or rates; provided, however, that if the banks or trust companies so selected by the Calculation Agent are not quoting as mentioned in this sentence, the Prime Rate determined as of such Prime Rate Interest Determination Date will be the Prime Rate in effect on such Prime Rate Interest Determination Date.</w:t>
      </w:r>
    </w:p>
    <w:p>
      <w:pPr>
        <w:spacing w:after="0" w:line="133" w:lineRule="exact"/>
        <w:rPr>
          <w:sz w:val="20"/>
          <w:szCs w:val="20"/>
          <w:color w:val="auto"/>
        </w:rPr>
      </w:pPr>
    </w:p>
    <w:p>
      <w:pPr>
        <w:ind w:right="2419" w:firstLine="211"/>
        <w:spacing w:after="0" w:line="306" w:lineRule="auto"/>
        <w:rPr>
          <w:sz w:val="20"/>
          <w:szCs w:val="20"/>
          <w:color w:val="auto"/>
        </w:rPr>
      </w:pPr>
      <w:r>
        <w:rPr>
          <w:rFonts w:ascii="Courier New" w:cs="Courier New" w:eastAsia="Courier New" w:hAnsi="Courier New"/>
          <w:sz w:val="16"/>
          <w:szCs w:val="16"/>
          <w:color w:val="auto"/>
        </w:rPr>
        <w:t>"Reuters Screen USPRIME1 Page" means the display designated as page "USPRIME1" on the Reuter Monitor Money Rates Service (or any successor service) or such other page as may replace the USPRIME1 Page on the Reuter Monitor Money Rates Service (or any successor service) for the purpose of displaying prime rates or base lending rates of major United States banks.</w:t>
      </w:r>
    </w:p>
    <w:p>
      <w:pPr>
        <w:spacing w:after="0" w:line="60"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6"/>
          <w:szCs w:val="16"/>
          <w:color w:val="auto"/>
        </w:rPr>
        <w:t>Treasury Rate. Unless otherwise specified in the applicable Pricing Supplement, "Treasury Rate" means, with respect to any Interest Determination Date relating to a Floating Rate Note for which the interest rate is determined by reference to the Treasury Rate (a "Treasury Rate Interest Determination Date"), the rate from the auction held on such Treasury Rate Interest Determination Date (the "Auction") of direct obligations of the United States ("Treasury Bills") having the Index Maturity specified in the applicable Pricing Supplement, as such rate is published in H.15(519) under the heading "Treasury bills-auction average (investment)" or, if not published by 3:00 P.M., New York City time, on the related Calculation Date, the auction average rate of such Treasury Bills (expressed as a bond equivalent on the basis of a year of 365 or 366 days, as applicable, and applied on a daily basis) as otherwise announced by the United States Department of the Treasury. In the event that the results of the Auction of Treasury Bills having the Index Maturity specified in the applicable Pricing Supplement are not reported as provided by 3:00 P.M., New York City time, on the related Calculation Date, or if no such Auction is held, then the Treasury Rate will be calculated by the Calculation Agent and will be a yield to maturity (expressed as a bond equivalent on the basis of a year of 365 or 366 days, as applicable, and applied on a daily basis) of the arithmetic mean of the secondary market bid rates, as of approximately 3:30 P.M., New York City time, on such Treasury Rate Interest Determination Date, of three leading primary United States government securities dealers (which may include any of the Agents or their affiliates) selected by the Calculation Agent, for the issue of Treasury Bills with a remaining maturity closest to the Index Maturity specified in the</w:t>
      </w:r>
    </w:p>
    <w:p>
      <w:pPr>
        <w:sectPr>
          <w:pgSz w:w="11900" w:h="16838" w:orient="portrait"/>
          <w:cols w:equalWidth="0" w:num="1">
            <w:col w:w="10219"/>
          </w:cols>
          <w:pgMar w:left="240" w:top="691" w:right="1440" w:bottom="87" w:gutter="0" w:footer="0" w:header="0"/>
        </w:sectPr>
      </w:pPr>
    </w:p>
    <w:bookmarkStart w:id="25" w:name="page26"/>
    <w:bookmarkEnd w:id="25"/>
    <w:p>
      <w:pPr>
        <w:ind w:right="2199"/>
        <w:spacing w:after="0" w:line="265" w:lineRule="auto"/>
        <w:rPr>
          <w:sz w:val="20"/>
          <w:szCs w:val="20"/>
          <w:color w:val="auto"/>
        </w:rPr>
      </w:pPr>
      <w:r>
        <w:rPr>
          <w:rFonts w:ascii="Courier New" w:cs="Courier New" w:eastAsia="Courier New" w:hAnsi="Courier New"/>
          <w:sz w:val="18"/>
          <w:szCs w:val="18"/>
          <w:color w:val="auto"/>
        </w:rPr>
        <w:t>applicable Pricing Supplement; provided, however, that if the dealers so selected by the Calculation Agent are not quoting as mentioned in this sentence, the Treasury Rate determined as of such Treasury Rate Interest Determination Date will be the Treasury Rate in effect on such Treasury Rate Interest Determination Date.</w:t>
      </w:r>
    </w:p>
    <w:p>
      <w:pPr>
        <w:spacing w:after="0" w:line="9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S-15</w:t>
      </w:r>
    </w:p>
    <w:p>
      <w:pPr>
        <w:sectPr>
          <w:pgSz w:w="11900" w:h="16838" w:orient="portrait"/>
          <w:cols w:equalWidth="0" w:num="1">
            <w:col w:w="10219"/>
          </w:cols>
          <w:pgMar w:left="240" w:top="110" w:right="1440" w:bottom="1440" w:gutter="0" w:footer="0" w:header="0"/>
        </w:sectPr>
      </w:pPr>
    </w:p>
    <w:bookmarkStart w:id="26" w:name="page27"/>
    <w:bookmarkEnd w:id="26"/>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AMORTIZING NOTES</w:t>
      </w:r>
    </w:p>
    <w:p>
      <w:pPr>
        <w:spacing w:after="0" w:line="201" w:lineRule="exact"/>
        <w:rPr>
          <w:sz w:val="20"/>
          <w:szCs w:val="20"/>
          <w:color w:val="auto"/>
        </w:rPr>
      </w:pPr>
    </w:p>
    <w:p>
      <w:pPr>
        <w:ind w:right="1999" w:firstLine="211"/>
        <w:spacing w:after="0" w:line="252" w:lineRule="auto"/>
        <w:rPr>
          <w:sz w:val="20"/>
          <w:szCs w:val="20"/>
          <w:color w:val="auto"/>
        </w:rPr>
      </w:pPr>
      <w:r>
        <w:rPr>
          <w:rFonts w:ascii="Courier New" w:cs="Courier New" w:eastAsia="Courier New" w:hAnsi="Courier New"/>
          <w:sz w:val="18"/>
          <w:szCs w:val="18"/>
          <w:color w:val="auto"/>
        </w:rPr>
        <w:t>The Trust may from time to time offer amortizing notes ("Amortizing Notes"). Unless otherwise specified in the applicable Pricing Supplement, interest on each Amortizing Note will be computed on the basis of a 360-day year of twelve 30-day months. Payments with respect to Amortizing Notes will be applied first to interest due and payable thereon and then to the reduction of the unpaid principal amount thereof. Further information concerning additional terms and provisions of Amortizing Notes will be specified in the applicable Pricing Supplement, including a table setting forth repayment information for such Amortizing Notes.</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ORIGINAL ISSUE DISCOUNT NOTES</w:t>
      </w:r>
    </w:p>
    <w:p>
      <w:pPr>
        <w:spacing w:after="0" w:line="201" w:lineRule="exact"/>
        <w:rPr>
          <w:sz w:val="20"/>
          <w:szCs w:val="20"/>
          <w:color w:val="auto"/>
        </w:rPr>
      </w:pPr>
    </w:p>
    <w:p>
      <w:pPr>
        <w:ind w:right="1999" w:firstLine="211"/>
        <w:spacing w:after="0" w:line="246" w:lineRule="auto"/>
        <w:rPr>
          <w:sz w:val="20"/>
          <w:szCs w:val="20"/>
          <w:color w:val="auto"/>
        </w:rPr>
      </w:pPr>
      <w:r>
        <w:rPr>
          <w:rFonts w:ascii="Courier New" w:cs="Courier New" w:eastAsia="Courier New" w:hAnsi="Courier New"/>
          <w:sz w:val="18"/>
          <w:szCs w:val="18"/>
          <w:color w:val="auto"/>
        </w:rPr>
        <w:t>The Trust may offer Notes ("Discount Notes") from time to time that have an Issue Price (as specified in the applicable Pricing Supplement) that is less than 100% of the principal amount thereof (i.e., par). Discount Notes may not bear any interest currently or may bear interest at a rate that is below market rates at the time of issuance. The difference between the Issue Price of a Discount Note and par is referred to herein as the "Discount." In the event of redemption, repayment or acceleration of maturity of a Discount Note, the amount payable to the Holder of such Discount Note will be equal to the sum of: (i) the Issue Price (increased by any accruals of Discount) and, in the event of any redemption of such Discount Note (if applicable), multiplied by the Initial Redemption Percentage specified in the applicable Pricing Supplement (as adjusted by the Annual Redemption Percentage Reduction, if applicable); and (ii) any unpaid interest on such Discount Note accrued from the date of issue to the date of such redemption, repayment or acceleration of maturity.</w:t>
      </w:r>
    </w:p>
    <w:p>
      <w:pPr>
        <w:spacing w:after="0" w:line="106" w:lineRule="exact"/>
        <w:rPr>
          <w:sz w:val="20"/>
          <w:szCs w:val="20"/>
          <w:color w:val="auto"/>
        </w:rPr>
      </w:pPr>
    </w:p>
    <w:p>
      <w:pPr>
        <w:ind w:right="1999" w:firstLine="211"/>
        <w:spacing w:after="0" w:line="243" w:lineRule="auto"/>
        <w:rPr>
          <w:sz w:val="20"/>
          <w:szCs w:val="20"/>
          <w:color w:val="auto"/>
        </w:rPr>
      </w:pPr>
      <w:r>
        <w:rPr>
          <w:rFonts w:ascii="Courier New" w:cs="Courier New" w:eastAsia="Courier New" w:hAnsi="Courier New"/>
          <w:sz w:val="18"/>
          <w:szCs w:val="18"/>
          <w:color w:val="auto"/>
        </w:rPr>
        <w:t>Unless otherwise specified in the applicable Pricing Supplement, for purposes of determining the amount of Discount that has accrued as of any date on which a redemption, repayment or acceleration of maturity occurs for a Discount Note, such Discount will be accrued using a constant yield method. The constant yield will be calculated using a 30-day month, 360-day year convention, a compounding period that, except for the Initial Period (as defined below), corresponds to the shortest period between Interest Payment Dates for the applicable Discount Note (with ratable accruals within a compounding period), a coupon rate equal to the initial coupon rate applicable to such Discount Note and an assumption that the maturity of such Discount Note will not be accelerated. If the period from the date of issue to the initial Interest Payment Date for a Discount Note (the "Initial Period") is shorter than the compounding period for such Discount Note, a proportionate amount of the yield for an entire compounding period will be accrued. If the Initial Period is longer than the compounding period, then such period will be divided into a regular compounding period and a short period with the short period being treated as provided in the preceding sentence. The accrual of the applicable Discount may differ from the accrual of original issue discount for purposes of the Internal Revenue Code of 1986, as amended (the "Code"), certain Discount Notes may not be treated as having original issue discount within the meaning of the Code, and Notes other than Discount Notes may be treated as issued with original issue discount for federal income tax purposes. See "Certain United States Federal Income Tax Considerations" herein.</w:t>
      </w:r>
    </w:p>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INDEXED NOTES</w:t>
      </w:r>
    </w:p>
    <w:p>
      <w:pPr>
        <w:spacing w:after="0" w:line="201" w:lineRule="exact"/>
        <w:rPr>
          <w:sz w:val="20"/>
          <w:szCs w:val="20"/>
          <w:color w:val="auto"/>
        </w:rPr>
      </w:pPr>
    </w:p>
    <w:p>
      <w:pPr>
        <w:ind w:right="1999" w:firstLine="211"/>
        <w:spacing w:after="0" w:line="246" w:lineRule="auto"/>
        <w:rPr>
          <w:sz w:val="20"/>
          <w:szCs w:val="20"/>
          <w:color w:val="auto"/>
        </w:rPr>
      </w:pPr>
      <w:r>
        <w:rPr>
          <w:rFonts w:ascii="Courier New" w:cs="Courier New" w:eastAsia="Courier New" w:hAnsi="Courier New"/>
          <w:sz w:val="18"/>
          <w:szCs w:val="18"/>
          <w:color w:val="auto"/>
        </w:rPr>
        <w:t>Notes may be issued with the amount of principal, premium and/or interest payable in respect thereof to be determined with reference to the price or prices of specified commodities or stocks, to the exchange rate of one or more designated currencies (including a composite currency such as the ECU) relative to an indexed currency or to such other prices(s) or exchange rate(s) ("Indexed Notes"), as specified in the applicable Pricing Supplement. In certain cases, Holders of Indexed Notes may receive a principal payment on the Maturity Date that is greater than or less than the principal amount of such Indexed Notes depending upon the relative value on the Maturity Date of the specified indexed item. Information as to the method for determining the amount of principal, premium, if any, and/or interest payable in respect of Indexed Notes, certain historical information with respect to the specified indexed item and certain tax considerations associated with an investment in Indexed Notes will be specified in the applicable Pricing Supplement. See also "Risk Factors."</w:t>
      </w:r>
    </w:p>
    <w:p>
      <w:pPr>
        <w:spacing w:after="0" w:line="1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COVENANTS</w:t>
      </w:r>
    </w:p>
    <w:p>
      <w:pPr>
        <w:spacing w:after="0" w:line="201" w:lineRule="exact"/>
        <w:rPr>
          <w:sz w:val="20"/>
          <w:szCs w:val="20"/>
          <w:color w:val="auto"/>
        </w:rPr>
      </w:pPr>
    </w:p>
    <w:p>
      <w:pPr>
        <w:ind w:right="2099" w:firstLine="211"/>
        <w:spacing w:after="0" w:line="344" w:lineRule="auto"/>
        <w:rPr>
          <w:sz w:val="20"/>
          <w:szCs w:val="20"/>
          <w:color w:val="auto"/>
        </w:rPr>
      </w:pPr>
      <w:r>
        <w:rPr>
          <w:rFonts w:ascii="Courier New" w:cs="Courier New" w:eastAsia="Courier New" w:hAnsi="Courier New"/>
          <w:sz w:val="16"/>
          <w:szCs w:val="16"/>
          <w:color w:val="auto"/>
        </w:rPr>
        <w:t>Limitations on Incurrence of Debt. The Notes will provide that the Trust will not, and will not permit any Subsidiary to, incur any Debt (as defined below) if, immediately after giving effect to the incurrence of such Debt and</w:t>
      </w:r>
    </w:p>
    <w:p>
      <w:pPr>
        <w:sectPr>
          <w:pgSz w:w="11900" w:h="16864" w:orient="portrait"/>
          <w:cols w:equalWidth="0" w:num="1">
            <w:col w:w="10219"/>
          </w:cols>
          <w:pgMar w:left="240" w:top="691" w:right="1440" w:bottom="0" w:gutter="0" w:footer="0" w:header="0"/>
        </w:sectPr>
      </w:pPr>
    </w:p>
    <w:bookmarkStart w:id="27" w:name="page28"/>
    <w:bookmarkEnd w:id="27"/>
    <w:p>
      <w:pPr>
        <w:ind w:right="1999"/>
        <w:spacing w:after="0" w:line="347" w:lineRule="auto"/>
        <w:rPr>
          <w:sz w:val="20"/>
          <w:szCs w:val="20"/>
          <w:color w:val="auto"/>
        </w:rPr>
      </w:pPr>
      <w:r>
        <w:rPr>
          <w:rFonts w:ascii="Courier New" w:cs="Courier New" w:eastAsia="Courier New" w:hAnsi="Courier New"/>
          <w:sz w:val="18"/>
          <w:szCs w:val="18"/>
          <w:color w:val="auto"/>
        </w:rPr>
        <w:t>the application of the proceeds thereof, the aggregate principal amount of all outstanding Debt of the Trust and</w:t>
      </w:r>
    </w:p>
    <w:p>
      <w:pPr>
        <w:spacing w:after="0" w:line="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S-16</w:t>
      </w:r>
    </w:p>
    <w:p>
      <w:pPr>
        <w:sectPr>
          <w:pgSz w:w="11900" w:h="16838" w:orient="portrait"/>
          <w:cols w:equalWidth="0" w:num="1">
            <w:col w:w="10219"/>
          </w:cols>
          <w:pgMar w:left="240" w:top="110" w:right="1440" w:bottom="1440" w:gutter="0" w:footer="0" w:header="0"/>
        </w:sectPr>
      </w:pPr>
    </w:p>
    <w:bookmarkStart w:id="28" w:name="page29"/>
    <w:bookmarkEnd w:id="28"/>
    <w:p>
      <w:pPr>
        <w:ind w:right="2099"/>
        <w:spacing w:after="0" w:line="246" w:lineRule="auto"/>
        <w:rPr>
          <w:sz w:val="20"/>
          <w:szCs w:val="20"/>
          <w:color w:val="auto"/>
        </w:rPr>
      </w:pPr>
      <w:r>
        <w:rPr>
          <w:rFonts w:ascii="Courier New" w:cs="Courier New" w:eastAsia="Courier New" w:hAnsi="Courier New"/>
          <w:sz w:val="18"/>
          <w:szCs w:val="18"/>
          <w:color w:val="auto"/>
        </w:rPr>
        <w:t>its Subsidiaries on a consolidated basis determined in accordance with generally accepted accounting principles is greater than 65% of the sum of (without duplication) (i) the Trust's Total Assets as of the end of the calendar quarter covered in the Trust's Annual Report on Form 10-K or Quarterly Report on Form 10-Q, as the case may be, most recently filed with the Securities and Exchange Commission (or, if such filing is not permitted under the Securities Exchange Act of 1934, with the Trustee) prior to the incurrence of such additional Debt and (ii) the purchase price of any real estate assets or mortgages receivable acquired, and the amount of any securities offering proceeds received (to the extent such proceeds were not used to acquire real estate assets or mortgages receivable or used to reduce Debt), by the Trust or any Subsidiary since the end of such calendar quarter, including those proceeds obtained in connection with the incurrence of such additional Debt.</w:t>
      </w:r>
    </w:p>
    <w:p>
      <w:pPr>
        <w:spacing w:after="0" w:line="113" w:lineRule="exact"/>
        <w:rPr>
          <w:sz w:val="20"/>
          <w:szCs w:val="20"/>
          <w:color w:val="auto"/>
        </w:rPr>
      </w:pPr>
    </w:p>
    <w:p>
      <w:pPr>
        <w:ind w:right="1999" w:firstLine="211"/>
        <w:spacing w:after="0" w:line="247" w:lineRule="auto"/>
        <w:rPr>
          <w:sz w:val="20"/>
          <w:szCs w:val="20"/>
          <w:color w:val="auto"/>
        </w:rPr>
      </w:pPr>
      <w:r>
        <w:rPr>
          <w:rFonts w:ascii="Courier New" w:cs="Courier New" w:eastAsia="Courier New" w:hAnsi="Courier New"/>
          <w:sz w:val="18"/>
          <w:szCs w:val="18"/>
          <w:color w:val="auto"/>
        </w:rPr>
        <w:t>In addition to the foregoing limitation on the incurrence of Debt, the Notes will provide that the Trust will not, and will not permit any Subsidiary to, incur any Debt secured by any mortgage, lien, charge, pledge, encumbrance or security interest of any kind upon any of the property of the Trust or any Subsidiary if, immediately after giving effect to the incurrence of such Debt and the application of the proceeds thereof, the aggregate principal amount of all outstanding Debt of the Trust and its Subsidiaries on a consolidated basis which is secured by any mortgage, lien, charge, pledge, encumbrance or security interest on property of the Trust or any Subsidiary is greater than 40% of the Trust's Total Assets; provided that for purposes of this limitation, the amount of obligations under capital leases shown as a liability on the Trust's consolidated balance sheet shall be deducted from Debt and from Total Assets.</w:t>
      </w:r>
    </w:p>
    <w:p>
      <w:pPr>
        <w:spacing w:after="0" w:line="108" w:lineRule="exact"/>
        <w:rPr>
          <w:sz w:val="20"/>
          <w:szCs w:val="20"/>
          <w:color w:val="auto"/>
        </w:rPr>
      </w:pPr>
    </w:p>
    <w:p>
      <w:pPr>
        <w:ind w:right="2099" w:firstLine="211"/>
        <w:spacing w:after="0" w:line="274" w:lineRule="auto"/>
        <w:rPr>
          <w:sz w:val="20"/>
          <w:szCs w:val="20"/>
          <w:color w:val="auto"/>
        </w:rPr>
      </w:pPr>
      <w:r>
        <w:rPr>
          <w:rFonts w:ascii="Courier New" w:cs="Courier New" w:eastAsia="Courier New" w:hAnsi="Courier New"/>
          <w:sz w:val="16"/>
          <w:szCs w:val="16"/>
          <w:color w:val="auto"/>
        </w:rPr>
        <w:t>In addition to the foregoing limitations on the incurrence of Debt, the Notes will provide that the Trust will not and will not permit any Subsidiary to, incur any Senior Debt if the ratio of Consolidated Income Available for Senior Debt Service (as defined below) to the Annual Senior Debt Service Charge (as defined below) for the four consecutive fiscal quarters most recently ended prior to the date on which such Senior Debt is to be incurred shall have been less than 1.5 to 1, on an unaudited pro forma basis after giving effect thereto and to the application of the proceeds therefrom, and calculated on the assumption that (i) such Senior Debt and any other Senior Debt incurred by the Trust and its Subsidiaries since the first day of such four-quarter period and the application of the proceeds therefrom, including to refinance other Senior Debt, had occurred at the beginning of such period;</w:t>
      </w:r>
    </w:p>
    <w:p>
      <w:pPr>
        <w:spacing w:after="0" w:line="187" w:lineRule="exact"/>
        <w:rPr>
          <w:sz w:val="20"/>
          <w:szCs w:val="20"/>
          <w:color w:val="auto"/>
        </w:rPr>
      </w:pPr>
    </w:p>
    <w:p>
      <w:pPr>
        <w:ind w:right="1999" w:firstLine="8"/>
        <w:spacing w:after="0" w:line="242" w:lineRule="auto"/>
        <w:tabs>
          <w:tab w:leader="none" w:pos="5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repayment or retirement of any other Senior Debt by the Trust and its Subsidiaries since the first day of such four-quarter period had been incurred, repaid or retired at the beginning of such period (except that, in making such computation, the amount of Senior Debt under any revolving credit facility shall be computed based upon the average daily balance of such Senior Debt during such period); (iii) in the case of Acquired Debt (as defined below) or Senior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(iv) in the case of any acquisition or disposition by the Trust or its Subsidiaries of any asset or group of assets since the first day of such four-quarter period, whether by merger, stock purchase or sale, or asset purchase or sale, such acquisition or disposition or any related repayment of Senior Debt had occurred as of the first day of such period with the appropriate adjustments with respect to such acquisition or disposition being included in such unaudited pro forma calculation.</w:t>
      </w:r>
    </w:p>
    <w:p>
      <w:pPr>
        <w:spacing w:after="0" w:line="119" w:lineRule="exact"/>
        <w:rPr>
          <w:sz w:val="20"/>
          <w:szCs w:val="20"/>
          <w:color w:val="auto"/>
        </w:rPr>
      </w:pPr>
    </w:p>
    <w:p>
      <w:pPr>
        <w:ind w:right="2099" w:firstLine="211"/>
        <w:spacing w:after="0" w:line="276" w:lineRule="auto"/>
        <w:rPr>
          <w:sz w:val="20"/>
          <w:szCs w:val="20"/>
          <w:color w:val="auto"/>
        </w:rPr>
      </w:pPr>
      <w:r>
        <w:rPr>
          <w:rFonts w:ascii="Courier New" w:cs="Courier New" w:eastAsia="Courier New" w:hAnsi="Courier New"/>
          <w:sz w:val="16"/>
          <w:szCs w:val="16"/>
          <w:color w:val="auto"/>
        </w:rPr>
        <w:t>Furthermore, the Notes also will provide that the Trust will not, and will not permit any Subsidiary to, incur any Debt if the ratio of Consolidated Income Available for Debt Service (as defined below) to the Annual Debt Service Charge (as defined below) for the four consecutive fiscal quarters most recently ended prior to the date on which such additional Debt is to be incurred shall have been less than 1.3 to 1, on an unaudited pro forma basis after giving effect thereto and to the application of the proceeds therefrom, and calculated on the assumption that (i) such Debt and any other Debt incurred by the Trust and its Subsidiaries since the first day of such four-quarter period and the application of the proceeds therefrom, including to refinance other Debt, had occurred at the beginning of such period; (ii) the repayment or retirement of any other Debt by the Trust and its Subsidiaries since the first day of such four-quarter period had been incurred, repaid or retired at the beginning of such period (except that, in making such computation, the amount of Debt under any revolving credit facility shall be computed based upon the average daily balance of such Debt during such period); (iii) in the case of Acquired Debt or Debt incurred in connection with any acquisition since the first day of such four-quarter period, the related acquisition had occurred as of the first day of such period with the</w:t>
      </w:r>
    </w:p>
    <w:p>
      <w:pPr>
        <w:sectPr>
          <w:pgSz w:w="11900" w:h="16838" w:orient="portrait"/>
          <w:cols w:equalWidth="0" w:num="1">
            <w:col w:w="10219"/>
          </w:cols>
          <w:pgMar w:left="240" w:top="691" w:right="1440" w:bottom="0" w:gutter="0" w:footer="0" w:header="0"/>
        </w:sectPr>
      </w:pPr>
    </w:p>
    <w:bookmarkStart w:id="29" w:name="page30"/>
    <w:bookmarkEnd w:id="29"/>
    <w:p>
      <w:pPr>
        <w:ind w:right="2099"/>
        <w:spacing w:after="0" w:line="252" w:lineRule="auto"/>
        <w:rPr>
          <w:sz w:val="20"/>
          <w:szCs w:val="20"/>
          <w:color w:val="auto"/>
        </w:rPr>
      </w:pPr>
      <w:r>
        <w:rPr>
          <w:rFonts w:ascii="Courier New" w:cs="Courier New" w:eastAsia="Courier New" w:hAnsi="Courier New"/>
          <w:sz w:val="18"/>
          <w:szCs w:val="18"/>
          <w:color w:val="auto"/>
        </w:rPr>
        <w:t>appropriate adjustments with respect to such acquisition being included in such unaudited pro forma calculation; and (iv) in the case of any acquisition or disposition by the Trust or its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9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S-17</w:t>
      </w:r>
    </w:p>
    <w:p>
      <w:pPr>
        <w:sectPr>
          <w:pgSz w:w="11900" w:h="16838" w:orient="portrait"/>
          <w:cols w:equalWidth="0" w:num="1">
            <w:col w:w="10219"/>
          </w:cols>
          <w:pgMar w:left="240" w:top="110" w:right="1440" w:bottom="1440" w:gutter="0" w:footer="0" w:header="0"/>
        </w:sectPr>
      </w:pPr>
    </w:p>
    <w:bookmarkStart w:id="30" w:name="page31"/>
    <w:bookmarkEnd w:id="30"/>
    <w:p>
      <w:pPr>
        <w:ind w:left="220"/>
        <w:spacing w:after="0"/>
        <w:rPr>
          <w:sz w:val="20"/>
          <w:szCs w:val="20"/>
          <w:color w:val="auto"/>
        </w:rPr>
      </w:pPr>
      <w:r>
        <w:rPr>
          <w:rFonts w:ascii="Courier New" w:cs="Courier New" w:eastAsia="Courier New" w:hAnsi="Courier New"/>
          <w:sz w:val="18"/>
          <w:szCs w:val="18"/>
          <w:color w:val="auto"/>
        </w:rPr>
        <w:t>As used herein,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"Acquired Debt" means Debt (or Senior Debt, as the case may be) of a Person</w:t>
      </w:r>
    </w:p>
    <w:p>
      <w:pPr>
        <w:spacing w:after="0" w:line="53" w:lineRule="exact"/>
        <w:rPr>
          <w:sz w:val="20"/>
          <w:szCs w:val="20"/>
          <w:color w:val="auto"/>
        </w:rPr>
      </w:pPr>
    </w:p>
    <w:p>
      <w:pPr>
        <w:ind w:right="2099" w:firstLine="8"/>
        <w:spacing w:after="0" w:line="250"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existing at the time such Person becomes a Subsidiary or (ii) assumed in connection with the acquisition of assets from such Person, in each case, other than Debt (or Senior Debt, as the case may be)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102"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8"/>
          <w:szCs w:val="18"/>
          <w:color w:val="auto"/>
        </w:rPr>
        <w:t>"Annual Debt Service Charge" as of any date means the maximum amount which is payable in any period for interest on, and original issue discount of, Debt of the Trust and its Subsidiaries and the amount of dividends which are payable in respect of any Disqualified Stock (as defined below).</w:t>
      </w:r>
    </w:p>
    <w:p>
      <w:pPr>
        <w:spacing w:after="0" w:line="82" w:lineRule="exact"/>
        <w:rPr>
          <w:sz w:val="20"/>
          <w:szCs w:val="20"/>
          <w:color w:val="auto"/>
        </w:rPr>
      </w:pPr>
    </w:p>
    <w:p>
      <w:pPr>
        <w:ind w:right="2099" w:firstLine="211"/>
        <w:spacing w:after="0" w:line="292" w:lineRule="auto"/>
        <w:rPr>
          <w:sz w:val="20"/>
          <w:szCs w:val="20"/>
          <w:color w:val="auto"/>
        </w:rPr>
      </w:pPr>
      <w:r>
        <w:rPr>
          <w:rFonts w:ascii="Courier New" w:cs="Courier New" w:eastAsia="Courier New" w:hAnsi="Courier New"/>
          <w:sz w:val="18"/>
          <w:szCs w:val="18"/>
          <w:color w:val="auto"/>
        </w:rPr>
        <w:t>"Annual Senior Debt Service Charge" as of any date means the maximum amount which is payable in any period for interest on, and original issue discount of, Senior Debt of the Trust and its Subsidiaries.</w:t>
      </w:r>
    </w:p>
    <w:p>
      <w:pPr>
        <w:spacing w:after="0" w:line="66" w:lineRule="exact"/>
        <w:rPr>
          <w:sz w:val="20"/>
          <w:szCs w:val="20"/>
          <w:color w:val="auto"/>
        </w:rPr>
      </w:pPr>
    </w:p>
    <w:p>
      <w:pPr>
        <w:ind w:right="2099" w:firstLine="211"/>
        <w:spacing w:after="0" w:line="265" w:lineRule="auto"/>
        <w:rPr>
          <w:sz w:val="20"/>
          <w:szCs w:val="20"/>
          <w:color w:val="auto"/>
        </w:rPr>
      </w:pPr>
      <w:r>
        <w:rPr>
          <w:rFonts w:ascii="Courier New" w:cs="Courier New" w:eastAsia="Courier New" w:hAnsi="Courier New"/>
          <w:sz w:val="18"/>
          <w:szCs w:val="18"/>
          <w:color w:val="auto"/>
        </w:rPr>
        <w:t>"Capital Stock"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90" w:lineRule="exact"/>
        <w:rPr>
          <w:sz w:val="20"/>
          <w:szCs w:val="20"/>
          <w:color w:val="auto"/>
        </w:rPr>
      </w:pPr>
    </w:p>
    <w:p>
      <w:pPr>
        <w:ind w:right="2099" w:firstLine="211"/>
        <w:spacing w:after="0" w:line="318" w:lineRule="auto"/>
        <w:rPr>
          <w:sz w:val="20"/>
          <w:szCs w:val="20"/>
          <w:color w:val="auto"/>
        </w:rPr>
      </w:pPr>
      <w:r>
        <w:rPr>
          <w:rFonts w:ascii="Courier New" w:cs="Courier New" w:eastAsia="Courier New" w:hAnsi="Courier New"/>
          <w:sz w:val="16"/>
          <w:szCs w:val="16"/>
          <w:color w:val="auto"/>
        </w:rPr>
        <w:t>"Consolidated Income Available for Debt Service" and "Consolidated Income Available for Senior Debt Service" for any period means Funds from Operations (as defined below) of the Trust and its Subsidiaries plus amounts which have been deducted for interest on Debt of the Trust and its Subsidiaries.</w:t>
      </w:r>
    </w:p>
    <w:p>
      <w:pPr>
        <w:spacing w:after="0" w:line="52" w:lineRule="exact"/>
        <w:rPr>
          <w:sz w:val="20"/>
          <w:szCs w:val="20"/>
          <w:color w:val="auto"/>
        </w:rPr>
      </w:pPr>
    </w:p>
    <w:p>
      <w:pPr>
        <w:ind w:right="1999" w:firstLine="211"/>
        <w:spacing w:after="0" w:line="276" w:lineRule="auto"/>
        <w:rPr>
          <w:sz w:val="20"/>
          <w:szCs w:val="20"/>
          <w:color w:val="auto"/>
        </w:rPr>
      </w:pPr>
      <w:r>
        <w:rPr>
          <w:rFonts w:ascii="Courier New" w:cs="Courier New" w:eastAsia="Courier New" w:hAnsi="Courier New"/>
          <w:sz w:val="16"/>
          <w:szCs w:val="16"/>
          <w:color w:val="auto"/>
        </w:rPr>
        <w:t>"Debt" means any indebtedness of the Trust, or any Subsidiary, whether or not contingent, in respect of (without duplication) (i) borrowed money or evidenced by bonds, notes, debentures or similar instruments, (ii) indebtedness secured by any mortgage, pledge, lien, charge, encumbrance or any security interest existing on property owned by the Trust or any Subsidiary,</w:t>
      </w:r>
    </w:p>
    <w:p>
      <w:pPr>
        <w:spacing w:after="0" w:line="3" w:lineRule="exact"/>
        <w:rPr>
          <w:sz w:val="20"/>
          <w:szCs w:val="20"/>
          <w:color w:val="auto"/>
        </w:rPr>
      </w:pPr>
    </w:p>
    <w:p>
      <w:pPr>
        <w:ind w:right="1999" w:firstLine="8"/>
        <w:spacing w:after="0" w:line="273" w:lineRule="auto"/>
        <w:tabs>
          <w:tab w:leader="none" w:pos="63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(iv) the principal amount of all obligations of the Trust or any Subsidiary with respect to redemption, repayment or other repurchase of any Disqualified Stock or (v) any lease of property by the Trust or any Subsidiary as lessee which is reflected on the Trust's consolidated balance sheet as a capitalized lease in accordance with generally accepted accounting principles to the extent, in the case of items of indebtedness under (i) through (iii) above, that any such items (other than letters of credit) would appear as a liability on the Trust's consolidated balance sheet in accordance with generally accepted accounting principles, and also includes, to the extent not otherwise included, any obligation of the Trust or any Subsidiary to be liable for, or to pay, as obligor, guarantor or otherwise (other than for purposes of collection in the ordinary course of business or for the purposes of guaranteeing the payment of all amounts due and owing pursuant to leases to which the Trust is a party and has assigned its interest, provided that such assignee of the Trust is not in default of any amounts due and owing under such leases), Debt of another Person (other than the Trust or any Subsidiary) (it being understood that Debt shall be deemed to be incurred by the Trust or any Subsidiary whenever the Trust or such Subsidiary shall create, assume, guarantee or otherwise become liable in respect thereof).</w:t>
      </w:r>
    </w:p>
    <w:p>
      <w:pPr>
        <w:spacing w:after="0" w:line="200" w:lineRule="exact"/>
        <w:rPr>
          <w:sz w:val="20"/>
          <w:szCs w:val="20"/>
          <w:color w:val="auto"/>
        </w:rPr>
      </w:pPr>
    </w:p>
    <w:p>
      <w:pPr>
        <w:spacing w:after="0" w:line="297" w:lineRule="exact"/>
        <w:rPr>
          <w:sz w:val="20"/>
          <w:szCs w:val="20"/>
          <w:color w:val="auto"/>
        </w:rPr>
      </w:pPr>
    </w:p>
    <w:p>
      <w:pPr>
        <w:ind w:right="1999" w:firstLine="211"/>
        <w:spacing w:after="0" w:line="245" w:lineRule="auto"/>
        <w:rPr>
          <w:sz w:val="20"/>
          <w:szCs w:val="20"/>
          <w:color w:val="auto"/>
        </w:rPr>
      </w:pPr>
      <w:r>
        <w:rPr>
          <w:rFonts w:ascii="Courier New" w:cs="Courier New" w:eastAsia="Courier New" w:hAnsi="Courier New"/>
          <w:sz w:val="18"/>
          <w:szCs w:val="18"/>
          <w:color w:val="auto"/>
        </w:rPr>
        <w:t>"Disqualified Stock" means, with respect to any Person, any Capital Stock of such Person which by the terms of such Capital Stock (or by the terms of any security into which it is convertible or for which it is exchangeable or exercisable), upon the happening of any event or otherwise (i) matures or is mandatorily redeemable, pursuant to a sinking fund obligation or otherwise,</w:t>
      </w:r>
    </w:p>
    <w:p>
      <w:pPr>
        <w:spacing w:after="0" w:line="4" w:lineRule="exact"/>
        <w:rPr>
          <w:sz w:val="20"/>
          <w:szCs w:val="20"/>
          <w:color w:val="auto"/>
        </w:rPr>
      </w:pPr>
    </w:p>
    <w:p>
      <w:pPr>
        <w:ind w:right="1999" w:firstLine="8"/>
        <w:spacing w:after="0" w:line="262" w:lineRule="auto"/>
        <w:tabs>
          <w:tab w:leader="none" w:pos="5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convertible into or exchangeable or exercisable for Debt or Disqualified Stock or (iii) is redeemable at the option of the holder thereof, in whole or in part, in each case on or prior to the Stated Maturity of the Notes.</w:t>
      </w:r>
    </w:p>
    <w:p>
      <w:pPr>
        <w:spacing w:after="0" w:line="90" w:lineRule="exact"/>
        <w:rPr>
          <w:sz w:val="20"/>
          <w:szCs w:val="20"/>
          <w:color w:val="auto"/>
        </w:rPr>
      </w:pPr>
    </w:p>
    <w:p>
      <w:pPr>
        <w:ind w:right="2099" w:firstLine="211"/>
        <w:spacing w:after="0" w:line="347" w:lineRule="auto"/>
        <w:rPr>
          <w:sz w:val="20"/>
          <w:szCs w:val="20"/>
          <w:color w:val="auto"/>
        </w:rPr>
      </w:pPr>
      <w:r>
        <w:rPr>
          <w:rFonts w:ascii="Courier New" w:cs="Courier New" w:eastAsia="Courier New" w:hAnsi="Courier New"/>
          <w:sz w:val="18"/>
          <w:szCs w:val="18"/>
          <w:color w:val="auto"/>
        </w:rPr>
        <w:t>"Funds from Operations" for any period means income before depreciation and amortization and extraordinary items less gain on sale of real estate.</w:t>
      </w:r>
    </w:p>
    <w:p>
      <w:pPr>
        <w:spacing w:after="0" w:line="18" w:lineRule="exact"/>
        <w:rPr>
          <w:sz w:val="20"/>
          <w:szCs w:val="20"/>
          <w:color w:val="auto"/>
        </w:rPr>
      </w:pPr>
    </w:p>
    <w:p>
      <w:pPr>
        <w:ind w:right="2419" w:firstLine="211"/>
        <w:spacing w:after="0" w:line="347" w:lineRule="auto"/>
        <w:rPr>
          <w:sz w:val="20"/>
          <w:szCs w:val="20"/>
          <w:color w:val="auto"/>
        </w:rPr>
      </w:pPr>
      <w:r>
        <w:rPr>
          <w:rFonts w:ascii="Courier New" w:cs="Courier New" w:eastAsia="Courier New" w:hAnsi="Courier New"/>
          <w:sz w:val="18"/>
          <w:szCs w:val="18"/>
          <w:color w:val="auto"/>
        </w:rPr>
        <w:t>"Senior Debt" means Debt other than subordinated Debt and payments under Disqualified Stock of the Trust.</w:t>
      </w:r>
    </w:p>
    <w:p>
      <w:pPr>
        <w:spacing w:after="0" w:line="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S-18</w:t>
      </w:r>
    </w:p>
    <w:p>
      <w:pPr>
        <w:sectPr>
          <w:pgSz w:w="11900" w:h="16838" w:orient="portrait"/>
          <w:cols w:equalWidth="0" w:num="1">
            <w:col w:w="10219"/>
          </w:cols>
          <w:pgMar w:left="240" w:top="691" w:right="1440" w:bottom="0" w:gutter="0" w:footer="0" w:header="0"/>
        </w:sectPr>
      </w:pPr>
    </w:p>
    <w:bookmarkStart w:id="31" w:name="page32"/>
    <w:bookmarkEnd w:id="31"/>
    <w:p>
      <w:pPr>
        <w:ind w:right="1999" w:firstLine="211"/>
        <w:spacing w:after="0" w:line="274" w:lineRule="auto"/>
        <w:rPr>
          <w:sz w:val="20"/>
          <w:szCs w:val="20"/>
          <w:color w:val="auto"/>
        </w:rPr>
      </w:pPr>
      <w:r>
        <w:rPr>
          <w:rFonts w:ascii="Courier New" w:cs="Courier New" w:eastAsia="Courier New" w:hAnsi="Courier New"/>
          <w:sz w:val="18"/>
          <w:szCs w:val="18"/>
          <w:color w:val="auto"/>
        </w:rPr>
        <w:t>"Total Assets" as of any date means the sum of (i) the Trust's Undepreciated Real Estate Assets and (ii) all other assets of the Trust determined in accordance with generally accepted accounting principles (but excluding goodwill).</w:t>
      </w:r>
    </w:p>
    <w:p>
      <w:pPr>
        <w:spacing w:after="0" w:line="82" w:lineRule="exact"/>
        <w:rPr>
          <w:sz w:val="20"/>
          <w:szCs w:val="20"/>
          <w:color w:val="auto"/>
        </w:rPr>
      </w:pPr>
    </w:p>
    <w:p>
      <w:pPr>
        <w:ind w:right="2099" w:firstLine="211"/>
        <w:spacing w:after="0" w:line="265" w:lineRule="auto"/>
        <w:rPr>
          <w:sz w:val="20"/>
          <w:szCs w:val="20"/>
          <w:color w:val="auto"/>
        </w:rPr>
      </w:pPr>
      <w:r>
        <w:rPr>
          <w:rFonts w:ascii="Courier New" w:cs="Courier New" w:eastAsia="Courier New" w:hAnsi="Courier New"/>
          <w:sz w:val="18"/>
          <w:szCs w:val="18"/>
          <w:color w:val="auto"/>
        </w:rPr>
        <w:t>"Undepreciated Real Estate Assets" as of any date means the cost (original cost plus capital improvements) of real estate assets of the Trust and its Subsidiaries on such date, before depreciation and amortization determined on a consolidated basis in accordance with generally accepted accounting principles.</w:t>
      </w:r>
    </w:p>
    <w:p>
      <w:pPr>
        <w:spacing w:after="0" w:line="90" w:lineRule="exact"/>
        <w:rPr>
          <w:sz w:val="20"/>
          <w:szCs w:val="20"/>
          <w:color w:val="auto"/>
        </w:rPr>
      </w:pPr>
    </w:p>
    <w:p>
      <w:pPr>
        <w:ind w:right="2319" w:firstLine="211"/>
        <w:spacing w:after="0" w:line="402" w:lineRule="auto"/>
        <w:rPr>
          <w:sz w:val="20"/>
          <w:szCs w:val="20"/>
          <w:color w:val="auto"/>
        </w:rPr>
      </w:pPr>
      <w:r>
        <w:rPr>
          <w:rFonts w:ascii="Courier New" w:cs="Courier New" w:eastAsia="Courier New" w:hAnsi="Courier New"/>
          <w:sz w:val="16"/>
          <w:szCs w:val="16"/>
          <w:color w:val="auto"/>
        </w:rPr>
        <w:t>See "Description of Debt Securities--Certain Covenants" in the Prospectus for a description of additional covenants applicable to the Trust.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DEFEASANCE</w:t>
      </w:r>
    </w:p>
    <w:p>
      <w:pPr>
        <w:spacing w:after="0" w:line="201" w:lineRule="exact"/>
        <w:rPr>
          <w:sz w:val="20"/>
          <w:szCs w:val="20"/>
          <w:color w:val="auto"/>
        </w:rPr>
      </w:pPr>
    </w:p>
    <w:p>
      <w:pPr>
        <w:ind w:right="2099" w:firstLine="211"/>
        <w:spacing w:after="0" w:line="292" w:lineRule="auto"/>
        <w:rPr>
          <w:sz w:val="20"/>
          <w:szCs w:val="20"/>
          <w:color w:val="auto"/>
        </w:rPr>
      </w:pPr>
      <w:r>
        <w:rPr>
          <w:rFonts w:ascii="Courier New" w:cs="Courier New" w:eastAsia="Courier New" w:hAnsi="Courier New"/>
          <w:sz w:val="18"/>
          <w:szCs w:val="18"/>
          <w:color w:val="auto"/>
        </w:rPr>
        <w:t>The provisions of Article 14 of the Indenture relating to defeasance and covenant defeasance, which are described in the accompanying Prospectus, will apply to the Notes.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BOOK-ENTRY NOTES</w:t>
      </w:r>
    </w:p>
    <w:p>
      <w:pPr>
        <w:spacing w:after="0" w:line="201" w:lineRule="exact"/>
        <w:rPr>
          <w:sz w:val="20"/>
          <w:szCs w:val="20"/>
          <w:color w:val="auto"/>
        </w:rPr>
      </w:pPr>
    </w:p>
    <w:p>
      <w:pPr>
        <w:ind w:right="1999" w:firstLine="211"/>
        <w:spacing w:after="0" w:line="265" w:lineRule="auto"/>
        <w:rPr>
          <w:sz w:val="20"/>
          <w:szCs w:val="20"/>
          <w:color w:val="auto"/>
        </w:rPr>
      </w:pPr>
      <w:r>
        <w:rPr>
          <w:rFonts w:ascii="Courier New" w:cs="Courier New" w:eastAsia="Courier New" w:hAnsi="Courier New"/>
          <w:sz w:val="18"/>
          <w:szCs w:val="18"/>
          <w:color w:val="auto"/>
        </w:rPr>
        <w:t>The Trust has established a depositary arrangement with The Depository Trust Company with respect to the Book-Entry Notes, the terms of which are summarized below. Any additional or differing terms of the depositary arrangement with respect to the Book-Entry Notes will be described in the applicable Pricing Supplement.</w:t>
      </w:r>
    </w:p>
    <w:p>
      <w:pPr>
        <w:spacing w:after="0" w:line="90" w:lineRule="exact"/>
        <w:rPr>
          <w:sz w:val="20"/>
          <w:szCs w:val="20"/>
          <w:color w:val="auto"/>
        </w:rPr>
      </w:pPr>
    </w:p>
    <w:p>
      <w:pPr>
        <w:ind w:right="1999" w:firstLine="211"/>
        <w:spacing w:after="0" w:line="283" w:lineRule="auto"/>
        <w:rPr>
          <w:sz w:val="20"/>
          <w:szCs w:val="20"/>
          <w:color w:val="auto"/>
        </w:rPr>
      </w:pPr>
      <w:r>
        <w:rPr>
          <w:rFonts w:ascii="Courier New" w:cs="Courier New" w:eastAsia="Courier New" w:hAnsi="Courier New"/>
          <w:sz w:val="16"/>
          <w:szCs w:val="16"/>
          <w:color w:val="auto"/>
        </w:rPr>
        <w:t>Upon issuance, all Book-Entry Notes up to $250,000,000 aggregate principal amount bearing interest at the same rate or pursuant to the same formula and having the same date of issue, Specified Currency, Interest Payment Dates, Stated Maturity Date, redemption provisions (if any), repayment provisions (if any) and other terms will be represented by a single Global Security. Each Global Security representing Book-Entry Notes will be deposited with, or on behalf of, the Depositary and will be registered in the name of the Depositary or a nominee of the Depositary. No Global Security may be transferred except as a whole by a nominee of the Depositary to the Depositary or to another nominee of the Depositary, or by the Depositary or such nominee to a successor of the Depositary or a nominee of such successor.</w:t>
      </w:r>
    </w:p>
    <w:p>
      <w:pPr>
        <w:spacing w:after="0" w:line="294" w:lineRule="exact"/>
        <w:rPr>
          <w:sz w:val="20"/>
          <w:szCs w:val="20"/>
          <w:color w:val="auto"/>
        </w:rPr>
      </w:pPr>
    </w:p>
    <w:p>
      <w:pPr>
        <w:ind w:right="1999" w:firstLine="211"/>
        <w:spacing w:after="0" w:line="245" w:lineRule="auto"/>
        <w:rPr>
          <w:sz w:val="20"/>
          <w:szCs w:val="20"/>
          <w:color w:val="auto"/>
        </w:rPr>
      </w:pPr>
      <w:r>
        <w:rPr>
          <w:rFonts w:ascii="Courier New" w:cs="Courier New" w:eastAsia="Courier New" w:hAnsi="Courier New"/>
          <w:sz w:val="18"/>
          <w:szCs w:val="18"/>
          <w:color w:val="auto"/>
        </w:rPr>
        <w:t>So long as the Depositary or its nominee is the registered owner of a Global Security, the Depositary or its nominee, as the case may be, will be the sole Holder of the Book-Entry Notes represented thereby for all purposes under the Indenture. Except as otherwise provided in this section, the Beneficial Owners of the Global Security or Securities representing Book-Entry Notes will not be entitled to receive physical delivery of Certificated Notes and will not be considered the Holders thereof for any purpose under the Indenture, and no Global Security representing Book-Entry Notes shall be exchangeable or transferable. Accordingly, each Beneficial Owner must rely on the procedures of the Depositary and, if such Beneficial Owner is not a Participant (as defined below), on the procedures of the Participant through which such Beneficial Owner owns its interest in order to exercise any rights of a Holder under such Global Security or the Indenture. The laws of some jurisdictions require that certain purchasers of securities take physical delivery of such securities in certificated form. Such limits and such laws may impair the ability to transfer beneficial interests in a Global Security representing Book-Entry Notes.</w:t>
      </w:r>
    </w:p>
    <w:p>
      <w:pPr>
        <w:spacing w:after="0" w:line="108"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Unless otherwise specified in the applicable Pricing Supplement, each Global Security representing Book-Entry Notes will be exchangeable for Certificated Notes of like tenor and terms and of differing authorized denominations aggregating a like principal amount, only if (i) the Depositary notifies the Trust that it is unwilling or unable to continue as Depositary for the Global Securities or the Depositary ceases to be a clearing agency registered under the Exchange Act (if so required by applicable law or regulation) and, in each case, a successor Depositary is not appointed by the Trust within 90 days after the Trust receives such notice or becomes aware of such unwillingness, inability or ineligibility, (ii) the Trust in its sole discretion determines that the Global Securities shall be exchangeable for Certificated Notes or</w:t>
      </w:r>
    </w:p>
    <w:p>
      <w:pPr>
        <w:spacing w:after="0" w:line="1" w:lineRule="exact"/>
        <w:rPr>
          <w:sz w:val="20"/>
          <w:szCs w:val="20"/>
          <w:color w:val="auto"/>
        </w:rPr>
      </w:pPr>
    </w:p>
    <w:p>
      <w:pPr>
        <w:ind w:right="2099" w:firstLine="8"/>
        <w:spacing w:after="0" w:line="283" w:lineRule="auto"/>
        <w:tabs>
          <w:tab w:leader="none" w:pos="63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have occurred and be continuing an Event of Default under the Indenture with respect to the Notes and Beneficial Owners representing a majority in aggregate principal amount of the Book-Entry Notes represented by Global Securities advise the Depositary to cease acting as depositary. Upon any such exchange, the Certificated Notes shall be registered in the names of the Beneficial Owners of the Global Security or Securities representing Book-Entry Notes, which names shall be provided by the Depositary's relevant Participants (as identified by the Depositary) to the Securities Registrar.</w:t>
      </w:r>
    </w:p>
    <w:p>
      <w:pPr>
        <w:sectPr>
          <w:pgSz w:w="11900" w:h="16838" w:orient="portrait"/>
          <w:cols w:equalWidth="0" w:num="1">
            <w:col w:w="10219"/>
          </w:cols>
          <w:pgMar w:left="240" w:top="691" w:right="1440" w:bottom="0" w:gutter="0" w:footer="0" w:header="0"/>
        </w:sectPr>
      </w:pPr>
    </w:p>
    <w:bookmarkStart w:id="32" w:name="page33"/>
    <w:bookmarkEnd w:id="32"/>
    <w:p>
      <w:pPr>
        <w:ind w:left="2700"/>
        <w:spacing w:after="0"/>
        <w:rPr>
          <w:sz w:val="20"/>
          <w:szCs w:val="20"/>
          <w:color w:val="auto"/>
        </w:rPr>
      </w:pPr>
      <w:r>
        <w:rPr>
          <w:rFonts w:ascii="Courier New" w:cs="Courier New" w:eastAsia="Courier New" w:hAnsi="Courier New"/>
          <w:sz w:val="16"/>
          <w:szCs w:val="16"/>
          <w:color w:val="auto"/>
        </w:rPr>
        <w:t>S-19</w:t>
      </w:r>
    </w:p>
    <w:p>
      <w:pPr>
        <w:sectPr>
          <w:pgSz w:w="11900" w:h="16838" w:orient="portrait"/>
          <w:cols w:equalWidth="0" w:num="1">
            <w:col w:w="9019"/>
          </w:cols>
          <w:pgMar w:left="1440" w:top="312" w:right="1440" w:bottom="1440" w:gutter="0" w:footer="0" w:header="0"/>
        </w:sectPr>
      </w:pPr>
    </w:p>
    <w:bookmarkStart w:id="33" w:name="page34"/>
    <w:bookmarkEnd w:id="33"/>
    <w:p>
      <w:pPr>
        <w:ind w:right="2099" w:firstLine="211"/>
        <w:spacing w:after="0" w:line="292" w:lineRule="auto"/>
        <w:rPr>
          <w:sz w:val="20"/>
          <w:szCs w:val="20"/>
          <w:color w:val="auto"/>
        </w:rPr>
      </w:pPr>
      <w:r>
        <w:rPr>
          <w:rFonts w:ascii="Courier New" w:cs="Courier New" w:eastAsia="Courier New" w:hAnsi="Courier New"/>
          <w:sz w:val="18"/>
          <w:szCs w:val="18"/>
          <w:color w:val="auto"/>
        </w:rPr>
        <w:t>The information below concerning the Depositary and the Depositary's system has been furnished by the Depositary, and the Trust takes no responsibility for the accuracy thereof.</w:t>
      </w:r>
    </w:p>
    <w:p>
      <w:pPr>
        <w:spacing w:after="0" w:line="66" w:lineRule="exact"/>
        <w:rPr>
          <w:sz w:val="20"/>
          <w:szCs w:val="20"/>
          <w:color w:val="auto"/>
        </w:rPr>
      </w:pPr>
    </w:p>
    <w:p>
      <w:pPr>
        <w:ind w:right="2099" w:firstLine="211"/>
        <w:spacing w:after="0" w:line="287" w:lineRule="auto"/>
        <w:rPr>
          <w:sz w:val="20"/>
          <w:szCs w:val="20"/>
          <w:color w:val="auto"/>
        </w:rPr>
      </w:pPr>
      <w:r>
        <w:rPr>
          <w:rFonts w:ascii="Courier New" w:cs="Courier New" w:eastAsia="Courier New" w:hAnsi="Courier New"/>
          <w:sz w:val="16"/>
          <w:szCs w:val="16"/>
          <w:color w:val="auto"/>
        </w:rPr>
        <w:t>The Depositary will act as securities depository for the Book-Entry Notes. The Book-Entry Notes will be issued as fully registered securities registered in the name of Cede &amp; Co. (the Depositary's partnership nominee). One fully registered Global Security will be issued for each issue of Book-Entry Notes, each in the aggregate principal amount of such issue, and will be deposited with the Depositary. If, however, the aggregate principal amount of any issue exceeds $250,000,000, one Global Security will be issued with respect to each $250,000,000 of principal amount and an additional Global Security will be issued with respect to any remaining principal amount of such issue.</w:t>
      </w:r>
    </w:p>
    <w:p>
      <w:pPr>
        <w:spacing w:after="0" w:line="75" w:lineRule="exact"/>
        <w:rPr>
          <w:sz w:val="20"/>
          <w:szCs w:val="20"/>
          <w:color w:val="auto"/>
        </w:rPr>
      </w:pPr>
    </w:p>
    <w:p>
      <w:pPr>
        <w:ind w:right="1999" w:firstLine="211"/>
        <w:spacing w:after="0" w:line="275" w:lineRule="auto"/>
        <w:rPr>
          <w:sz w:val="20"/>
          <w:szCs w:val="20"/>
          <w:color w:val="auto"/>
        </w:rPr>
      </w:pPr>
      <w:r>
        <w:rPr>
          <w:rFonts w:ascii="Courier New" w:cs="Courier New" w:eastAsia="Courier New" w:hAnsi="Courier New"/>
          <w:sz w:val="16"/>
          <w:szCs w:val="16"/>
          <w:color w:val="auto"/>
        </w:rPr>
        <w:t>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("Participants") deposit with the Depositary.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of the Depositary ("Direct Participants") include securities brokers and dealers (including the Agents), banks, trust companies, clearing corporations and certain other organizations. The Depositary is owned by a number of its Direct Participants and by the New York Stock Exchange, Inc., the American Stock Exchange, Inc. and the National Association of Securities Dealers, Inc. Access to the Depositary's system is also available to others such as securities brokers and dealers, banks and trust companies that clear through or maintain a custodial relationship with a Direct Participant, either directly or indirectly ("Indirect Participants"). The rules applicable to the Depositary and its Participants are on file with the Securities and Exchange Commission.</w:t>
      </w:r>
    </w:p>
    <w:p>
      <w:pPr>
        <w:spacing w:after="0" w:line="303" w:lineRule="exact"/>
        <w:rPr>
          <w:sz w:val="20"/>
          <w:szCs w:val="20"/>
          <w:color w:val="auto"/>
        </w:rPr>
      </w:pPr>
    </w:p>
    <w:p>
      <w:pPr>
        <w:ind w:right="1999" w:firstLine="211"/>
        <w:spacing w:after="0" w:line="245" w:lineRule="auto"/>
        <w:rPr>
          <w:sz w:val="20"/>
          <w:szCs w:val="20"/>
          <w:color w:val="auto"/>
        </w:rPr>
      </w:pPr>
      <w:r>
        <w:rPr>
          <w:rFonts w:ascii="Courier New" w:cs="Courier New" w:eastAsia="Courier New" w:hAnsi="Courier New"/>
          <w:sz w:val="18"/>
          <w:szCs w:val="18"/>
          <w:color w:val="auto"/>
        </w:rPr>
        <w:t>Purchases of Book-Entry Notes under the Depositary's system must be made by or through Direct Participants, which will receive a credit for such Book-Entry Notes on the Depositary's records. The ownership interest of each actual purchaser of each Book-Entry Note represented by a Global Security ("Beneficial Owner") is in turn to be recorded on the Direct Participants' and Indirect Participants' records. Beneficial Owners will not receive written confirmation from the Depositary of their purchase, but Beneficial Owners are expected to receive written confirmations providing details of the transaction, as well as periodic statements of their holdings, from the Direct Participants or Indirect Participants through which such Beneficial Owner entered into the transaction. Transfers of ownership interests in a Global Security representing Book-Entry Notes are to be accomplished by entries made on the books of Participants acting on behalf of Beneficial Owners. Beneficial Owners of a Global Security representing Book-Entry Notes will not receive Certificated Notes representing their ownership interests therein, except in the event that use of the book-entry system for such Book-Entry Notes is discontinued.</w:t>
      </w:r>
    </w:p>
    <w:p>
      <w:pPr>
        <w:spacing w:after="0" w:line="108" w:lineRule="exact"/>
        <w:rPr>
          <w:sz w:val="20"/>
          <w:szCs w:val="20"/>
          <w:color w:val="auto"/>
        </w:rPr>
      </w:pPr>
    </w:p>
    <w:p>
      <w:pPr>
        <w:ind w:right="1999" w:firstLine="211"/>
        <w:spacing w:after="0" w:line="283" w:lineRule="auto"/>
        <w:rPr>
          <w:sz w:val="20"/>
          <w:szCs w:val="20"/>
          <w:color w:val="auto"/>
        </w:rPr>
      </w:pPr>
      <w:r>
        <w:rPr>
          <w:rFonts w:ascii="Courier New" w:cs="Courier New" w:eastAsia="Courier New" w:hAnsi="Courier New"/>
          <w:sz w:val="16"/>
          <w:szCs w:val="16"/>
          <w:color w:val="auto"/>
        </w:rPr>
        <w:t>To facilitate subsequent transfers, all Global Securities representing Book-Entry Notes which are deposited with, or on behalf of, the Depositary are registered in the name of the Depositary's partnership nominee, Cede &amp; Co. The deposit of Global Securities with, or on behalf of, the Depositary and their registration in the name of Cede &amp; Co. effect no change in beneficial ownership. The Depositary has no knowledge of the actual Beneficial Owners of the Global Securities representing the Book-Entry Notes; the Depositary's records reflect only the identity of the Direct Participants to whose accounts such Book-Entry Notes are credited, which may or may not be the Beneficial Owners. The Participants will remain responsible for keeping account of their holdings on behalf of their customers.</w:t>
      </w:r>
    </w:p>
    <w:p>
      <w:pPr>
        <w:spacing w:after="0" w:line="294" w:lineRule="exact"/>
        <w:rPr>
          <w:sz w:val="20"/>
          <w:szCs w:val="20"/>
          <w:color w:val="auto"/>
        </w:rPr>
      </w:pPr>
    </w:p>
    <w:p>
      <w:pPr>
        <w:ind w:right="2199" w:firstLine="211"/>
        <w:spacing w:after="0" w:line="265" w:lineRule="auto"/>
        <w:rPr>
          <w:sz w:val="20"/>
          <w:szCs w:val="20"/>
          <w:color w:val="auto"/>
        </w:rPr>
      </w:pPr>
      <w:r>
        <w:rPr>
          <w:rFonts w:ascii="Courier New" w:cs="Courier New" w:eastAsia="Courier New" w:hAnsi="Courier New"/>
          <w:sz w:val="18"/>
          <w:szCs w:val="18"/>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90" w:lineRule="exact"/>
        <w:rPr>
          <w:sz w:val="20"/>
          <w:szCs w:val="20"/>
          <w:color w:val="auto"/>
        </w:rPr>
      </w:pPr>
    </w:p>
    <w:p>
      <w:pPr>
        <w:ind w:right="2199" w:firstLine="211"/>
        <w:spacing w:after="0" w:line="298" w:lineRule="auto"/>
        <w:rPr>
          <w:sz w:val="20"/>
          <w:szCs w:val="20"/>
          <w:color w:val="auto"/>
        </w:rPr>
      </w:pPr>
      <w:r>
        <w:rPr>
          <w:rFonts w:ascii="Courier New" w:cs="Courier New" w:eastAsia="Courier New" w:hAnsi="Courier New"/>
          <w:sz w:val="16"/>
          <w:szCs w:val="16"/>
          <w:color w:val="auto"/>
        </w:rPr>
        <w:t>Neither the Depositary nor Cede &amp; Co. will consent or vote with respect to the Global Securities representing the Book-Entry Notes. Under its usual procedures, the Depositary mails an Omnibus Proxy to the Trust as soon as possible after the applicable record date. The Omnibus Proxy assigns Cede &amp; Co.'s consenting or voting rights to those Direct Participants to whose accounts the Book-Entry Notes are credited on the applicable record date</w:t>
      </w:r>
    </w:p>
    <w:p>
      <w:pPr>
        <w:sectPr>
          <w:pgSz w:w="11900" w:h="16838" w:orient="portrait"/>
          <w:cols w:equalWidth="0" w:num="1">
            <w:col w:w="10219"/>
          </w:cols>
          <w:pgMar w:left="240" w:top="691" w:right="1440" w:bottom="0" w:gutter="0" w:footer="0" w:header="0"/>
        </w:sectPr>
      </w:pPr>
    </w:p>
    <w:bookmarkStart w:id="34" w:name="page35"/>
    <w:bookmarkEnd w:id="34"/>
    <w:p>
      <w:pPr>
        <w:spacing w:after="0"/>
        <w:rPr>
          <w:sz w:val="20"/>
          <w:szCs w:val="20"/>
          <w:color w:val="auto"/>
        </w:rPr>
      </w:pPr>
      <w:r>
        <w:rPr>
          <w:rFonts w:ascii="Courier New" w:cs="Courier New" w:eastAsia="Courier New" w:hAnsi="Courier New"/>
          <w:sz w:val="16"/>
          <w:szCs w:val="16"/>
          <w:color w:val="auto"/>
        </w:rPr>
        <w:t>(identified in a listing attached to the Omnibus Proxy).</w:t>
      </w:r>
    </w:p>
    <w:p>
      <w:pPr>
        <w:sectPr>
          <w:pgSz w:w="11900" w:h="16838" w:orient="portrait"/>
          <w:cols w:equalWidth="0" w:num="1">
            <w:col w:w="10219"/>
          </w:cols>
          <w:pgMar w:left="240" w:top="110" w:right="1440" w:bottom="1440" w:gutter="0" w:footer="0" w:header="0"/>
        </w:sectPr>
      </w:pPr>
    </w:p>
    <w:p>
      <w:pPr>
        <w:spacing w:after="0" w:line="22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S-20</w:t>
      </w:r>
    </w:p>
    <w:p>
      <w:pPr>
        <w:sectPr>
          <w:pgSz w:w="11900" w:h="16838" w:orient="portrait"/>
          <w:cols w:equalWidth="0" w:num="1">
            <w:col w:w="10219"/>
          </w:cols>
          <w:pgMar w:left="240" w:top="110" w:right="1440" w:bottom="1440" w:gutter="0" w:footer="0" w:header="0"/>
          <w:type w:val="continuous"/>
        </w:sectPr>
      </w:pPr>
    </w:p>
    <w:bookmarkStart w:id="35" w:name="page36"/>
    <w:bookmarkEnd w:id="35"/>
    <w:p>
      <w:pPr>
        <w:ind w:right="1999" w:firstLine="211"/>
        <w:spacing w:after="0" w:line="278" w:lineRule="auto"/>
        <w:rPr>
          <w:sz w:val="20"/>
          <w:szCs w:val="20"/>
          <w:color w:val="auto"/>
        </w:rPr>
      </w:pPr>
      <w:r>
        <w:rPr>
          <w:rFonts w:ascii="Courier New" w:cs="Courier New" w:eastAsia="Courier New" w:hAnsi="Courier New"/>
          <w:sz w:val="16"/>
          <w:szCs w:val="16"/>
          <w:color w:val="auto"/>
        </w:rPr>
        <w:t>Principal, premium, if any, and/or interest payments on Global Securities representing the Book-Entry Notes will be made to the Depositary. The Depositary's practice is to credit Direct Participants' accounts on the applicable payment date in accordance with their respective holdings shown on the Depositary's records unless the Depositary has reason to believe that it will not receive payment on such date.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the Depositary, the Trustee or the Trust, subject to any statutory or regulatory requirements as may be in effect from time to time. Payment of principal, premium, if any, and/or interest to the Depositary is the responsibility of the Trust or the Paying Agent, disbursement of such payments to Direct Participants shall be the responsibility of the Depositary, and disbursement of such payments to the Beneficial Owners shall be the responsibility of Direct Participants and Indirect Participants.</w:t>
      </w:r>
    </w:p>
    <w:p>
      <w:pPr>
        <w:spacing w:after="0" w:line="295" w:lineRule="exact"/>
        <w:rPr>
          <w:sz w:val="20"/>
          <w:szCs w:val="20"/>
          <w:color w:val="auto"/>
        </w:rPr>
      </w:pPr>
    </w:p>
    <w:p>
      <w:pPr>
        <w:ind w:right="2199" w:firstLine="211"/>
        <w:spacing w:after="0" w:line="274" w:lineRule="auto"/>
        <w:rPr>
          <w:sz w:val="20"/>
          <w:szCs w:val="20"/>
          <w:color w:val="auto"/>
        </w:rPr>
      </w:pPr>
      <w:r>
        <w:rPr>
          <w:rFonts w:ascii="Courier New" w:cs="Courier New" w:eastAsia="Courier New" w:hAnsi="Courier New"/>
          <w:sz w:val="18"/>
          <w:szCs w:val="18"/>
          <w:color w:val="auto"/>
        </w:rPr>
        <w:t>If applicable, redemption notices shall be sent to Cede &amp; Co. If less than all of the Book-Entry Notes within an issue are being redeemed, the Depositary's practice is to determine by lot the amount of the interest of each Direct Participant in such issue to be redeemed.</w:t>
      </w:r>
    </w:p>
    <w:p>
      <w:pPr>
        <w:spacing w:after="0" w:line="82" w:lineRule="exact"/>
        <w:rPr>
          <w:sz w:val="20"/>
          <w:szCs w:val="20"/>
          <w:color w:val="auto"/>
        </w:rPr>
      </w:pPr>
    </w:p>
    <w:p>
      <w:pPr>
        <w:ind w:right="2199" w:firstLine="211"/>
        <w:spacing w:after="0" w:line="250" w:lineRule="auto"/>
        <w:rPr>
          <w:sz w:val="20"/>
          <w:szCs w:val="20"/>
          <w:color w:val="auto"/>
        </w:rPr>
      </w:pPr>
      <w:r>
        <w:rPr>
          <w:rFonts w:ascii="Courier New" w:cs="Courier New" w:eastAsia="Courier New" w:hAnsi="Courier New"/>
          <w:sz w:val="18"/>
          <w:szCs w:val="18"/>
          <w:color w:val="auto"/>
        </w:rPr>
        <w:t>A Beneficial Owner shall give notice of any option to elect to have its Book-Entry Notes repaid by the Trust, through its Participant, to the Securities Registrar, and shall effect delivery of such Book-Entry Notes by causing the Direct Participant to transfer the Participant's interest in the Global Security or Securities representing such Book-Entry Notes, on the Depositary's records, to the Securities Registrar. The requirement for physical delivery of Book-Entry Notes in connection with a demand for repayment will be deemed satisfied when the ownership rights in the Global Security or Securities representing such Book-Entry Notes are transferred by Direct Participants on the Depositary's records.</w:t>
      </w:r>
    </w:p>
    <w:p>
      <w:pPr>
        <w:spacing w:after="0" w:line="104" w:lineRule="exact"/>
        <w:rPr>
          <w:sz w:val="20"/>
          <w:szCs w:val="20"/>
          <w:color w:val="auto"/>
        </w:rPr>
      </w:pPr>
    </w:p>
    <w:p>
      <w:pPr>
        <w:ind w:right="1999" w:firstLine="211"/>
        <w:spacing w:after="0" w:line="265" w:lineRule="auto"/>
        <w:rPr>
          <w:sz w:val="20"/>
          <w:szCs w:val="20"/>
          <w:color w:val="auto"/>
        </w:rPr>
      </w:pPr>
      <w:r>
        <w:rPr>
          <w:rFonts w:ascii="Courier New" w:cs="Courier New" w:eastAsia="Courier New" w:hAnsi="Courier New"/>
          <w:sz w:val="18"/>
          <w:szCs w:val="18"/>
          <w:color w:val="auto"/>
        </w:rPr>
        <w:t>The Depositary may discontinue providing its services as securities depository with respect to the Book-Entry Notes at any time by giving reasonable notice to the Trust or the Trustee. Under such circumstances, in the event that a successor securities depository is not obtained, Certificated Notes are required to be printed and delivered.</w:t>
      </w:r>
    </w:p>
    <w:p>
      <w:pPr>
        <w:spacing w:after="0" w:line="90" w:lineRule="exact"/>
        <w:rPr>
          <w:sz w:val="20"/>
          <w:szCs w:val="20"/>
          <w:color w:val="auto"/>
        </w:rPr>
      </w:pPr>
    </w:p>
    <w:p>
      <w:pPr>
        <w:ind w:right="2319" w:firstLine="211"/>
        <w:spacing w:after="0" w:line="292" w:lineRule="auto"/>
        <w:rPr>
          <w:sz w:val="20"/>
          <w:szCs w:val="20"/>
          <w:color w:val="auto"/>
        </w:rPr>
      </w:pPr>
      <w:r>
        <w:rPr>
          <w:rFonts w:ascii="Courier New" w:cs="Courier New" w:eastAsia="Courier New" w:hAnsi="Courier New"/>
          <w:sz w:val="18"/>
          <w:szCs w:val="18"/>
          <w:color w:val="auto"/>
        </w:rPr>
        <w:t>The Trust may decide to discontinue use of the system of book-entry transfers through the Depositary (or a successor securities depository). In that event, Certificated Notes will be printed and delivered.</w:t>
      </w:r>
    </w:p>
    <w:p>
      <w:pPr>
        <w:spacing w:after="0" w:line="6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SPECIAL PROVISIONS RELATING TO FOREIGN CURRENCY NOTES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1" w:lineRule="exact"/>
        <w:rPr>
          <w:sz w:val="20"/>
          <w:szCs w:val="20"/>
          <w:color w:val="auto"/>
        </w:rPr>
      </w:pPr>
    </w:p>
    <w:p>
      <w:pPr>
        <w:ind w:right="2099" w:firstLine="211"/>
        <w:spacing w:after="0" w:line="248" w:lineRule="auto"/>
        <w:rPr>
          <w:sz w:val="20"/>
          <w:szCs w:val="20"/>
          <w:color w:val="auto"/>
        </w:rPr>
      </w:pPr>
      <w:r>
        <w:rPr>
          <w:rFonts w:ascii="Courier New" w:cs="Courier New" w:eastAsia="Courier New" w:hAnsi="Courier New"/>
          <w:sz w:val="18"/>
          <w:szCs w:val="18"/>
          <w:color w:val="auto"/>
        </w:rPr>
        <w:t>Unless otherwise specified in the applicable Pricing Supplement, Foreign Currency Notes will not be sold in, or to residents of, the country issuing the applicable currency. The information set forth in this Prospectus Supplement is directed to prospective purchasers who are United States residents and, with respect to Foreign Currency Notes, is by necessity incomplete. The Trust disclaims any responsibility to advise prospective purchasers who are residents of countries other than the United States with respect to any matters that may affect the purchase, holding or receipt of payments of principal of, and premium, if any, and interest on, the Foreign Currency Notes. Such persons should consult their own financial and legal advisors with regard to such matters. See "Risk Factors -- Exchange Rates and Exchange Controls."</w:t>
      </w:r>
    </w:p>
    <w:p>
      <w:pPr>
        <w:spacing w:after="0" w:line="1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PAYMENT OF PRINCIPAL, PREMIUM, IF ANY, AND INTEREST</w:t>
      </w:r>
    </w:p>
    <w:p>
      <w:pPr>
        <w:spacing w:after="0" w:line="201" w:lineRule="exact"/>
        <w:rPr>
          <w:sz w:val="20"/>
          <w:szCs w:val="20"/>
          <w:color w:val="auto"/>
        </w:rPr>
      </w:pPr>
    </w:p>
    <w:p>
      <w:pPr>
        <w:ind w:right="1999" w:firstLine="211"/>
        <w:spacing w:after="0" w:line="281" w:lineRule="auto"/>
        <w:rPr>
          <w:sz w:val="20"/>
          <w:szCs w:val="20"/>
          <w:color w:val="auto"/>
        </w:rPr>
      </w:pPr>
      <w:r>
        <w:rPr>
          <w:rFonts w:ascii="Courier New" w:cs="Courier New" w:eastAsia="Courier New" w:hAnsi="Courier New"/>
          <w:sz w:val="16"/>
          <w:szCs w:val="16"/>
          <w:color w:val="auto"/>
        </w:rPr>
        <w:t>Unless otherwise specified in the applicable Pricing Supplement, the Trust is obligated to make payments of principal of, and premium, if any, and interest on, Foreign Currency Notes in the applicable Specified Currency (or, if such Specified Currency is not at the time of such payment legal tender for the payment of public and private debts, in such other coin or currency of the country which issued such Specified Currency as at the time of such payment is legal tender for the payment of such debts). Any such amounts payable by the Trust in a foreign currency or composite currency will, unless otherwise specified in the applicable Pricing Supplement, be converted by the exchange rate agent named in the applicable Pricing Supplement (the "Exchange Rate Agent") into United States dollars for payment to Holders. However, the Holder of a Foreign Currency Note may elect to receive such amounts in the applicable foreign currency or composite currency as hereinafter described.</w:t>
      </w:r>
    </w:p>
    <w:p>
      <w:pPr>
        <w:spacing w:after="0" w:line="29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S-21</w:t>
      </w:r>
    </w:p>
    <w:p>
      <w:pPr>
        <w:sectPr>
          <w:pgSz w:w="11900" w:h="16838" w:orient="portrait"/>
          <w:cols w:equalWidth="0" w:num="1">
            <w:col w:w="10219"/>
          </w:cols>
          <w:pgMar w:left="240" w:top="691" w:right="1440" w:bottom="0" w:gutter="0" w:footer="0" w:header="0"/>
        </w:sectPr>
      </w:pPr>
    </w:p>
    <w:bookmarkStart w:id="36" w:name="page37"/>
    <w:bookmarkEnd w:id="36"/>
    <w:p>
      <w:pPr>
        <w:spacing w:after="0" w:line="25" w:lineRule="exact"/>
        <w:rPr>
          <w:sz w:val="20"/>
          <w:szCs w:val="20"/>
          <w:color w:val="auto"/>
        </w:rPr>
      </w:pPr>
    </w:p>
    <w:p>
      <w:pPr>
        <w:ind w:right="1999" w:firstLine="211"/>
        <w:spacing w:after="0" w:line="246" w:lineRule="auto"/>
        <w:rPr>
          <w:sz w:val="20"/>
          <w:szCs w:val="20"/>
          <w:color w:val="auto"/>
        </w:rPr>
      </w:pPr>
      <w:r>
        <w:rPr>
          <w:rFonts w:ascii="Courier New" w:cs="Courier New" w:eastAsia="Courier New" w:hAnsi="Courier New"/>
          <w:sz w:val="18"/>
          <w:szCs w:val="18"/>
          <w:color w:val="auto"/>
        </w:rPr>
        <w:t>Any United States dollar amount to be received by a Holder of a Foreign Currency Note will be based on the highest bid quotation in The City of New York received by the Exchange Rate Agent at approximately 11:00 A.M., New York City time, on the second Business Day preceding the applicable payment date from three recognized foreign exchange dealers (one of whom may be the Exchange Rate Agent) selected by the Exchange Rate Agent and approved by the Trust for the purchase by the quoting dealer of the Specified Currency for United States dollars for settlement on such payment date in the aggregate amount of such Specified Currency payable to all Holders of Foreign Currency Notes scheduled to receive United States dollar payments and at which the applicable dealer commits to execute a contract. All currency exchange costs will be borne by the Holders of such Foreign Currency Notes by deductions from such payments. If three such bid quotations are not available, payments will be made in the Specified Currency.</w:t>
      </w:r>
    </w:p>
    <w:p>
      <w:pPr>
        <w:spacing w:after="0" w:line="113" w:lineRule="exact"/>
        <w:rPr>
          <w:sz w:val="20"/>
          <w:szCs w:val="20"/>
          <w:color w:val="auto"/>
        </w:rPr>
      </w:pPr>
    </w:p>
    <w:p>
      <w:pPr>
        <w:ind w:right="1999" w:firstLine="211"/>
        <w:spacing w:after="0" w:line="244" w:lineRule="auto"/>
        <w:rPr>
          <w:sz w:val="20"/>
          <w:szCs w:val="20"/>
          <w:color w:val="auto"/>
        </w:rPr>
      </w:pPr>
      <w:r>
        <w:rPr>
          <w:rFonts w:ascii="Courier New" w:cs="Courier New" w:eastAsia="Courier New" w:hAnsi="Courier New"/>
          <w:sz w:val="18"/>
          <w:szCs w:val="18"/>
          <w:color w:val="auto"/>
        </w:rPr>
        <w:t>A Holder of a Foreign Currency Note may elect to receive all or a specified portion of any payment of the principal of, and premium, if any, and/or interest on, such Foreign Currency Note in the Specified Currency by submitting a written request for such payment to the Paying Agent at its corporate trust office in The City of New York on or prior to the applicable Record Date or at least fifteen calendar days prior to the Maturity Date, as the case may be. Such written request may be mailed or hand delivered or sent by cable, telex or other form of facsimile transmission. A Holder of a Foreign Currency Note may elect to receive all or a specified portion of all future payments in the Specified Currency in respect of such principal, premium, if any, and/or interest and need not file a separate election for each payment. Such election will remain in effect until revoked by written notice to the Securities Registrar, but written notice of any such revocation must be received by the Securities Registrar on or prior to the applicable Record Date or at least fifteen calendar days prior to the Maturity Date, as the case may be. Holders of Foreign Currency Notes whose Notes are to be held in the name of a broker or nominee should contact such broker or nominee to determine whether and how an election to receive payments in the Specified Currency may be made.</w:t>
      </w:r>
    </w:p>
    <w:p>
      <w:pPr>
        <w:spacing w:after="0" w:line="113" w:lineRule="exact"/>
        <w:rPr>
          <w:sz w:val="20"/>
          <w:szCs w:val="20"/>
          <w:color w:val="auto"/>
        </w:rPr>
      </w:pPr>
    </w:p>
    <w:p>
      <w:pPr>
        <w:ind w:right="1999" w:firstLine="211"/>
        <w:spacing w:after="0" w:line="244" w:lineRule="auto"/>
        <w:rPr>
          <w:sz w:val="20"/>
          <w:szCs w:val="20"/>
          <w:color w:val="auto"/>
        </w:rPr>
      </w:pPr>
      <w:r>
        <w:rPr>
          <w:rFonts w:ascii="Courier New" w:cs="Courier New" w:eastAsia="Courier New" w:hAnsi="Courier New"/>
          <w:sz w:val="18"/>
          <w:szCs w:val="18"/>
          <w:color w:val="auto"/>
        </w:rPr>
        <w:t>Payments of the principal of, and premium, if any, and/or interest on, Foreign Currency Notes which are to be made in United States dollars will be made in the manner specified herein with respect to Notes denominated in United States dollars. See "Description of Notes--General." Payments of interest on Foreign Currency Notes which are to be made in the Specified Currency on an Interest Payment Date other than the Maturity Date will be made by check mailed to the address of the Holders of such Foreign Currency Notes as they appear in the Security Register, subject to the right to receive such interest payments by wire transfer of immediately available funds under certain circumstances described under "Description of Notes--General." Payments of principal of, and premium, if any, and/or interest on, Foreign Currency Notes which are to be made in the Specified Currency on the Maturity Date will be made by wire transfer of immediately available funds to an account with a bank designated at least fifteen calendar days prior to the Maturity Date by each Holder thereof, provided that such bank has appropriate facilities therefor and that the applicable Foreign Currency Note is presented and surrendered at the principal corporate trust office of the Paying Agent in time for the Paying Agent to make such payments in such funds in accordance with its normal procedures.</w:t>
      </w:r>
    </w:p>
    <w:p>
      <w:pPr>
        <w:spacing w:after="0" w:line="113" w:lineRule="exact"/>
        <w:rPr>
          <w:sz w:val="20"/>
          <w:szCs w:val="20"/>
          <w:color w:val="auto"/>
        </w:rPr>
      </w:pPr>
    </w:p>
    <w:p>
      <w:pPr>
        <w:ind w:right="1999" w:firstLine="211"/>
        <w:spacing w:after="0" w:line="245" w:lineRule="auto"/>
        <w:rPr>
          <w:sz w:val="20"/>
          <w:szCs w:val="20"/>
          <w:color w:val="auto"/>
        </w:rPr>
      </w:pPr>
      <w:r>
        <w:rPr>
          <w:rFonts w:ascii="Courier New" w:cs="Courier New" w:eastAsia="Courier New" w:hAnsi="Courier New"/>
          <w:sz w:val="18"/>
          <w:szCs w:val="18"/>
          <w:color w:val="auto"/>
        </w:rPr>
        <w:t>Unless otherwise specified in the applicable Pricing Supplement, a Beneficial Owner of a Global Security or Securities representing Book-Entry Notes payable in a Specified Currency other than United States dollars which elects to receive payments of principal, premium, if any, and/or interest in such Specified Currency must notify the Participant through which it owns its interest on or prior to the applicable Record Date or at least fifteen calendar days prior to the Maturity Date, as the case may be, of such Beneficial Owner's election. Such Participant must notify the Depositary of such election on or prior to the third Business Day after such Record Date or at least twelve calendar days prior to the Maturity Date, as the case may be, and the Depositary will notify the Securities Registrar of such election on or prior to the fifth Business Day after such Record Date or at least ten calendar days prior to the Maturity Date, as the case may be. If complete instructions are received by the Participant from the Beneficial Owner and forwarded by the Participant to the Depositary, and by the Depositary to the Securities Registrar, on or prior to such dates, then such Beneficial Owner will receive payments in the applicable Specified Currency.</w:t>
      </w:r>
    </w:p>
    <w:p>
      <w:pPr>
        <w:spacing w:after="0" w:line="1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PAYMENT CURRENCY</w:t>
      </w:r>
    </w:p>
    <w:p>
      <w:pPr>
        <w:spacing w:after="0" w:line="201" w:lineRule="exact"/>
        <w:rPr>
          <w:sz w:val="20"/>
          <w:szCs w:val="20"/>
          <w:color w:val="auto"/>
        </w:rPr>
      </w:pPr>
    </w:p>
    <w:p>
      <w:pPr>
        <w:ind w:right="1999" w:firstLine="211"/>
        <w:spacing w:after="0" w:line="344" w:lineRule="auto"/>
        <w:rPr>
          <w:sz w:val="20"/>
          <w:szCs w:val="20"/>
          <w:color w:val="auto"/>
        </w:rPr>
      </w:pPr>
      <w:r>
        <w:rPr>
          <w:rFonts w:ascii="Courier New" w:cs="Courier New" w:eastAsia="Courier New" w:hAnsi="Courier New"/>
          <w:sz w:val="16"/>
          <w:szCs w:val="16"/>
          <w:color w:val="auto"/>
        </w:rPr>
        <w:t>If the Specified Currency for a Foreign Currency Note is not available for the required payment of principal, premium, if any, and/or interest due to the imposition of exchange controls or other circumstances beyond the reasonable</w:t>
      </w:r>
    </w:p>
    <w:p>
      <w:pPr>
        <w:sectPr>
          <w:pgSz w:w="11900" w:h="16864" w:orient="portrait"/>
          <w:cols w:equalWidth="0" w:num="1">
            <w:col w:w="10219"/>
          </w:cols>
          <w:pgMar w:left="240" w:top="691" w:right="1440" w:bottom="0" w:gutter="0" w:footer="0" w:header="0"/>
        </w:sectPr>
      </w:pPr>
    </w:p>
    <w:bookmarkStart w:id="37" w:name="page38"/>
    <w:bookmarkEnd w:id="37"/>
    <w:p>
      <w:pPr>
        <w:ind w:right="1999"/>
        <w:spacing w:after="0" w:line="298" w:lineRule="auto"/>
        <w:rPr>
          <w:sz w:val="20"/>
          <w:szCs w:val="20"/>
          <w:color w:val="auto"/>
        </w:rPr>
      </w:pPr>
      <w:r>
        <w:rPr>
          <w:rFonts w:ascii="Courier New" w:cs="Courier New" w:eastAsia="Courier New" w:hAnsi="Courier New"/>
          <w:sz w:val="16"/>
          <w:szCs w:val="16"/>
          <w:color w:val="auto"/>
        </w:rPr>
        <w:t>control of the Trust, the Trust will be entitled to satisfy its obligations to the Holder of such Foreign Currency Note by making such payment in United States dollars on the basis of the Market Exchange Rate (as defined below) on the second Business Day prior to such payment or, if such Market Exchange Rate is not then available, on the basis of the most recently available Market Exchange Rate or as otherwise specified in the applicable Pricing Supplement.</w:t>
      </w:r>
    </w:p>
    <w:p>
      <w:pPr>
        <w:spacing w:after="0" w:line="6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S-22</w:t>
      </w:r>
    </w:p>
    <w:p>
      <w:pPr>
        <w:sectPr>
          <w:pgSz w:w="11900" w:h="16838" w:orient="portrait"/>
          <w:cols w:equalWidth="0" w:num="1">
            <w:col w:w="10219"/>
          </w:cols>
          <w:pgMar w:left="240" w:top="110" w:right="1440" w:bottom="1440" w:gutter="0" w:footer="0" w:header="0"/>
        </w:sectPr>
      </w:pPr>
    </w:p>
    <w:bookmarkStart w:id="38" w:name="page39"/>
    <w:bookmarkEnd w:id="38"/>
    <w:p>
      <w:pPr>
        <w:ind w:right="1999" w:firstLine="211"/>
        <w:spacing w:after="0" w:line="277" w:lineRule="auto"/>
        <w:rPr>
          <w:sz w:val="20"/>
          <w:szCs w:val="20"/>
          <w:color w:val="auto"/>
        </w:rPr>
      </w:pPr>
      <w:r>
        <w:rPr>
          <w:rFonts w:ascii="Courier New" w:cs="Courier New" w:eastAsia="Courier New" w:hAnsi="Courier New"/>
          <w:sz w:val="16"/>
          <w:szCs w:val="16"/>
          <w:color w:val="auto"/>
        </w:rPr>
        <w:t>If payment in respect of a Foreign Currency Note is required to be made in any composite currency (e.g., ECU), and such composite currency is unavailable due to the imposition of exchange controls or other circumstances beyond the reasonable control of the Trust, the Trust will be entitled to satisfy its obligations to the Holder of such Foreign Currency Note by making such payment in United States dollars. The amount of each payment in United States dollars shall be computed by the Exchange Rate Agent on the basis of the equivalent of the composite currency in United States dollars. The component currencies of the composite currency for this purpose (collectively, the "Component Currencies" and each, a "Component Currency") shall be the currency amounts that were components of the composite currency as of the last day on which the composite currency was used. The equivalent of the composite currency in United States dollars shall be calculated by aggregating the United States dollar equivalents of the Component Currencies. The United States dollar equivalent of each of the Component Currencies shall be determined by the Exchange Rate Agent on the basis of the most recently available Market Exchange Rate for each such Component Currency, or as otherwise specified in the applicable Pricing Supplement.</w:t>
      </w:r>
    </w:p>
    <w:p>
      <w:pPr>
        <w:spacing w:after="0" w:line="293" w:lineRule="exact"/>
        <w:rPr>
          <w:sz w:val="20"/>
          <w:szCs w:val="20"/>
          <w:color w:val="auto"/>
        </w:rPr>
      </w:pPr>
    </w:p>
    <w:p>
      <w:pPr>
        <w:ind w:right="1999" w:firstLine="211"/>
        <w:spacing w:after="0" w:line="249" w:lineRule="auto"/>
        <w:rPr>
          <w:sz w:val="20"/>
          <w:szCs w:val="20"/>
          <w:color w:val="auto"/>
        </w:rPr>
      </w:pPr>
      <w:r>
        <w:rPr>
          <w:rFonts w:ascii="Courier New" w:cs="Courier New" w:eastAsia="Courier New" w:hAnsi="Courier New"/>
          <w:sz w:val="18"/>
          <w:szCs w:val="18"/>
          <w:color w:val="auto"/>
        </w:rPr>
        <w:t>If the official unit of any Component Currency is altered by way of combination or subdivision, the number of units of the currency as a Component Currency shall be divided or multiplied in the same proportion. If two or more Component Currencies are consolidated into a single currency, the amounts of those currencies as Component Currencies shall be replaced by an amount in such single currency equal to the sum of the amounts of the consolidated Component Currencies expressed in such single currency. If any Component Currency is divided into two or more currencies, the amount of the original Component Currency shall be replaced by the amounts of such two or more currencies, the sum of which shall be equal to the amount of the original Component Currency.</w:t>
      </w:r>
    </w:p>
    <w:p>
      <w:pPr>
        <w:spacing w:after="0" w:line="104" w:lineRule="exact"/>
        <w:rPr>
          <w:sz w:val="20"/>
          <w:szCs w:val="20"/>
          <w:color w:val="auto"/>
        </w:rPr>
      </w:pPr>
    </w:p>
    <w:p>
      <w:pPr>
        <w:ind w:right="1999" w:firstLine="211"/>
        <w:spacing w:after="0" w:line="253" w:lineRule="auto"/>
        <w:rPr>
          <w:sz w:val="20"/>
          <w:szCs w:val="20"/>
          <w:color w:val="auto"/>
        </w:rPr>
      </w:pPr>
      <w:r>
        <w:rPr>
          <w:rFonts w:ascii="Courier New" w:cs="Courier New" w:eastAsia="Courier New" w:hAnsi="Courier New"/>
          <w:sz w:val="18"/>
          <w:szCs w:val="18"/>
          <w:color w:val="auto"/>
        </w:rPr>
        <w:t>The "Market Exchange Rate" for a Specified Currency other than United States dollars means the noon dollar buying rate in The City of New York for cable transfers for such Specified Currency as certified for customs purposes by (or if not so certified, as otherwise determined by) the Federal Reserve Bank of New York. Any payment made in United States dollars under such circumstances where the required payment is in a Specified Currency other than United States dollars will not constitute an Event of Default under the Indenture with respect to the Notes.</w:t>
      </w:r>
    </w:p>
    <w:p>
      <w:pPr>
        <w:spacing w:after="0" w:line="104"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8"/>
          <w:szCs w:val="18"/>
          <w:color w:val="auto"/>
        </w:rPr>
        <w:t>All determinations referred to above made by the Exchange Rate Agent shall be at its sole discretion and shall, in the absence of manifest error, be conclusive for all purposes and binding on the Holders of the Foreign Currency Notes.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GOVERNING LAW; JUDGMENTS</w:t>
      </w:r>
    </w:p>
    <w:p>
      <w:pPr>
        <w:spacing w:after="0" w:line="201" w:lineRule="exact"/>
        <w:rPr>
          <w:sz w:val="20"/>
          <w:szCs w:val="20"/>
          <w:color w:val="auto"/>
        </w:rPr>
      </w:pPr>
    </w:p>
    <w:p>
      <w:pPr>
        <w:ind w:right="1999" w:firstLine="211"/>
        <w:spacing w:after="0" w:line="285" w:lineRule="auto"/>
        <w:rPr>
          <w:sz w:val="20"/>
          <w:szCs w:val="20"/>
          <w:color w:val="auto"/>
        </w:rPr>
      </w:pPr>
      <w:r>
        <w:rPr>
          <w:rFonts w:ascii="Courier New" w:cs="Courier New" w:eastAsia="Courier New" w:hAnsi="Courier New"/>
          <w:sz w:val="16"/>
          <w:szCs w:val="16"/>
          <w:color w:val="auto"/>
        </w:rPr>
        <w:t>The Notes will be governed by and construed in accordance with the laws of the State of New York. Under current New York law, where a cause of action is based upon an obligation denominated in a non-United States currency, a state court in the State of New York rendering a judgment on such an obligation would be required to render such judgment in the non-United States currency, and such judgment would be converted into United States dollars at the exchange rate prevailing on the date of entry of the judgment. The holders of such notes could be subject to exchange rate fluctuations occurring after such judgment is rendered. It is not certain, however, that a non-New York court would follow the same rules with respect to conversion.</w:t>
      </w:r>
    </w:p>
    <w:p>
      <w:pPr>
        <w:spacing w:after="0" w:line="29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CERTAIN UNITED STATES FEDERAL INCOME TAX CONSIDERATIONS</w:t>
      </w:r>
    </w:p>
    <w:p>
      <w:pPr>
        <w:spacing w:after="0" w:line="201" w:lineRule="exact"/>
        <w:rPr>
          <w:sz w:val="20"/>
          <w:szCs w:val="20"/>
          <w:color w:val="auto"/>
        </w:rPr>
      </w:pPr>
    </w:p>
    <w:p>
      <w:pPr>
        <w:ind w:right="1999" w:firstLine="211"/>
        <w:spacing w:after="0" w:line="277" w:lineRule="auto"/>
        <w:rPr>
          <w:sz w:val="20"/>
          <w:szCs w:val="20"/>
          <w:color w:val="auto"/>
        </w:rPr>
      </w:pPr>
      <w:r>
        <w:rPr>
          <w:rFonts w:ascii="Courier New" w:cs="Courier New" w:eastAsia="Courier New" w:hAnsi="Courier New"/>
          <w:sz w:val="16"/>
          <w:szCs w:val="16"/>
          <w:color w:val="auto"/>
        </w:rPr>
        <w:t>The following summary of certain United States Federal income tax consequences of the purchase, ownership and disposition of the Notes is based upon laws, regulations, rulings and decisions now in effect, all of which are subject to change (including changes in effective dates) or possible differing interpretations. It deals only with Notes held as capital assets and does not purport to deal with persons in special tax situations, such as financial institutions, insurance companies, tax-exempt organizations, regulated investment companies, dealers in securities or currencies, persons holding Notes as a hedge against currency risks or as a position in a "straddle" for tax purposes, or persons whose functional currency is not the United States dollar. It also does not deal with Holders other than original purchasers (except where otherwise specifically noted). BECAUSE THE EXACT PRICING AND OTHER TERMS OF THE NOTES WILL VARY, NO ASSURANCE CAN BE GIVEN THAT THE CONSIDERATIONS DESCRIBED BELOW WILL APPLY TO A PARTICULAR ISSUANCE OF NOTES. CERTAIN MATERIAL UNITED STATES FEDERAL INCOME TAX CONSEQUENCES RELATING TO THE OWNERSHIP OF PARTICULAR NOTES (WHERE APPLICABLE) WILL BE SUMMARIZED IN THE PRICING SUPPLEMENT RELATING TO SUCH NOTES. PERSONS CONSIDERING THE PURCHASE OF NOTES SHOULD CONSULT THEIR OWN TAX ADVISORS CONCERNING THE APPLICATION OF</w:t>
      </w:r>
    </w:p>
    <w:p>
      <w:pPr>
        <w:sectPr>
          <w:pgSz w:w="11900" w:h="16838" w:orient="portrait"/>
          <w:cols w:equalWidth="0" w:num="1">
            <w:col w:w="10219"/>
          </w:cols>
          <w:pgMar w:left="240" w:top="691" w:right="1440" w:bottom="0" w:gutter="0" w:footer="0" w:header="0"/>
        </w:sectPr>
      </w:pPr>
    </w:p>
    <w:bookmarkStart w:id="39" w:name="page40"/>
    <w:bookmarkEnd w:id="39"/>
    <w:p>
      <w:pPr>
        <w:spacing w:after="0"/>
        <w:rPr>
          <w:sz w:val="20"/>
          <w:szCs w:val="20"/>
          <w:color w:val="auto"/>
        </w:rPr>
      </w:pPr>
      <w:r>
        <w:rPr>
          <w:rFonts w:ascii="Courier New" w:cs="Courier New" w:eastAsia="Courier New" w:hAnsi="Courier New"/>
          <w:sz w:val="18"/>
          <w:szCs w:val="18"/>
          <w:color w:val="auto"/>
        </w:rPr>
        <w:t>UNITED STATES FEDERAL INCOME</w:t>
      </w:r>
    </w:p>
    <w:p>
      <w:pPr>
        <w:spacing w:after="0" w:line="201"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S-23</w:t>
      </w:r>
    </w:p>
    <w:p>
      <w:pPr>
        <w:sectPr>
          <w:pgSz w:w="11900" w:h="16838" w:orient="portrait"/>
          <w:cols w:equalWidth="0" w:num="1">
            <w:col w:w="10219"/>
          </w:cols>
          <w:pgMar w:left="240" w:top="110" w:right="1440" w:bottom="1440" w:gutter="0" w:footer="0" w:header="0"/>
        </w:sectPr>
      </w:pPr>
    </w:p>
    <w:bookmarkStart w:id="40" w:name="page41"/>
    <w:bookmarkEnd w:id="40"/>
    <w:p>
      <w:pPr>
        <w:ind w:right="1999"/>
        <w:spacing w:after="0" w:line="292" w:lineRule="auto"/>
        <w:rPr>
          <w:sz w:val="20"/>
          <w:szCs w:val="20"/>
          <w:color w:val="auto"/>
        </w:rPr>
      </w:pPr>
      <w:r>
        <w:rPr>
          <w:rFonts w:ascii="Courier New" w:cs="Courier New" w:eastAsia="Courier New" w:hAnsi="Courier New"/>
          <w:sz w:val="18"/>
          <w:szCs w:val="18"/>
          <w:color w:val="auto"/>
        </w:rPr>
        <w:t>TAX LAWS TO THEIR PARTICULAR SITUATION AS WELL AS ANY CONSEQUENCES OF THE PURCHASE, OWNERSHIP AND DISPOSITION OF THE NOTES ARISING UNDER THE LAWS OF ANY STATE, LOCAL OR FOREIGN TAXING JURISDICTION.</w:t>
      </w:r>
    </w:p>
    <w:p>
      <w:pPr>
        <w:spacing w:after="0" w:line="66" w:lineRule="exact"/>
        <w:rPr>
          <w:sz w:val="20"/>
          <w:szCs w:val="20"/>
          <w:color w:val="auto"/>
        </w:rPr>
      </w:pPr>
    </w:p>
    <w:p>
      <w:pPr>
        <w:ind w:right="1999" w:firstLine="211"/>
        <w:spacing w:after="0" w:line="243" w:lineRule="auto"/>
        <w:rPr>
          <w:sz w:val="20"/>
          <w:szCs w:val="20"/>
          <w:color w:val="auto"/>
        </w:rPr>
      </w:pPr>
      <w:r>
        <w:rPr>
          <w:rFonts w:ascii="Courier New" w:cs="Courier New" w:eastAsia="Courier New" w:hAnsi="Courier New"/>
          <w:sz w:val="18"/>
          <w:szCs w:val="18"/>
          <w:color w:val="auto"/>
        </w:rPr>
        <w:t>As used herein, the term "U.S. Holder" means a Beneficial Owner of a Note that is for United States Federal income tax purposes (i) a citizen or resident of the United States, (ii) a corporation, partnership or other entity created or organized in or under the laws of the United States or of any political subdivision thereof, (iii) an estate the income of which is subject to United States Federal income taxation regardless of its source, (iv) a trust if a court within the United States is able to exercise primary supervision over the administration of the trust and one or more United States persons have the authority to control all substantial decisions of the trust, or (v) any other person whose income or gain in respect of a Note is effectively connected with the conduct of a United States trade or business. Notwithstanding the preceding sentence, to the extent provided in Treasury regulations, certain trusts in existence on August 20, 1996, and treated as United States persons under the United States Internal Revenue Code of 1986, as amended (the "Code"), and applicable Treasury regulations thereunder prior to such date, that elect to continue to be treated as United States persons under the Code or applicable Treasury regulations thereunder also will be U.S. Holders. In the case of a holder of Notes that is a partnership for United States Federal income tax purposes, each partner will take into account its allocable share of income or loss from the Notes, and will take such income or loss into account under the rules of taxation applicable to such partner, taking into account the activities of the partnership and the partner. As used herein, the term "non-U.S. Holder" means a Beneficial Owner of a Note that is not a U.S. Holder.</w:t>
      </w:r>
    </w:p>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 HOLDERS</w:t>
      </w:r>
    </w:p>
    <w:p>
      <w:pPr>
        <w:spacing w:after="0" w:line="201"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8"/>
          <w:szCs w:val="18"/>
          <w:color w:val="auto"/>
        </w:rPr>
        <w:t>Payments of Interest. Payments of interest on a Note generally will be taxable to a U.S. Holder as ordinary interest income at the time such payments are accrued or are received (in accordance with the U.S. Holder's regular method of tax accounting).</w:t>
      </w:r>
    </w:p>
    <w:p>
      <w:pPr>
        <w:spacing w:after="0" w:line="82" w:lineRule="exact"/>
        <w:rPr>
          <w:sz w:val="20"/>
          <w:szCs w:val="20"/>
          <w:color w:val="auto"/>
        </w:rPr>
      </w:pPr>
    </w:p>
    <w:p>
      <w:pPr>
        <w:ind w:right="2099" w:firstLine="211"/>
        <w:spacing w:after="0" w:line="260" w:lineRule="auto"/>
        <w:rPr>
          <w:sz w:val="20"/>
          <w:szCs w:val="20"/>
          <w:color w:val="auto"/>
        </w:rPr>
      </w:pPr>
      <w:r>
        <w:rPr>
          <w:rFonts w:ascii="Courier New" w:cs="Courier New" w:eastAsia="Courier New" w:hAnsi="Courier New"/>
          <w:sz w:val="18"/>
          <w:szCs w:val="18"/>
          <w:color w:val="auto"/>
        </w:rPr>
        <w:t>Original Issue Discount. The following summary is a general discussion of the United States Federal income tax consequences to U.S. Holders of the purchase, ownership and disposition of Notes issued with original issue discount. The following summary is based upon final Treasury regulations (the "OID Regulations"), as amended, under the original issue discount provisions of the Code.</w:t>
      </w:r>
    </w:p>
    <w:p>
      <w:pPr>
        <w:spacing w:after="0" w:line="93" w:lineRule="exact"/>
        <w:rPr>
          <w:sz w:val="20"/>
          <w:szCs w:val="20"/>
          <w:color w:val="auto"/>
        </w:rPr>
      </w:pPr>
    </w:p>
    <w:p>
      <w:pPr>
        <w:ind w:right="1999" w:firstLine="211"/>
        <w:spacing w:after="0" w:line="278" w:lineRule="auto"/>
        <w:rPr>
          <w:sz w:val="20"/>
          <w:szCs w:val="20"/>
          <w:color w:val="auto"/>
        </w:rPr>
      </w:pPr>
      <w:r>
        <w:rPr>
          <w:rFonts w:ascii="Courier New" w:cs="Courier New" w:eastAsia="Courier New" w:hAnsi="Courier New"/>
          <w:sz w:val="16"/>
          <w:szCs w:val="16"/>
          <w:color w:val="auto"/>
        </w:rPr>
        <w:t>For United States Federal income tax purposes, original issue discount is the excess of the stated redemption price at maturity of a Note over its issue price, if such excess equals or exceeds a de minimis amount (generally 1/4 of 1% of the Note's stated redemption price at maturity multiplied by the number of complete years to its maturity from its issue date or, in the case of a Note providing for the payment of any amount other than qualified stated interest (as defined below) prior to maturity, multiplied by the weighted average maturity of such Note). The issue price of each Note in an issue of Notes equals the first price at which a substantial amount of such Notes has been sold (ignoring sales to bond houses, brokers, or similar persons or organizations acting in the capacity of underwriters, placement agents, or wholesalers). The stated redemption price at maturity of a Note is the sum of all payments provided by the Note other than "qualified stated interest" payments. The term "qualified stated interest" generally means stated interest that is unconditionally payable in cash or property (other than debt instruments of the issuer) at least annually at a single, fixed rate.</w:t>
      </w:r>
    </w:p>
    <w:p>
      <w:pPr>
        <w:spacing w:after="0" w:line="295" w:lineRule="exact"/>
        <w:rPr>
          <w:sz w:val="20"/>
          <w:szCs w:val="20"/>
          <w:color w:val="auto"/>
        </w:rPr>
      </w:pPr>
    </w:p>
    <w:p>
      <w:pPr>
        <w:ind w:right="1999" w:firstLine="211"/>
        <w:spacing w:after="0" w:line="277" w:lineRule="auto"/>
        <w:rPr>
          <w:sz w:val="20"/>
          <w:szCs w:val="20"/>
          <w:color w:val="auto"/>
        </w:rPr>
      </w:pPr>
      <w:r>
        <w:rPr>
          <w:rFonts w:ascii="Courier New" w:cs="Courier New" w:eastAsia="Courier New" w:hAnsi="Courier New"/>
          <w:sz w:val="16"/>
          <w:szCs w:val="16"/>
          <w:color w:val="auto"/>
        </w:rPr>
        <w:t>Payments of qualified stated interest on a Note are taxable to a U.S. Holder as ordinary interest income at the time such payments are accrued or are received (in accordance with the U.S. Holder's regular method of tax accounting). A U.S. Holder of a Discount Note must include original issue discount in income as ordinary interest for United States Federal income tax purposes as it accrues under a constant yield method in advance of receipt of the cash payments attributable to such income, regardless of such U.S. Holder's regular method of tax accounting. In general, the amount of original issue discount included in income by the initial U.S. Holder of a Discount Note is the sum of the daily portions of original issue discount with respect to such Discount Note for each day during the taxable year (or portion of the taxable year) on which such U.S. Holder held such Discount Note. The "daily portion" of original issue discount on any Discount Note is determined by allocating to each day in any accrual period a ratable portion of the original issue discount allocable to that accrual period. An "accrual period" may be of any length and the accrual periods may vary in length over the term of the Discount Note, provided that each accrual period is no longer than one year and each scheduled payment of principal or interest occurs either on the final</w:t>
      </w:r>
    </w:p>
    <w:p>
      <w:pPr>
        <w:sectPr>
          <w:pgSz w:w="11900" w:h="16838" w:orient="portrait"/>
          <w:cols w:equalWidth="0" w:num="1">
            <w:col w:w="10219"/>
          </w:cols>
          <w:pgMar w:left="240" w:top="691" w:right="1440" w:bottom="0" w:gutter="0" w:footer="0" w:header="0"/>
        </w:sectPr>
      </w:pPr>
    </w:p>
    <w:bookmarkStart w:id="41" w:name="page42"/>
    <w:bookmarkEnd w:id="41"/>
    <w:p>
      <w:pPr>
        <w:ind w:right="1999"/>
        <w:spacing w:after="0" w:line="292" w:lineRule="auto"/>
        <w:rPr>
          <w:sz w:val="20"/>
          <w:szCs w:val="20"/>
          <w:color w:val="auto"/>
        </w:rPr>
      </w:pPr>
      <w:r>
        <w:rPr>
          <w:rFonts w:ascii="Courier New" w:cs="Courier New" w:eastAsia="Courier New" w:hAnsi="Courier New"/>
          <w:sz w:val="18"/>
          <w:szCs w:val="18"/>
          <w:color w:val="auto"/>
        </w:rPr>
        <w:t>day of an accrual period or on the first day of an accrual period. The amount of original issue discount allocable to each accrual period is generally equal to the</w:t>
      </w:r>
    </w:p>
    <w:p>
      <w:pPr>
        <w:spacing w:after="0" w:line="6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S-24</w:t>
      </w:r>
    </w:p>
    <w:p>
      <w:pPr>
        <w:sectPr>
          <w:pgSz w:w="11900" w:h="16838" w:orient="portrait"/>
          <w:cols w:equalWidth="0" w:num="1">
            <w:col w:w="10219"/>
          </w:cols>
          <w:pgMar w:left="240" w:top="110" w:right="1440" w:bottom="1440" w:gutter="0" w:footer="0" w:header="0"/>
        </w:sectPr>
      </w:pPr>
    </w:p>
    <w:bookmarkStart w:id="42" w:name="page43"/>
    <w:bookmarkEnd w:id="42"/>
    <w:p>
      <w:pPr>
        <w:ind w:right="1999"/>
        <w:spacing w:after="0" w:line="246" w:lineRule="auto"/>
        <w:rPr>
          <w:sz w:val="20"/>
          <w:szCs w:val="20"/>
          <w:color w:val="auto"/>
        </w:rPr>
      </w:pPr>
      <w:r>
        <w:rPr>
          <w:rFonts w:ascii="Courier New" w:cs="Courier New" w:eastAsia="Courier New" w:hAnsi="Courier New"/>
          <w:sz w:val="18"/>
          <w:szCs w:val="18"/>
          <w:color w:val="auto"/>
        </w:rPr>
        <w:t>difference between (i) the product of the Discount Note's adjusted issue price at the beginning of such accrual period and its yield to maturity (determined on the basis of compounding at the close of each accrual period and appropriately adjusted to take into account the length of the particular accrual period) and (ii) the amount of any qualified stated interest payments allocable to such accrual period. The "adjusted issue price" of a Discount Note at the beginning of any accrual period is the sum of the issue price of the Discount Note plus the amount of original issue discount allocable to all prior accrual periods minus the amount of any prior payments on the Discount Note that were not qualified stated interest payments. Under these rules, U.S. Holders generally will have to include in income increasingly greater amounts of original issue discount in successive accrual periods. These same rules apply to any Note that is not otherwise a Discount Note, but nonetheless has been issued with original issue discount.</w:t>
      </w:r>
    </w:p>
    <w:p>
      <w:pPr>
        <w:spacing w:after="0" w:line="113" w:lineRule="exact"/>
        <w:rPr>
          <w:sz w:val="20"/>
          <w:szCs w:val="20"/>
          <w:color w:val="auto"/>
        </w:rPr>
      </w:pPr>
    </w:p>
    <w:p>
      <w:pPr>
        <w:ind w:right="1999" w:firstLine="211"/>
        <w:spacing w:after="0" w:line="248" w:lineRule="auto"/>
        <w:rPr>
          <w:sz w:val="20"/>
          <w:szCs w:val="20"/>
          <w:color w:val="auto"/>
        </w:rPr>
      </w:pPr>
      <w:r>
        <w:rPr>
          <w:rFonts w:ascii="Courier New" w:cs="Courier New" w:eastAsia="Courier New" w:hAnsi="Courier New"/>
          <w:sz w:val="18"/>
          <w:szCs w:val="18"/>
          <w:color w:val="auto"/>
        </w:rPr>
        <w:t>A U.S. Holder who purchases a Discount Note for an amount that is greater than its adjusted issue price as of the purchase date and less than or equal to the sum of all amounts payable on the Discount Note after the purchase date other than payments of qualified stated interest, will be considered to have purchased the Discount Note at an "acquisition premium." Under the acquisition premium rules, the amount of original issue discount which such U.S. Holder must include in its gross income with respect to such Discount Note for any taxable year (or portion thereof in which the U.S. Holder holds the Discount Note) will be reduced (but not below zero) by the portion of the acquisition premium properly allocable to the period. These same rules apply to any Note that is not otherwise a Discount Note, but nonetheless has been issued with original issue discount.</w:t>
      </w:r>
    </w:p>
    <w:p>
      <w:pPr>
        <w:spacing w:after="0" w:line="105" w:lineRule="exact"/>
        <w:rPr>
          <w:sz w:val="20"/>
          <w:szCs w:val="20"/>
          <w:color w:val="auto"/>
        </w:rPr>
      </w:pPr>
    </w:p>
    <w:p>
      <w:pPr>
        <w:ind w:right="2199" w:firstLine="211"/>
        <w:spacing w:after="0" w:line="282" w:lineRule="auto"/>
        <w:rPr>
          <w:sz w:val="20"/>
          <w:szCs w:val="20"/>
          <w:color w:val="auto"/>
        </w:rPr>
      </w:pPr>
      <w:r>
        <w:rPr>
          <w:rFonts w:ascii="Courier New" w:cs="Courier New" w:eastAsia="Courier New" w:hAnsi="Courier New"/>
          <w:sz w:val="16"/>
          <w:szCs w:val="16"/>
          <w:color w:val="auto"/>
        </w:rPr>
        <w:t>Variable Rate Debt Instruments. Under the OID Regulations, Floating Rate Notes and Indexed Notes ("Variable Notes") are subject to special rules whereby a Variable Note will qualify as a "variable rate debt instrument" if</w:t>
      </w:r>
    </w:p>
    <w:p>
      <w:pPr>
        <w:spacing w:after="0" w:line="1" w:lineRule="exact"/>
        <w:rPr>
          <w:sz w:val="20"/>
          <w:szCs w:val="20"/>
          <w:color w:val="auto"/>
        </w:rPr>
      </w:pPr>
    </w:p>
    <w:p>
      <w:pPr>
        <w:ind w:right="1999" w:firstLine="8"/>
        <w:spacing w:after="0" w:line="250"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issue price does not exceed the total noncontingent principal payments due under the Variable Note by more than a specified de minimis amount and (b) it provides for stated interest, paid or compounded at least annually, at current values of (i) one or more qualified floating rates, (ii) a single fixed rate and one or more qualified floating rates, (iii) a single objective rate, or (iv) a single fixed rate and a single objective rate that is a qualified inverse floating rate.</w:t>
      </w:r>
    </w:p>
    <w:p>
      <w:pPr>
        <w:spacing w:after="0" w:line="102"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A "qualified floating rate" is any variable rate where variations in the value of such rate can reasonably be expected to measure contemporaneous variations in the cost of newly borrowed funds in the currency in which the Variable Note is denominated. Although a multiple of a qualified floating rate will generally not itself constitute a qualified floating rate, a variable rate equal to the product of a qualified floating rate and a fixed multiple that is greater than .65 but not more than 1.35 will constitute a qualified floating rate. A variable rate equal to the product of a qualified floating rate and a fixed multiple that is greater than .65 but not more than 1.35, increased or decreased by a fixed rate, will also constitute a qualified floating rate. In addition, under the OID Regulations, two or more qualified floating rates that can reasonably be expected to have approximately the same values throughout the term of the Variable Note (e.g., two or more qualified floating rates with values within 25 basis points of each other as determined on the Variable Note's issue date) will be treated as a single qualified floating rate. Notwithstanding the foregoing, a variable rate that would otherwise constitute a qualified floating rate but which is subject to one or more restrictions such as a maximum numerical limitation (i.e., a cap) or a minimum numerical limitation (i.e., a floor) may, under certain circumstances, fail to be treated as a qualified floating rate under the OID Regulations unless such cap or floor is fixed throughout the term of the Note. An "objective rate" is a rate that is not itself a qualified floating rate but which is determined using a single fixed formula and which is based upon objective financial or economic information (e.g., a rate that is based on one or more qualified floating rates or on the yield of actively traded personal property, other than stock or debt of the issuer or a related party). A rate will not qualify as an objective rate if it is based on information that is within the control of the issuer (or a related party) or that is unique to the circumstances of the issuer (or a related party), such as dividends, profits, or the value of the issuer's stock (although a rate does not fail to be an objective rate merely because it is based on the credit quality of the issuer). The OID Regulations also provide that other variable interest rates may be treated as objective rates if so designated by the IRS in the future. Despite the foregoing, a variable rate of interest on a Variable Note will not constitute an objective rate if it is reasonably expected that the average value of such rate during the first half of the Variable Note's term will be either significantly less than or significantly greater than the average value of the rate during the final half of the Variable Note's term. A "qualified inverse floating rate" is any objective rate where such rate is equal to a</w:t>
      </w:r>
    </w:p>
    <w:p>
      <w:pPr>
        <w:sectPr>
          <w:pgSz w:w="11900" w:h="16838" w:orient="portrait"/>
          <w:cols w:equalWidth="0" w:num="1">
            <w:col w:w="10219"/>
          </w:cols>
          <w:pgMar w:left="240" w:top="691" w:right="1440" w:bottom="287" w:gutter="0" w:footer="0" w:header="0"/>
        </w:sectPr>
      </w:pPr>
    </w:p>
    <w:bookmarkStart w:id="43" w:name="page44"/>
    <w:bookmarkEnd w:id="43"/>
    <w:p>
      <w:pPr>
        <w:ind w:right="2099"/>
        <w:spacing w:after="0" w:line="256" w:lineRule="auto"/>
        <w:rPr>
          <w:sz w:val="20"/>
          <w:szCs w:val="20"/>
          <w:color w:val="auto"/>
        </w:rPr>
      </w:pPr>
      <w:r>
        <w:rPr>
          <w:rFonts w:ascii="Courier New" w:cs="Courier New" w:eastAsia="Courier New" w:hAnsi="Courier New"/>
          <w:sz w:val="18"/>
          <w:szCs w:val="18"/>
          <w:color w:val="auto"/>
        </w:rPr>
        <w:t>fixed rate minus a qualified floating rate, as long as variations in the rate can reasonably be expected to inversely reflect contemporaneous variations in the qualified floating rate. The OID Regulations also provide that if a Variable Note provides for stated interest at a fixed rate for an initial period of less than one year followed by a variable rate that is either a qualified floating rate or an objective rate, and if the variable rate on the Variable Note's issue date is intended</w:t>
      </w:r>
    </w:p>
    <w:p>
      <w:pPr>
        <w:spacing w:after="0" w:line="9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S-25</w:t>
      </w:r>
    </w:p>
    <w:p>
      <w:pPr>
        <w:sectPr>
          <w:pgSz w:w="11900" w:h="16838" w:orient="portrait"/>
          <w:cols w:equalWidth="0" w:num="1">
            <w:col w:w="10219"/>
          </w:cols>
          <w:pgMar w:left="240" w:top="110" w:right="1440" w:bottom="1440" w:gutter="0" w:footer="0" w:header="0"/>
        </w:sectPr>
      </w:pPr>
    </w:p>
    <w:bookmarkStart w:id="44" w:name="page45"/>
    <w:bookmarkEnd w:id="44"/>
    <w:p>
      <w:pPr>
        <w:ind w:right="2199"/>
        <w:spacing w:after="0" w:line="265" w:lineRule="auto"/>
        <w:rPr>
          <w:sz w:val="20"/>
          <w:szCs w:val="20"/>
          <w:color w:val="auto"/>
        </w:rPr>
      </w:pPr>
      <w:r>
        <w:rPr>
          <w:rFonts w:ascii="Courier New" w:cs="Courier New" w:eastAsia="Courier New" w:hAnsi="Courier New"/>
          <w:sz w:val="18"/>
          <w:szCs w:val="18"/>
          <w:color w:val="auto"/>
        </w:rPr>
        <w:t>to approximate the fixed rate (e.g., the value of the variable rate on the issue date does not differ from the value of the fixed rate by more than 25 basis points), then the fixed rate and the variable rate together will constitute either a single qualified floating rate or objective rate, as the case may be.</w:t>
      </w:r>
    </w:p>
    <w:p>
      <w:pPr>
        <w:spacing w:after="0" w:line="90" w:lineRule="exact"/>
        <w:rPr>
          <w:sz w:val="20"/>
          <w:szCs w:val="20"/>
          <w:color w:val="auto"/>
        </w:rPr>
      </w:pPr>
    </w:p>
    <w:p>
      <w:pPr>
        <w:ind w:right="1999" w:firstLine="211"/>
        <w:spacing w:after="0" w:line="275" w:lineRule="auto"/>
        <w:rPr>
          <w:sz w:val="20"/>
          <w:szCs w:val="20"/>
          <w:color w:val="auto"/>
        </w:rPr>
      </w:pPr>
      <w:r>
        <w:rPr>
          <w:rFonts w:ascii="Courier New" w:cs="Courier New" w:eastAsia="Courier New" w:hAnsi="Courier New"/>
          <w:sz w:val="16"/>
          <w:szCs w:val="16"/>
          <w:color w:val="auto"/>
        </w:rPr>
        <w:t>If a Variable Note that provides for stated interest at either a single qualified floating rate or a single objective rate throughout the term thereof qualifies as a "variable rate debt instrument" under the OID Regulations, then any stated interest on such Note which is unconditionally payable in cash or property (other than debt instruments of the issuer) at least annually will constitute qualified stated interest and will be taxed accordingly. Thus, a Variable Note that provides for stated interest at either a single qualified floating rate or a single objective rate throughout the term thereof and that qualifies as a "variable rate debt instrument" under the OID Regulations will generally not be treated as having been issued with original issue discount unless the Variable Note is issued at a "true" discount (i.e., at a price below the Note's stated principal amount) in excess of a specified de minimus amount. Original issue discount on such a Variable Note arising from "true" discount and qualified stated interest are allocated to an accrual period using the constant yield method described above by assuming that the variable rate is a fixed rate equal to (i) in the case of a qualified floating rate or qualified inverse floating rate, the value as of the issue date, of the qualified floating rate or qualified inverse floating rate, or (ii) in the case of an objective rate (other than a qualified inverse floating rate), a fixed rate that reflects the yield that is reasonably expected for the Variable Note. The amount of qualified stated interest allocable to an accrual period is increased (or decreased) if the interest actually paid during an accrual period exceeds (or is less than) the interest assumed to be paid during the accrual period.</w:t>
      </w:r>
    </w:p>
    <w:p>
      <w:pPr>
        <w:spacing w:after="0" w:line="200" w:lineRule="exact"/>
        <w:rPr>
          <w:sz w:val="20"/>
          <w:szCs w:val="20"/>
          <w:color w:val="auto"/>
        </w:rPr>
      </w:pPr>
    </w:p>
    <w:p>
      <w:pPr>
        <w:spacing w:after="0" w:line="295"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6"/>
          <w:szCs w:val="16"/>
          <w:color w:val="auto"/>
        </w:rPr>
        <w:t>In general, any other Variable Note that qualifies as a "variable rate debt instrument" will be converted into an "equivalent" fixed rate debt instrument for purposes of determining the amount and accrual of original issue discount and qualified stated interest on the Variable Note. The OID Regulations generally require that such a Variable Note be converted into an "equivalent" fixed rate debt instrument by substituting any qualified floating rate or qualified inverse floating rate provided for under the terms of the Variable Note with a fixed rate equal to the value of the qualified floating rate or qualified inverse floating rate, as the case may be, as of the Variable Note's issue date. Any objective rate (other than a qualified inverse floating rate) provided for under the terms of the Variable Note is converted into a fixed rate that reflects the yield that is reasonably expected for the Variable Note. In the case of a Variable Note that qualifies as a "variable rate debt instrument" and provides for stated interest at a fixed rate in addition to either one or more qualified floating rates or a qualified inverse floating rate, the fixed rate is initially converted into a qualified floating rate (or a qualified inverse floating rate, if the Variable Note provides for a qualified inverse floating rate). Under such circumstances, the qualified floating rate or qualified inverse floating rate that replaces the fixed rate must be such that the fair market value of the Variable Notes as of the Variable Note's issue date is approximately the same as the fair market value of an otherwise identical debt instrument that provides for either the qualified floating rate or qualified inverse floating rate rather than the fixed rate. Subsequent to converting the fixed rate into either a qualified floating rate or a qualified inverse floating rate, the Variable Note is then converted into an "equivalent" fixed rate debt instrument in the manner described above.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999" w:firstLine="211"/>
        <w:spacing w:after="0" w:line="282" w:lineRule="auto"/>
        <w:rPr>
          <w:sz w:val="20"/>
          <w:szCs w:val="20"/>
          <w:color w:val="auto"/>
        </w:rPr>
      </w:pPr>
      <w:r>
        <w:rPr>
          <w:rFonts w:ascii="Courier New" w:cs="Courier New" w:eastAsia="Courier New" w:hAnsi="Courier New"/>
          <w:sz w:val="16"/>
          <w:szCs w:val="16"/>
          <w:color w:val="auto"/>
        </w:rPr>
        <w:t>Once the Variable Note is converted into an "equivalent" fixed rate debt instrument pursuant to the foregoing rules, the amount of original issue discount and qualified stated interest are determined for the "equivalent" fixed rate debt instrument by applying the general original issue discount rules to the "equivalent" fixed rate debt instrument, and a U.S. Holder of the Variable Note will account for such original issue discount and qualified stated interest as if the U.S. Holder held the "equivalent" fixed rate debt instrument. Each accrual period appropriate adjustments will be made to the amount of qualified stated interest or original issue discount assumed to have been accrued or paid with respect to the "equivalent" fixed rate debt instrument in the event that such amounts differ from the actual amount of interest accrued or paid on the Variable Note during the accrual period.</w:t>
      </w:r>
    </w:p>
    <w:p>
      <w:pPr>
        <w:spacing w:after="0" w:line="291" w:lineRule="exact"/>
        <w:rPr>
          <w:sz w:val="20"/>
          <w:szCs w:val="20"/>
          <w:color w:val="auto"/>
        </w:rPr>
      </w:pPr>
    </w:p>
    <w:p>
      <w:pPr>
        <w:ind w:right="2319" w:firstLine="211"/>
        <w:spacing w:after="0" w:line="265" w:lineRule="auto"/>
        <w:rPr>
          <w:sz w:val="20"/>
          <w:szCs w:val="20"/>
          <w:color w:val="auto"/>
        </w:rPr>
      </w:pPr>
      <w:r>
        <w:rPr>
          <w:rFonts w:ascii="Courier New" w:cs="Courier New" w:eastAsia="Courier New" w:hAnsi="Courier New"/>
          <w:sz w:val="18"/>
          <w:szCs w:val="18"/>
          <w:color w:val="auto"/>
        </w:rPr>
        <w:t>If a Variable Note does not qualify as a "variable rate debt instrument" under the OID Regulations, then the Variable Note would be treated as a contingent payment debt obligation. On June 11, 1996 the IRS released final Treasury regulations dealing with the treatment of contingent payment obligations (the "Contingent Debt Regulations").</w:t>
      </w:r>
    </w:p>
    <w:p>
      <w:pPr>
        <w:sectPr>
          <w:pgSz w:w="11900" w:h="16838" w:orient="portrait"/>
          <w:cols w:equalWidth="0" w:num="1">
            <w:col w:w="10219"/>
          </w:cols>
          <w:pgMar w:left="240" w:top="691" w:right="1440" w:bottom="0" w:gutter="0" w:footer="0" w:header="0"/>
        </w:sectPr>
      </w:pPr>
    </w:p>
    <w:bookmarkStart w:id="45" w:name="page46"/>
    <w:bookmarkEnd w:id="45"/>
    <w:p>
      <w:pPr>
        <w:ind w:right="1999" w:firstLine="211"/>
        <w:spacing w:after="0" w:line="298" w:lineRule="auto"/>
        <w:rPr>
          <w:sz w:val="20"/>
          <w:szCs w:val="20"/>
          <w:color w:val="auto"/>
        </w:rPr>
      </w:pPr>
      <w:r>
        <w:rPr>
          <w:rFonts w:ascii="Courier New" w:cs="Courier New" w:eastAsia="Courier New" w:hAnsi="Courier New"/>
          <w:sz w:val="16"/>
          <w:szCs w:val="16"/>
          <w:color w:val="auto"/>
        </w:rPr>
        <w:t>Generally, if a Variable Note is treated as a contingent payment obligation, interest payments thereon will be treated as "contingent interest" payments. Any contingent interest payments on a Variable Note would be includible in income in a taxable year whether or not the amount of any payment is fixed or determinable in that year. The amount of interest included in income in any particular accrual period would be determined by estimating a projected</w:t>
      </w:r>
    </w:p>
    <w:p>
      <w:pPr>
        <w:spacing w:after="0" w:line="6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S-26</w:t>
      </w:r>
    </w:p>
    <w:p>
      <w:pPr>
        <w:sectPr>
          <w:pgSz w:w="11900" w:h="16838" w:orient="portrait"/>
          <w:cols w:equalWidth="0" w:num="1">
            <w:col w:w="10219"/>
          </w:cols>
          <w:pgMar w:left="240" w:top="110" w:right="1440" w:bottom="1440" w:gutter="0" w:footer="0" w:header="0"/>
        </w:sectPr>
      </w:pPr>
    </w:p>
    <w:bookmarkStart w:id="46" w:name="page47"/>
    <w:bookmarkEnd w:id="46"/>
    <w:p>
      <w:pPr>
        <w:ind w:right="1999"/>
        <w:spacing w:after="0" w:line="253" w:lineRule="auto"/>
        <w:rPr>
          <w:sz w:val="20"/>
          <w:szCs w:val="20"/>
          <w:color w:val="auto"/>
        </w:rPr>
      </w:pPr>
      <w:r>
        <w:rPr>
          <w:rFonts w:ascii="Courier New" w:cs="Courier New" w:eastAsia="Courier New" w:hAnsi="Courier New"/>
          <w:sz w:val="18"/>
          <w:szCs w:val="18"/>
          <w:color w:val="auto"/>
        </w:rPr>
        <w:t>payment schedule (as determined under the Contingent Debt Regulations) for the Variable Note based on a comparable yield based on a hypothetical fixed rate instrument having similar terms and conditions as the Variable Note and applying daily accrual rules similar to those for accruing original issue discount on Notes issued with original issue discount (as discussed above). If the actual amount of contingent interest payments is not equal to the projected amount, an adjustment to income at the time of the payment must be made to reflect the difference.</w:t>
      </w:r>
    </w:p>
    <w:p>
      <w:pPr>
        <w:spacing w:after="0" w:line="104" w:lineRule="exact"/>
        <w:rPr>
          <w:sz w:val="20"/>
          <w:szCs w:val="20"/>
          <w:color w:val="auto"/>
        </w:rPr>
      </w:pPr>
    </w:p>
    <w:p>
      <w:pPr>
        <w:ind w:right="1999" w:firstLine="211"/>
        <w:spacing w:after="0" w:line="253" w:lineRule="auto"/>
        <w:rPr>
          <w:sz w:val="20"/>
          <w:szCs w:val="20"/>
          <w:color w:val="auto"/>
        </w:rPr>
      </w:pPr>
      <w:r>
        <w:rPr>
          <w:rFonts w:ascii="Courier New" w:cs="Courier New" w:eastAsia="Courier New" w:hAnsi="Courier New"/>
          <w:sz w:val="18"/>
          <w:szCs w:val="18"/>
          <w:color w:val="auto"/>
        </w:rPr>
        <w:t>Certain of the Notes (i) may be redeemable at the option of the Trust prior to their stated maturity (a "call option") and/or (ii) may be repayable at the option of the Holder prior to their stated maturity (a "put option"). Notes containing such features may be subject to rules that differ from the general rules discussed above. Investors intending to purchase Notes with such features should consult their own tax advisors, since the original issue discount consequences will depend, in part, on the particular terms and features of the purchased Notes.</w:t>
      </w:r>
    </w:p>
    <w:p>
      <w:pPr>
        <w:spacing w:after="0" w:line="104" w:lineRule="exact"/>
        <w:rPr>
          <w:sz w:val="20"/>
          <w:szCs w:val="20"/>
          <w:color w:val="auto"/>
        </w:rPr>
      </w:pPr>
    </w:p>
    <w:p>
      <w:pPr>
        <w:ind w:right="2099" w:firstLine="211"/>
        <w:spacing w:after="0" w:line="256" w:lineRule="auto"/>
        <w:rPr>
          <w:sz w:val="20"/>
          <w:szCs w:val="20"/>
          <w:color w:val="auto"/>
        </w:rPr>
      </w:pPr>
      <w:r>
        <w:rPr>
          <w:rFonts w:ascii="Courier New" w:cs="Courier New" w:eastAsia="Courier New" w:hAnsi="Courier New"/>
          <w:sz w:val="18"/>
          <w:szCs w:val="18"/>
          <w:color w:val="auto"/>
        </w:rPr>
        <w:t>U.S. Holders may generally, upon election, include in income all interest (including stated interest, acquisition discount, original issue discount, de minimis original issue discount, market discount, de minimis market discount, and unstated interest, as adjusted by any amortizable bond premium or acquisition premium) that accrues on a debt instrument by using the constant yield method applicable to original issue discount, subject to certain limitations and exceptions.</w:t>
      </w:r>
    </w:p>
    <w:p>
      <w:pPr>
        <w:spacing w:after="0" w:line="98" w:lineRule="exact"/>
        <w:rPr>
          <w:sz w:val="20"/>
          <w:szCs w:val="20"/>
          <w:color w:val="auto"/>
        </w:rPr>
      </w:pPr>
    </w:p>
    <w:p>
      <w:pPr>
        <w:ind w:right="1999" w:firstLine="211"/>
        <w:spacing w:after="0" w:line="245" w:lineRule="auto"/>
        <w:rPr>
          <w:sz w:val="20"/>
          <w:szCs w:val="20"/>
          <w:color w:val="auto"/>
        </w:rPr>
      </w:pPr>
      <w:r>
        <w:rPr>
          <w:rFonts w:ascii="Courier New" w:cs="Courier New" w:eastAsia="Courier New" w:hAnsi="Courier New"/>
          <w:sz w:val="18"/>
          <w:szCs w:val="18"/>
          <w:color w:val="auto"/>
        </w:rPr>
        <w:t>Short-Term Notes. Notes that have a fixed maturity of one year or less ("Short-Term Notes") will be treated as having been issued with original issue discount. In general, a cash method U.S. Holder is not required to accrue such original issue discount unless the U.S. Holder elects to do so. If such an election is not made, any gain recognized by the U.S. Holder on the sale, exchange or maturity of the Short-Term Note will be ordinary income to the extent of the original issue discount accrued on a straight-line basis, or upon election under the constant yield method (based on daily compounding), through the date of sale or maturity, and a portion of the deductions otherwise allowable to the U.S. Holder for interest on borrowings allocable to the Short-Term Note will be deferred until a corresponding amount of income is realized. U.S. Holders who report income for United States Federal income tax purposes under the accrual method, and certain other Holders including banks and dealers in securities, are required to accrue original issue discount on a Short-Term Note on a straight-line basis unless an election is made to accrue the original issue discount under a constant yield method (based on daily compounding).</w:t>
      </w:r>
    </w:p>
    <w:p>
      <w:pPr>
        <w:spacing w:after="0" w:line="108" w:lineRule="exact"/>
        <w:rPr>
          <w:sz w:val="20"/>
          <w:szCs w:val="20"/>
          <w:color w:val="auto"/>
        </w:rPr>
      </w:pPr>
    </w:p>
    <w:p>
      <w:pPr>
        <w:ind w:right="1999" w:firstLine="211"/>
        <w:spacing w:after="0" w:line="253" w:lineRule="auto"/>
        <w:rPr>
          <w:sz w:val="20"/>
          <w:szCs w:val="20"/>
          <w:color w:val="auto"/>
        </w:rPr>
      </w:pPr>
      <w:r>
        <w:rPr>
          <w:rFonts w:ascii="Courier New" w:cs="Courier New" w:eastAsia="Courier New" w:hAnsi="Courier New"/>
          <w:sz w:val="18"/>
          <w:szCs w:val="18"/>
          <w:color w:val="auto"/>
        </w:rPr>
        <w:t>Market Discount. If a U.S. Holder purchases a Note, other than a Note issued with original issue discount, for an amount that is less than its issue price (or, in the case of a subsequent purchaser, its stated redemption price at maturity) or, in the case of a Note issued with original issue discount, for an amount that is less than its adjusted issue price as of the purchase date, such U.S. Holder will be treated as having purchased such Note at a "market discount," unless such market discount is less than a specified de minimis amount.</w:t>
      </w:r>
    </w:p>
    <w:p>
      <w:pPr>
        <w:spacing w:after="0" w:line="104" w:lineRule="exact"/>
        <w:rPr>
          <w:sz w:val="20"/>
          <w:szCs w:val="20"/>
          <w:color w:val="auto"/>
        </w:rPr>
      </w:pPr>
    </w:p>
    <w:p>
      <w:pPr>
        <w:ind w:right="1999" w:firstLine="211"/>
        <w:spacing w:after="0" w:line="249" w:lineRule="auto"/>
        <w:rPr>
          <w:sz w:val="20"/>
          <w:szCs w:val="20"/>
          <w:color w:val="auto"/>
        </w:rPr>
      </w:pPr>
      <w:r>
        <w:rPr>
          <w:rFonts w:ascii="Courier New" w:cs="Courier New" w:eastAsia="Courier New" w:hAnsi="Courier New"/>
          <w:sz w:val="18"/>
          <w:szCs w:val="18"/>
          <w:color w:val="auto"/>
        </w:rPr>
        <w:t>Under the market discount rules, a U.S. Holder will be required to treat any partial principal payment (or, in the case of a Note issued with original issue discount, any payment that is part of its "revised issue price") on, or any gain realized on the sale, exchange, retirement or other disposition of, a Note as ordinary income to the extent of the lesser of (i) the amount of such payment or realized gain or (ii) the market discount which has not previously been included in income and is treated as having accrued on such Note at the time of such payment or disposition. Market discount will be considered to accrue ratably during the period from the date of acquisition to the Maturity Date of the Note, unless the U.S. Holder elects to accrue market discount on the basis of constant interest rate.</w:t>
      </w:r>
    </w:p>
    <w:p>
      <w:pPr>
        <w:spacing w:after="0" w:line="104" w:lineRule="exact"/>
        <w:rPr>
          <w:sz w:val="20"/>
          <w:szCs w:val="20"/>
          <w:color w:val="auto"/>
        </w:rPr>
      </w:pPr>
    </w:p>
    <w:p>
      <w:pPr>
        <w:ind w:right="2099" w:firstLine="211"/>
        <w:spacing w:after="0" w:line="281" w:lineRule="auto"/>
        <w:rPr>
          <w:sz w:val="20"/>
          <w:szCs w:val="20"/>
          <w:color w:val="auto"/>
        </w:rPr>
      </w:pPr>
      <w:r>
        <w:rPr>
          <w:rFonts w:ascii="Courier New" w:cs="Courier New" w:eastAsia="Courier New" w:hAnsi="Courier New"/>
          <w:sz w:val="16"/>
          <w:szCs w:val="16"/>
          <w:color w:val="auto"/>
        </w:rPr>
        <w:t>A U.S. Holder may be required to defer the deduction of all or a portion of the interest paid or accrued on any indebtedness incurred or maintained to purchase or carry a Note with market discount until the maturity of the Note or certain earlier dispositions, because a current deduction is only allowed to the extent the interest expense exceeds an allocable portion of market discount. A U.S. Holder may elect to include market discount in income currently as it accrues (on either a ratable or a constant interest rate basis), in which case the rules described above regarding the treatment as ordinary income of gain upon the disposition of the Note and upon the receipt of certain cash payments and regarding the deferral of interest deductions will not apply. Generally, such currently included market discount is treated as ordinary interest for United States Federal income tax purposes. Such an election will apply to all debt instruments acquired by the U.S. Holder on or</w:t>
      </w:r>
    </w:p>
    <w:p>
      <w:pPr>
        <w:sectPr>
          <w:pgSz w:w="11900" w:h="16838" w:orient="portrait"/>
          <w:cols w:equalWidth="0" w:num="1">
            <w:col w:w="10219"/>
          </w:cols>
          <w:pgMar w:left="240" w:top="691" w:right="1440" w:bottom="0" w:gutter="0" w:footer="0" w:header="0"/>
        </w:sectPr>
      </w:pPr>
    </w:p>
    <w:bookmarkStart w:id="47" w:name="page48"/>
    <w:bookmarkEnd w:id="47"/>
    <w:p>
      <w:pPr>
        <w:ind w:right="1999"/>
        <w:spacing w:after="0" w:line="347" w:lineRule="auto"/>
        <w:rPr>
          <w:sz w:val="20"/>
          <w:szCs w:val="20"/>
          <w:color w:val="auto"/>
        </w:rPr>
      </w:pPr>
      <w:r>
        <w:rPr>
          <w:rFonts w:ascii="Courier New" w:cs="Courier New" w:eastAsia="Courier New" w:hAnsi="Courier New"/>
          <w:sz w:val="18"/>
          <w:szCs w:val="18"/>
          <w:color w:val="auto"/>
        </w:rPr>
        <w:t>after the first day of the taxable year to which such election applies and may be revoked only with the consent of the IRS.</w:t>
      </w:r>
    </w:p>
    <w:p>
      <w:pPr>
        <w:spacing w:after="0" w:line="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S-27</w:t>
      </w:r>
    </w:p>
    <w:p>
      <w:pPr>
        <w:sectPr>
          <w:pgSz w:w="11900" w:h="16838" w:orient="portrait"/>
          <w:cols w:equalWidth="0" w:num="1">
            <w:col w:w="10219"/>
          </w:cols>
          <w:pgMar w:left="240" w:top="110" w:right="1440" w:bottom="1440" w:gutter="0" w:footer="0" w:header="0"/>
        </w:sectPr>
      </w:pPr>
    </w:p>
    <w:bookmarkStart w:id="48" w:name="page49"/>
    <w:bookmarkEnd w:id="48"/>
    <w:p>
      <w:pPr>
        <w:ind w:right="1999" w:firstLine="211"/>
        <w:spacing w:after="0" w:line="275" w:lineRule="auto"/>
        <w:rPr>
          <w:sz w:val="20"/>
          <w:szCs w:val="20"/>
          <w:color w:val="auto"/>
        </w:rPr>
      </w:pPr>
      <w:r>
        <w:rPr>
          <w:rFonts w:ascii="Courier New" w:cs="Courier New" w:eastAsia="Courier New" w:hAnsi="Courier New"/>
          <w:sz w:val="16"/>
          <w:szCs w:val="16"/>
          <w:color w:val="auto"/>
        </w:rPr>
        <w:t>Premium. If a U.S. Holder purchases a Note for an amount that is greater than the sum of all amounts payable on the Note after the purchase date other than payments of qualified stated interest, such U.S. Holder will be considered to have purchased the Note with "amortizable bond premium" equal in amount to such excess. A U.S. Holder may elect to amortize such premium using a constant yield method over the remaining term of the Note in a manner generally similar to the amortization of original issue discount. In the case of a Note issued subject to a call option, however, the bond premium will be amortized using different assumptions, which may defer the amortization of some bond premium until later in the term of the Note. The amortized portion of the premium may offset qualified stated interest on the Note when the U.S. Holder takes the qualified stated interest into account under its regular method of accounting. In the event that the amount of premium allocable to an accrual period exceeds the amount of qualified stated interest taken into account by the U.S. Holder in that period, the excess may be deducted only to the extent that the U.S. Holder took qualified stated interest on the Note into income in prior periods (and such amounts were not previously offset by amortized bond premium). Any amount that cannot be deducted in the current period may be carried forward to offset qualified stated interest taken into income in future periods. Any election to amortize bond premium applies to all taxable debt obligations then owned and thereafter acquired by the U.S. Holder and may be revoked only with the consent of the IRS.</w:t>
      </w:r>
    </w:p>
    <w:p>
      <w:pPr>
        <w:spacing w:after="0" w:line="200" w:lineRule="exact"/>
        <w:rPr>
          <w:sz w:val="20"/>
          <w:szCs w:val="20"/>
          <w:color w:val="auto"/>
        </w:rPr>
      </w:pPr>
    </w:p>
    <w:p>
      <w:pPr>
        <w:spacing w:after="0" w:line="306" w:lineRule="exact"/>
        <w:rPr>
          <w:sz w:val="20"/>
          <w:szCs w:val="20"/>
          <w:color w:val="auto"/>
        </w:rPr>
      </w:pPr>
    </w:p>
    <w:p>
      <w:pPr>
        <w:ind w:right="1999" w:firstLine="211"/>
        <w:spacing w:after="0" w:line="282" w:lineRule="auto"/>
        <w:rPr>
          <w:sz w:val="20"/>
          <w:szCs w:val="20"/>
          <w:color w:val="auto"/>
        </w:rPr>
      </w:pPr>
      <w:r>
        <w:rPr>
          <w:rFonts w:ascii="Courier New" w:cs="Courier New" w:eastAsia="Courier New" w:hAnsi="Courier New"/>
          <w:sz w:val="16"/>
          <w:szCs w:val="16"/>
          <w:color w:val="auto"/>
        </w:rPr>
        <w:t>Disposition of a Note. Except as discussed above, upon the sale, exchange or retirement of a Note, a U.S. Holder generally will recognize taxable gain or loss equal to the difference between the amount realized on the sale, exchange or retirement (other than amounts representing accrued and unpaid interest) and such U.S. Holder's adjusted tax basis in the Note. A U.S. Holder's adjusted tax basis in a Note generally will equal such U.S. Holder's initial investment in the Note increased by any original issue discount included in income (and accrued market discount, if any, if the U.S. Holder has included such market discount in income) and decreased by the amount of any payments, other than qualified stated interest payments, received and amortizable bond premium taken with respect to such Note. Such gain or loss generally will be long-term capital gain or loss if the Note were held for more than one year.</w:t>
      </w:r>
    </w:p>
    <w:p>
      <w:pPr>
        <w:spacing w:after="0" w:line="78" w:lineRule="exact"/>
        <w:rPr>
          <w:sz w:val="20"/>
          <w:szCs w:val="20"/>
          <w:color w:val="auto"/>
        </w:rPr>
      </w:pPr>
    </w:p>
    <w:p>
      <w:pPr>
        <w:ind w:right="2319"/>
        <w:spacing w:after="0" w:line="347" w:lineRule="auto"/>
        <w:rPr>
          <w:sz w:val="20"/>
          <w:szCs w:val="20"/>
          <w:color w:val="auto"/>
        </w:rPr>
      </w:pPr>
      <w:r>
        <w:rPr>
          <w:rFonts w:ascii="Courier New" w:cs="Courier New" w:eastAsia="Courier New" w:hAnsi="Courier New"/>
          <w:sz w:val="18"/>
          <w:szCs w:val="18"/>
          <w:color w:val="auto"/>
        </w:rPr>
        <w:t>NOTES DENOMINATED, OR IN RESPECT OF WHICH INTEREST IS PAYABLE, IN A FOREIGN CURRENCY</w:t>
      </w:r>
    </w:p>
    <w:p>
      <w:pPr>
        <w:spacing w:after="0" w:line="18" w:lineRule="exact"/>
        <w:rPr>
          <w:sz w:val="20"/>
          <w:szCs w:val="20"/>
          <w:color w:val="auto"/>
        </w:rPr>
      </w:pPr>
    </w:p>
    <w:p>
      <w:pPr>
        <w:ind w:right="2199" w:firstLine="211"/>
        <w:spacing w:after="0" w:line="347" w:lineRule="auto"/>
        <w:rPr>
          <w:sz w:val="20"/>
          <w:szCs w:val="20"/>
          <w:color w:val="auto"/>
        </w:rPr>
      </w:pPr>
      <w:r>
        <w:rPr>
          <w:rFonts w:ascii="Courier New" w:cs="Courier New" w:eastAsia="Courier New" w:hAnsi="Courier New"/>
          <w:sz w:val="18"/>
          <w:szCs w:val="18"/>
          <w:color w:val="auto"/>
        </w:rPr>
        <w:t>As used herein, "Foreign Currency" means a currency or currency unit other than U.S. dollars.</w:t>
      </w:r>
    </w:p>
    <w:p>
      <w:pPr>
        <w:spacing w:after="0" w:line="18" w:lineRule="exact"/>
        <w:rPr>
          <w:sz w:val="20"/>
          <w:szCs w:val="20"/>
          <w:color w:val="auto"/>
        </w:rPr>
      </w:pPr>
    </w:p>
    <w:p>
      <w:pPr>
        <w:ind w:right="1999" w:firstLine="211"/>
        <w:spacing w:after="0" w:line="293" w:lineRule="auto"/>
        <w:rPr>
          <w:sz w:val="20"/>
          <w:szCs w:val="20"/>
          <w:color w:val="auto"/>
        </w:rPr>
      </w:pPr>
      <w:r>
        <w:rPr>
          <w:rFonts w:ascii="Courier New" w:cs="Courier New" w:eastAsia="Courier New" w:hAnsi="Courier New"/>
          <w:sz w:val="16"/>
          <w:szCs w:val="16"/>
          <w:color w:val="auto"/>
        </w:rPr>
        <w:t>Cash Method. A U.S. Holder who uses the cash method of accounting for United States Federal income tax purposes and who receives a payment of interest on a Note (other than original discount or market discount) will be required to include in income the U.S. dollar value of the Foreign Currency payment (determined on the date such payment is received) regardless of whether the payment is in fact converted to U.S. dollars at that time, and such U.S. dollar value will be the U.S. Holder's tax basis in such Foreign Currency.</w:t>
      </w:r>
    </w:p>
    <w:p>
      <w:pPr>
        <w:spacing w:after="0" w:line="72"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6"/>
          <w:szCs w:val="16"/>
          <w:color w:val="auto"/>
        </w:rPr>
        <w:t>Accrual Method. A U.S. Holder who uses the accrual method of accounting for United States Federal income tax purposes, or who otherwise is required to accrue interest prior to receipt, will be required to include in income the U.S. dollar value of the amount of interest income (including original issue discount or market discount and reduced by amortizable bond premium to the extent applicable) that has accrued and is otherwise required to be taken into account with respect to a Note during an accrual period. The U.S. dollar value of such accrued income will be determined by translating such income at the average rate of exchange for the accrual period or, with respect to an accrual period that spans two taxable years, at the average rate for the partial period within the taxable year. A U.S. Holder may elect, however, to translate such accrued interest income using the rate of exchange on the last day of the accrual period or, with respect to an accrual period that spans two taxable years, using the rate of exchange on the last day of the taxable year. If the last day of an accrual period is within five business days of the date of receipt of the accrued interest, a U.S. Holder may translate such interest using the rate of exchange on the date of receipt. The above election will apply to other debt obligations held by the U.S. Holder and may not be changed without the consent of the IRS. A U.S. Holder should consult a tax advisor before making the above election. A U.S. Holder will recognize exchange gain or loss (which will be treated as ordinary income or loss) with respect to accrued interest income on the date such income is received. The amount of ordinary income or loss recognized will equal the difference, if any, between the U.S. dollar value of the Foreign Currency payment received (determined on the date such payment is received) in respect of such accrual period and the U.S. dollar value of interest income that has accrued during such accrual period (as determined above).</w:t>
      </w:r>
    </w:p>
    <w:p>
      <w:pPr>
        <w:sectPr>
          <w:pgSz w:w="11900" w:h="16838" w:orient="portrait"/>
          <w:cols w:equalWidth="0" w:num="1">
            <w:col w:w="10219"/>
          </w:cols>
          <w:pgMar w:left="240" w:top="691" w:right="1440" w:bottom="281" w:gutter="0" w:footer="0" w:header="0"/>
        </w:sectPr>
      </w:pPr>
    </w:p>
    <w:bookmarkStart w:id="49" w:name="page50"/>
    <w:bookmarkEnd w:id="49"/>
    <w:p>
      <w:pPr>
        <w:jc w:val="both"/>
        <w:ind w:right="2099" w:firstLine="211"/>
        <w:spacing w:after="0" w:line="292" w:lineRule="auto"/>
        <w:rPr>
          <w:sz w:val="20"/>
          <w:szCs w:val="20"/>
          <w:color w:val="auto"/>
        </w:rPr>
      </w:pPr>
      <w:r>
        <w:rPr>
          <w:rFonts w:ascii="Courier New" w:cs="Courier New" w:eastAsia="Courier New" w:hAnsi="Courier New"/>
          <w:sz w:val="18"/>
          <w:szCs w:val="18"/>
          <w:color w:val="auto"/>
        </w:rPr>
        <w:t>Purchase, Sale and Retirement of Notes. A U.S. Holder who purchases a Note with previously owned Foreign Currency will recognize ordinary income or loss in an amount equal to the difference, if any, between such U.S.</w:t>
      </w:r>
    </w:p>
    <w:p>
      <w:pPr>
        <w:spacing w:after="0" w:line="6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S-28</w:t>
      </w:r>
    </w:p>
    <w:p>
      <w:pPr>
        <w:sectPr>
          <w:pgSz w:w="11900" w:h="16838" w:orient="portrait"/>
          <w:cols w:equalWidth="0" w:num="1">
            <w:col w:w="10219"/>
          </w:cols>
          <w:pgMar w:left="240" w:top="110" w:right="1440" w:bottom="1440" w:gutter="0" w:footer="0" w:header="0"/>
        </w:sectPr>
      </w:pPr>
    </w:p>
    <w:bookmarkStart w:id="50" w:name="page51"/>
    <w:bookmarkEnd w:id="50"/>
    <w:p>
      <w:pPr>
        <w:jc w:val="both"/>
        <w:ind w:right="2419"/>
        <w:spacing w:after="0" w:line="292" w:lineRule="auto"/>
        <w:rPr>
          <w:sz w:val="20"/>
          <w:szCs w:val="20"/>
          <w:color w:val="auto"/>
        </w:rPr>
      </w:pPr>
      <w:r>
        <w:rPr>
          <w:rFonts w:ascii="Courier New" w:cs="Courier New" w:eastAsia="Courier New" w:hAnsi="Courier New"/>
          <w:sz w:val="18"/>
          <w:szCs w:val="18"/>
          <w:color w:val="auto"/>
        </w:rPr>
        <w:t>Holder's tax basis in the Foreign Currency and the U.S. dollar fair market value of the Foreign Currency used to purchase the Note, determined on the date of purchase.</w:t>
      </w:r>
    </w:p>
    <w:p>
      <w:pPr>
        <w:spacing w:after="0" w:line="66"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Except as discussed above with respect to Short-Term Notes, upon the sale, exchange or retirement of a Note, a U.S. Holder will recognize taxable gain or loss equal to the difference between the amount realized on the sale, exchange or retirement and such U.S. Holder's adjusted tax basis in the Note. Such gain or loss generally will be capital gain or loss (except to the extent of any accrued market discount not previously included in the U.S. Holder's income) and will be long-term capital gain or loss if at the time of sale, exchange or retirement the Note has been held by such U.S. Holder for more than one year. To the extent the amount realized represents accrued but unpaid interest, however, such amounts must be taken into account as interest income, with exchange gain or loss computed as described in "Payments of Interest in a Foreign Currency" above. If a U.S. Holder receives Foreign Currency on such a sale, exchange or retirement, the amount realized will be based on the U.S. dollar value of the Foreign Currency on the date the payment is received or the Note is disposed of (or deemed disposed of in the case of a taxable exchange of the Note for a new Note). In the case of a Note that is denominated in Foreign Currency and is traded on an established securities market, a cash basis U.S. Holder (or, upon election, an accrual basis U.S. Holder) will determine the U.S. dollar value of the amount realized by translating the Foreign Currency payment at the spot rate of exchange on the settlement date of the sale. A U.S. Holder's adjusted tax basis in a Note will equal the cost of the Note to such Holder, increased by the amounts of any market discount or original issue discount previously included in income by the Holder with respect to such Note and reduced by any amortized acquisition or other premium and any principal payments received by the Holder. A U.S. Holder's tax basis in a Note, and the amount of any subsequent adjustments to such Holder's tax basis, will be the U.S. dollar value of the Foreign Currency amount paid for such Note, or of the Foreign Currency amount of the adjustment, determined on the date of such purchase or adjustment.</w:t>
      </w:r>
    </w:p>
    <w:p>
      <w:pPr>
        <w:spacing w:after="0" w:line="200" w:lineRule="exact"/>
        <w:rPr>
          <w:sz w:val="20"/>
          <w:szCs w:val="20"/>
          <w:color w:val="auto"/>
        </w:rPr>
      </w:pPr>
    </w:p>
    <w:p>
      <w:pPr>
        <w:spacing w:after="0" w:line="311" w:lineRule="exact"/>
        <w:rPr>
          <w:sz w:val="20"/>
          <w:szCs w:val="20"/>
          <w:color w:val="auto"/>
        </w:rPr>
      </w:pPr>
    </w:p>
    <w:p>
      <w:pPr>
        <w:ind w:right="2099" w:firstLine="211"/>
        <w:spacing w:after="0" w:line="249" w:lineRule="auto"/>
        <w:rPr>
          <w:sz w:val="20"/>
          <w:szCs w:val="20"/>
          <w:color w:val="auto"/>
        </w:rPr>
      </w:pPr>
      <w:r>
        <w:rPr>
          <w:rFonts w:ascii="Courier New" w:cs="Courier New" w:eastAsia="Courier New" w:hAnsi="Courier New"/>
          <w:sz w:val="18"/>
          <w:szCs w:val="18"/>
          <w:color w:val="auto"/>
        </w:rPr>
        <w:t>Gain or loss realized upon the sale, exchange or retirement of a Note that is attributable to fluctuations in currency exchange rates will be ordinary income or loss which will not be treated as interest income or expense. Gain or loss attributable to fluctuations in exchange rates will equal the difference between the U.S. dollar value of the Foreign Currency principal amount of the Note, determined on the date such payment is received or the Note is disposed of, and the U.S. dollar value of the Foreign Currency principal amount of the Note, determined on the date the U.S. Holder acquired the Note. Such Foreign Currency gain or loss will be recognized only to the extent of the total gain or loss realized by the U.S. Holder on the sale, exchange or retirement of the Note.</w:t>
      </w:r>
    </w:p>
    <w:p>
      <w:pPr>
        <w:spacing w:after="0" w:line="104" w:lineRule="exact"/>
        <w:rPr>
          <w:sz w:val="20"/>
          <w:szCs w:val="20"/>
          <w:color w:val="auto"/>
        </w:rPr>
      </w:pPr>
    </w:p>
    <w:p>
      <w:pPr>
        <w:ind w:right="1999" w:firstLine="211"/>
        <w:spacing w:after="0" w:line="250" w:lineRule="auto"/>
        <w:rPr>
          <w:sz w:val="20"/>
          <w:szCs w:val="20"/>
          <w:color w:val="auto"/>
        </w:rPr>
      </w:pPr>
      <w:r>
        <w:rPr>
          <w:rFonts w:ascii="Courier New" w:cs="Courier New" w:eastAsia="Courier New" w:hAnsi="Courier New"/>
          <w:sz w:val="18"/>
          <w:szCs w:val="18"/>
          <w:color w:val="auto"/>
        </w:rPr>
        <w:t>Original Issue Discount. In the case of a Note issued with original issue discount, (i) original issue discount is determined in units of the Foreign Currency, (ii) accrued original issue discount is translated into U.S. dollars as described in "Payments of Interest in a Foreign Currency--Accrual Method" above and (iii) the amount of Foreign Currency gain or loss on the accrued original issue discount is determined by comparing the amount of income received attributable to the discount (either upon payment, maturity or an earlier disposition), as translated into U.S. dollars at the rate of exchange on the date of such receipt, with the amount of original issue discount accrued, as translated above.</w:t>
      </w:r>
    </w:p>
    <w:p>
      <w:pPr>
        <w:spacing w:after="0" w:line="104" w:lineRule="exact"/>
        <w:rPr>
          <w:sz w:val="20"/>
          <w:szCs w:val="20"/>
          <w:color w:val="auto"/>
        </w:rPr>
      </w:pPr>
    </w:p>
    <w:p>
      <w:pPr>
        <w:ind w:right="1999" w:firstLine="211"/>
        <w:spacing w:after="0" w:line="279" w:lineRule="auto"/>
        <w:rPr>
          <w:sz w:val="20"/>
          <w:szCs w:val="20"/>
          <w:color w:val="auto"/>
        </w:rPr>
      </w:pPr>
      <w:r>
        <w:rPr>
          <w:rFonts w:ascii="Courier New" w:cs="Courier New" w:eastAsia="Courier New" w:hAnsi="Courier New"/>
          <w:sz w:val="16"/>
          <w:szCs w:val="16"/>
          <w:color w:val="auto"/>
        </w:rPr>
        <w:t>Premium and Market Discount. In the case of a Note with market discount, (i) market discount is determined in units of the Foreign Currency, (ii) accrued market discount taken into account upon the receipt of any partial principal payment or upon the sale, exchange, retirement or other disposition of the Note (other than accrued market discount required to be taken into account currently) is translated into U.S. dollars at the exchange rate on such disposition date (and no part of such accrued market discount is treated as exchange gain or loss) and (iii) accrued market discount currently includible in income by a U.S. Holder for any accrual period is translated into U.S. dollars on the basis of the average exchange rate in effect during such accrual period, and the exchange gain or loss is determined upon the receipt of any partial principal payment or upon the sale, exchange, retirement or other disposition of the Note in the manner described in "Payments of Interest in a Foreign Currency--Accrual Method" above with respect to computation of exchange gain or loss on accrued interest.</w:t>
      </w:r>
    </w:p>
    <w:p>
      <w:pPr>
        <w:spacing w:after="0" w:line="291" w:lineRule="exact"/>
        <w:rPr>
          <w:sz w:val="20"/>
          <w:szCs w:val="20"/>
          <w:color w:val="auto"/>
        </w:rPr>
      </w:pPr>
    </w:p>
    <w:p>
      <w:pPr>
        <w:ind w:right="1999" w:firstLine="211"/>
        <w:spacing w:after="0" w:line="265" w:lineRule="auto"/>
        <w:rPr>
          <w:sz w:val="20"/>
          <w:szCs w:val="20"/>
          <w:color w:val="auto"/>
        </w:rPr>
      </w:pPr>
      <w:r>
        <w:rPr>
          <w:rFonts w:ascii="Courier New" w:cs="Courier New" w:eastAsia="Courier New" w:hAnsi="Courier New"/>
          <w:sz w:val="18"/>
          <w:szCs w:val="18"/>
          <w:color w:val="auto"/>
        </w:rPr>
        <w:t>With respect to a Note issued with amortizable bond premium, such premium is determined in the relevant Foreign Currency and reduces interest income in units of the Foreign Currency. Although not entirely clear, a U.S. Holder should recognize exchange gain or loss equal to the difference between the U.S. dollar value of the bond premium amortized with respect to a period,</w:t>
      </w:r>
    </w:p>
    <w:p>
      <w:pPr>
        <w:sectPr>
          <w:pgSz w:w="11900" w:h="16838" w:orient="portrait"/>
          <w:cols w:equalWidth="0" w:num="1">
            <w:col w:w="10219"/>
          </w:cols>
          <w:pgMar w:left="240" w:top="691" w:right="1440" w:bottom="0" w:gutter="0" w:footer="0" w:header="0"/>
        </w:sectPr>
      </w:pPr>
    </w:p>
    <w:bookmarkStart w:id="51" w:name="page52"/>
    <w:bookmarkEnd w:id="51"/>
    <w:p>
      <w:pPr>
        <w:ind w:right="2199"/>
        <w:spacing w:after="0" w:line="292" w:lineRule="auto"/>
        <w:rPr>
          <w:sz w:val="20"/>
          <w:szCs w:val="20"/>
          <w:color w:val="auto"/>
        </w:rPr>
      </w:pPr>
      <w:r>
        <w:rPr>
          <w:rFonts w:ascii="Courier New" w:cs="Courier New" w:eastAsia="Courier New" w:hAnsi="Courier New"/>
          <w:sz w:val="18"/>
          <w:szCs w:val="18"/>
          <w:color w:val="auto"/>
        </w:rPr>
        <w:t>determined on the date the interest attributable to such period is received, and the U.S. dollar value of the bond premium determined on the date of the acquisition of the Note.</w:t>
      </w:r>
    </w:p>
    <w:p>
      <w:pPr>
        <w:spacing w:after="0" w:line="26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S-29</w:t>
      </w:r>
    </w:p>
    <w:p>
      <w:pPr>
        <w:sectPr>
          <w:pgSz w:w="11900" w:h="16838" w:orient="portrait"/>
          <w:cols w:equalWidth="0" w:num="1">
            <w:col w:w="10219"/>
          </w:cols>
          <w:pgMar w:left="240" w:top="110" w:right="1440" w:bottom="1440" w:gutter="0" w:footer="0" w:header="0"/>
        </w:sectPr>
      </w:pPr>
    </w:p>
    <w:bookmarkStart w:id="52" w:name="page53"/>
    <w:bookmarkEnd w:id="52"/>
    <w:p>
      <w:pPr>
        <w:ind w:right="1999" w:firstLine="211"/>
        <w:spacing w:after="0" w:line="256" w:lineRule="auto"/>
        <w:rPr>
          <w:sz w:val="20"/>
          <w:szCs w:val="20"/>
          <w:color w:val="auto"/>
        </w:rPr>
      </w:pPr>
      <w:r>
        <w:rPr>
          <w:rFonts w:ascii="Courier New" w:cs="Courier New" w:eastAsia="Courier New" w:hAnsi="Courier New"/>
          <w:sz w:val="18"/>
          <w:szCs w:val="18"/>
          <w:color w:val="auto"/>
        </w:rPr>
        <w:t>Exchange of Foreign Currencies. A U.S. Holder will have a tax basis in any Foreign Currency received as interest or on the sale, exchange or retirement of a Note equal to the U.S. dollar value of such Foreign Currency, at the time the interest is received or at the time of the sale, exchange or retirement. Any gain or loss realized by a U.S. Holder on a sale or other disposition of Foreign Currency (including its exchange for U.S. dollars or its use to purchase Notes) will be ordinary income or loss.</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NON-U.S. HOLDERS</w:t>
      </w:r>
    </w:p>
    <w:p>
      <w:pPr>
        <w:spacing w:after="0" w:line="201" w:lineRule="exact"/>
        <w:rPr>
          <w:sz w:val="20"/>
          <w:szCs w:val="20"/>
          <w:color w:val="auto"/>
        </w:rPr>
      </w:pPr>
    </w:p>
    <w:p>
      <w:pPr>
        <w:ind w:right="1999" w:firstLine="211"/>
        <w:spacing w:after="0" w:line="276" w:lineRule="auto"/>
        <w:rPr>
          <w:sz w:val="20"/>
          <w:szCs w:val="20"/>
          <w:color w:val="auto"/>
        </w:rPr>
      </w:pPr>
      <w:r>
        <w:rPr>
          <w:rFonts w:ascii="Courier New" w:cs="Courier New" w:eastAsia="Courier New" w:hAnsi="Courier New"/>
          <w:sz w:val="16"/>
          <w:szCs w:val="16"/>
          <w:color w:val="auto"/>
        </w:rPr>
        <w:t>A non-U.S. Holder will not be subject to United States Federal income taxes on payments of principal, premium (if any) or interest (including original issue discount, if any) on a Note, unless such non-U.S. Holder is a direct or indirect 10% or greater shareholder of the Trust, a controlled foreign corporation related to the Trust or a bank receiving interest described in section 881(c)(3)(A) of the Code. To qualify for the exemption from taxation, the last United States payor in the chain of payment to a non-U.S. Holder (the "Withholding Agent") must have received in the year in which a payment of interest or principal occurs, or in either of the two preceding calendar years, a statement that (i) is signed by the Beneficial Owner of the Note under penalties of perjury, (ii) certifies that such owner is not a U.S. Holder and (iii) provides the name and address of the Beneficial Owner. The statement may be made on an IRS Form W-8 or a substantially similar form, and the Beneficial Owner must inform the Withholding Agent of any change in the information on the statement within 30 days of such change. If a Note is held through a securities clearing organization or certain other financial institutions, the organization or institution may provide a signed statement to the Withholding Agent. However, in such case, the signed statement must be accompanied by a copy of the IRS Form W-8 or the substitute form provided by the Beneficial Owner to the organization or institution.</w:t>
      </w:r>
    </w:p>
    <w:p>
      <w:pPr>
        <w:spacing w:after="0" w:line="200" w:lineRule="exact"/>
        <w:rPr>
          <w:sz w:val="20"/>
          <w:szCs w:val="20"/>
          <w:color w:val="auto"/>
        </w:rPr>
      </w:pPr>
    </w:p>
    <w:p>
      <w:pPr>
        <w:spacing w:after="0" w:line="302" w:lineRule="exact"/>
        <w:rPr>
          <w:sz w:val="20"/>
          <w:szCs w:val="20"/>
          <w:color w:val="auto"/>
        </w:rPr>
      </w:pPr>
    </w:p>
    <w:p>
      <w:pPr>
        <w:ind w:right="1999" w:firstLine="211"/>
        <w:spacing w:after="0" w:line="256" w:lineRule="auto"/>
        <w:rPr>
          <w:sz w:val="20"/>
          <w:szCs w:val="20"/>
          <w:color w:val="auto"/>
        </w:rPr>
      </w:pPr>
      <w:r>
        <w:rPr>
          <w:rFonts w:ascii="Courier New" w:cs="Courier New" w:eastAsia="Courier New" w:hAnsi="Courier New"/>
          <w:sz w:val="18"/>
          <w:szCs w:val="18"/>
          <w:color w:val="auto"/>
        </w:rPr>
        <w:t>Final regulations dealing with withholding tax on income paid to foreign persons, backup withholding and related matters (the "New Withholding Regulations") were issued by the Treasury Department on October 6, 1997. The New Withholding Regulations generally will be effective for payments made after December 31, 1999, subject to certain transition rules. Prospective Non-U.S. Holders are strongly urged to consult their own tax advisors with respect to the New Withholding Regulations.</w:t>
      </w:r>
    </w:p>
    <w:p>
      <w:pPr>
        <w:spacing w:after="0" w:line="98" w:lineRule="exact"/>
        <w:rPr>
          <w:sz w:val="20"/>
          <w:szCs w:val="20"/>
          <w:color w:val="auto"/>
        </w:rPr>
      </w:pPr>
    </w:p>
    <w:p>
      <w:pPr>
        <w:ind w:right="2099" w:firstLine="211"/>
        <w:spacing w:after="0" w:line="260" w:lineRule="auto"/>
        <w:rPr>
          <w:sz w:val="20"/>
          <w:szCs w:val="20"/>
          <w:color w:val="auto"/>
        </w:rPr>
      </w:pPr>
      <w:r>
        <w:rPr>
          <w:rFonts w:ascii="Courier New" w:cs="Courier New" w:eastAsia="Courier New" w:hAnsi="Courier New"/>
          <w:sz w:val="18"/>
          <w:szCs w:val="18"/>
          <w:color w:val="auto"/>
        </w:rPr>
        <w:t>Generally, a non-U.S. Holder will not be subject to Federal income taxes on any amount that constitutes capital gain upon retirement or disposition of a Note, provided the gain is not effectively connected with the conduct of a trade or business in the United States by the non-U.S. Holder. Certain other exceptions may be applicable, and a non-U.S. Holder should consult its tax advisor in this regard.</w:t>
      </w:r>
    </w:p>
    <w:p>
      <w:pPr>
        <w:spacing w:after="0" w:line="93" w:lineRule="exact"/>
        <w:rPr>
          <w:sz w:val="20"/>
          <w:szCs w:val="20"/>
          <w:color w:val="auto"/>
        </w:rPr>
      </w:pPr>
    </w:p>
    <w:p>
      <w:pPr>
        <w:ind w:right="1999" w:firstLine="211"/>
        <w:spacing w:after="0" w:line="265" w:lineRule="auto"/>
        <w:rPr>
          <w:sz w:val="20"/>
          <w:szCs w:val="20"/>
          <w:color w:val="auto"/>
        </w:rPr>
      </w:pPr>
      <w:r>
        <w:rPr>
          <w:rFonts w:ascii="Courier New" w:cs="Courier New" w:eastAsia="Courier New" w:hAnsi="Courier New"/>
          <w:sz w:val="18"/>
          <w:szCs w:val="18"/>
          <w:color w:val="auto"/>
        </w:rPr>
        <w:t>The Notes will not be includible in the estate of a non-U.S. Holder unless the individual is a direct or indirect 10% or greater shareholder of the Trust or, at the time of such individual's death, payments in respect of the Notes would have been effectively connected with the conduct by such individual of a trade or business in the United States.</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BACKUP WITHHOLDING</w:t>
      </w:r>
    </w:p>
    <w:p>
      <w:pPr>
        <w:spacing w:after="0" w:line="201" w:lineRule="exact"/>
        <w:rPr>
          <w:sz w:val="20"/>
          <w:szCs w:val="20"/>
          <w:color w:val="auto"/>
        </w:rPr>
      </w:pPr>
    </w:p>
    <w:p>
      <w:pPr>
        <w:ind w:right="1999" w:firstLine="211"/>
        <w:spacing w:after="0" w:line="249" w:lineRule="auto"/>
        <w:rPr>
          <w:sz w:val="20"/>
          <w:szCs w:val="20"/>
          <w:color w:val="auto"/>
        </w:rPr>
      </w:pPr>
      <w:r>
        <w:rPr>
          <w:rFonts w:ascii="Courier New" w:cs="Courier New" w:eastAsia="Courier New" w:hAnsi="Courier New"/>
          <w:sz w:val="18"/>
          <w:szCs w:val="18"/>
          <w:color w:val="auto"/>
        </w:rPr>
        <w:t>Backup withholding of United States Federal income tax at a rate of 31% may apply to payments made in respect of the Notes to registered owners who are not "exempt recipients" and who fail to provide certain identifying information (such as the registered owner's taxpayer identification number) in the required manner. Generally, individuals are not exempt recipients, whereas corporations and certain other entities generally are exempt recipients. Payments made in respect of the Notes to a U.S. Holder must be reported to the IRS, unless the U.S. Holder is an exempt recipient or establishes an exemption. Compliance with the identification procedures described in the preceding section would establish an exemption from backup withholding for those non-U.S. Holders who are not exempt recipients.</w:t>
      </w:r>
    </w:p>
    <w:p>
      <w:pPr>
        <w:spacing w:after="0" w:line="104" w:lineRule="exact"/>
        <w:rPr>
          <w:sz w:val="20"/>
          <w:szCs w:val="20"/>
          <w:color w:val="auto"/>
        </w:rPr>
      </w:pPr>
    </w:p>
    <w:p>
      <w:pPr>
        <w:ind w:right="2099" w:firstLine="211"/>
        <w:spacing w:after="0" w:line="282" w:lineRule="auto"/>
        <w:rPr>
          <w:sz w:val="20"/>
          <w:szCs w:val="20"/>
          <w:color w:val="auto"/>
        </w:rPr>
      </w:pPr>
      <w:r>
        <w:rPr>
          <w:rFonts w:ascii="Courier New" w:cs="Courier New" w:eastAsia="Courier New" w:hAnsi="Courier New"/>
          <w:sz w:val="16"/>
          <w:szCs w:val="16"/>
          <w:color w:val="auto"/>
        </w:rPr>
        <w:t>In addition, upon the sale of a Note to (or through) a broker, the broker must withhold 31% of the entire purchase price, unless either (i) the broker determines that the seller is a corporation or other exempt recipient or (ii) the seller provides, in the required manner, certain identifying information and, in the case of a non-U.S. Holder, certifies that such seller is a non-U.S. Holder (and certain other conditions are met). Such a sale must also be reported by the broker to the IRS, unless either (i) the broker determines that the seller is an exempt recipient or (ii) the seller certifies its non-U.S. status (and certain other conditions are met). Certification of the registered owner's non-U.S. status would be made normally on an IRS Form W-8 under penalties of perjury, although in certain cases it may be possible to submit other documentary evidence. In addition, prospective purchasers of</w:t>
      </w:r>
    </w:p>
    <w:p>
      <w:pPr>
        <w:sectPr>
          <w:pgSz w:w="11900" w:h="16838" w:orient="portrait"/>
          <w:cols w:equalWidth="0" w:num="1">
            <w:col w:w="10219"/>
          </w:cols>
          <w:pgMar w:left="240" w:top="691" w:right="1440" w:bottom="0" w:gutter="0" w:footer="0" w:header="0"/>
        </w:sectPr>
      </w:pPr>
    </w:p>
    <w:bookmarkStart w:id="53" w:name="page54"/>
    <w:bookmarkEnd w:id="53"/>
    <w:p>
      <w:pPr>
        <w:ind w:right="1999"/>
        <w:spacing w:after="0" w:line="347" w:lineRule="auto"/>
        <w:rPr>
          <w:sz w:val="20"/>
          <w:szCs w:val="20"/>
          <w:color w:val="auto"/>
        </w:rPr>
      </w:pPr>
      <w:r>
        <w:rPr>
          <w:rFonts w:ascii="Courier New" w:cs="Courier New" w:eastAsia="Courier New" w:hAnsi="Courier New"/>
          <w:sz w:val="18"/>
          <w:szCs w:val="18"/>
          <w:color w:val="auto"/>
        </w:rPr>
        <w:t>Notes are strongly urged to consult their own tax advisors with respect to the New Withholding Regulations.</w:t>
      </w:r>
    </w:p>
    <w:p>
      <w:pPr>
        <w:spacing w:after="0" w:line="22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S-30</w:t>
      </w:r>
    </w:p>
    <w:p>
      <w:pPr>
        <w:sectPr>
          <w:pgSz w:w="11900" w:h="16838" w:orient="portrait"/>
          <w:cols w:equalWidth="0" w:num="1">
            <w:col w:w="10219"/>
          </w:cols>
          <w:pgMar w:left="240" w:top="110" w:right="1440" w:bottom="1440" w:gutter="0" w:footer="0" w:header="0"/>
        </w:sectPr>
      </w:pPr>
    </w:p>
    <w:bookmarkStart w:id="54" w:name="page55"/>
    <w:bookmarkEnd w:id="54"/>
    <w:p>
      <w:pPr>
        <w:ind w:right="2099" w:firstLine="211"/>
        <w:spacing w:after="0" w:line="274" w:lineRule="auto"/>
        <w:rPr>
          <w:sz w:val="20"/>
          <w:szCs w:val="20"/>
          <w:color w:val="auto"/>
        </w:rPr>
      </w:pPr>
      <w:r>
        <w:rPr>
          <w:rFonts w:ascii="Courier New" w:cs="Courier New" w:eastAsia="Courier New" w:hAnsi="Courier New"/>
          <w:sz w:val="18"/>
          <w:szCs w:val="18"/>
          <w:color w:val="auto"/>
        </w:rPr>
        <w:t>Any amounts withheld under the backup withholding rules from a payment to a Beneficial Owner would be allowed as a refund or a credit against such Beneficial Owner's United States Federal income tax provided the required information is furnished to the IRS.</w:t>
      </w:r>
    </w:p>
    <w:p>
      <w:pPr>
        <w:spacing w:after="0" w:line="8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SUPPLEMENTAL PLAN OF DISTRIBUTION</w:t>
      </w:r>
    </w:p>
    <w:p>
      <w:pPr>
        <w:spacing w:after="0" w:line="201" w:lineRule="exact"/>
        <w:rPr>
          <w:sz w:val="20"/>
          <w:szCs w:val="20"/>
          <w:color w:val="auto"/>
        </w:rPr>
      </w:pPr>
    </w:p>
    <w:p>
      <w:pPr>
        <w:ind w:right="1999" w:firstLine="211"/>
        <w:spacing w:after="0" w:line="245" w:lineRule="auto"/>
        <w:rPr>
          <w:sz w:val="20"/>
          <w:szCs w:val="20"/>
          <w:color w:val="auto"/>
        </w:rPr>
      </w:pPr>
      <w:r>
        <w:rPr>
          <w:rFonts w:ascii="Courier New" w:cs="Courier New" w:eastAsia="Courier New" w:hAnsi="Courier New"/>
          <w:sz w:val="18"/>
          <w:szCs w:val="18"/>
          <w:color w:val="auto"/>
        </w:rPr>
        <w:t>The Notes are being offered on a continuous basis for sale by the Trust to or through J.P. Morgan Securities Inc., BT Alex. Brown Incorporated, First Union Capital Markets, Goldman, Sachs &amp; Co., Merrill Lynch &amp; Co. and Merrill Lynch, Pierce, Fenner &amp; Smith Incorporated (the "Agents"). The Agents may purchase Notes, as principal, from the Trust from time to time for resale to investors and other purchasers at varying prices relating to prevailing market prices at the time of resale as determined by the applicable Agent(s), or, if so specified in the applicable Pricing Supplement, for resale at a fixed offering price. If agreed to by the Trust and an Agent, such Agent may also utilize its reasonable efforts on an agency basis to solicit offers to purchase the Notes at 100% of the principal amount thereof, unless otherwise specified in the applicable Pricing Supplement. The Trust will pay a commission to an Agent, ranging from .125% to .750% of the principal amount of each Note, depending upon its stated maturity, sold through such Agent. Commissions with respect to Notes with stated maturities in excess of 30 years that are sold through an Agent will be negotiated between the Trust and such Agent at the time of such sale.</w:t>
      </w:r>
    </w:p>
    <w:p>
      <w:pPr>
        <w:spacing w:after="0" w:line="108" w:lineRule="exact"/>
        <w:rPr>
          <w:sz w:val="20"/>
          <w:szCs w:val="20"/>
          <w:color w:val="auto"/>
        </w:rPr>
      </w:pPr>
    </w:p>
    <w:p>
      <w:pPr>
        <w:ind w:right="1999" w:firstLine="211"/>
        <w:spacing w:after="0" w:line="285" w:lineRule="auto"/>
        <w:rPr>
          <w:sz w:val="20"/>
          <w:szCs w:val="20"/>
          <w:color w:val="auto"/>
        </w:rPr>
      </w:pPr>
      <w:r>
        <w:rPr>
          <w:rFonts w:ascii="Courier New" w:cs="Courier New" w:eastAsia="Courier New" w:hAnsi="Courier New"/>
          <w:sz w:val="16"/>
          <w:szCs w:val="16"/>
          <w:color w:val="auto"/>
        </w:rPr>
        <w:t>Unless otherwise specified in the applicable Pricing Supplement, any Note sold to an Agent as principal will be purchased by such Agent at a price equal to 100% of the principal amount thereof less a percentage of the principal amount equal to the commission applicable to an agency sale of a Note of identical maturity. An Agent may sell Notes it has purchased from the Trust as principal to other dealers for resale to investors and other purchasers, and may allow all or any portion of the discount received in connection with such purchase from the Trust to such dealers. After the initial offering of Notes, the offering price (in the case of Notes to be resold on a fixed price basis), the concession and the discount may be changed.</w:t>
      </w:r>
    </w:p>
    <w:p>
      <w:pPr>
        <w:spacing w:after="0" w:line="291" w:lineRule="exact"/>
        <w:rPr>
          <w:sz w:val="20"/>
          <w:szCs w:val="20"/>
          <w:color w:val="auto"/>
        </w:rPr>
      </w:pPr>
    </w:p>
    <w:p>
      <w:pPr>
        <w:ind w:right="1999" w:firstLine="211"/>
        <w:spacing w:after="0" w:line="281" w:lineRule="auto"/>
        <w:rPr>
          <w:sz w:val="20"/>
          <w:szCs w:val="20"/>
          <w:color w:val="auto"/>
        </w:rPr>
      </w:pPr>
      <w:r>
        <w:rPr>
          <w:rFonts w:ascii="Courier New" w:cs="Courier New" w:eastAsia="Courier New" w:hAnsi="Courier New"/>
          <w:sz w:val="16"/>
          <w:szCs w:val="16"/>
          <w:color w:val="auto"/>
        </w:rPr>
        <w:t>In connection with the purchase of Notes by one or more Agents, as principal, for resale at a fixed price, the Agents may engage in transactions that stabilize, maintain or otherwise affect the price of the Notes. Specifically, the Agents may overallot in connection with such offering, creating a syndicate short position. In addition, the Agents may bid for and purchase the Notes in the open market to cover syndicate short positions or to stabilize the price of the Notes. Finally, the syndicate may reclaim selling concessions allowed for distributions of Notes in the offering, if the syndicate repurchases previously distributed Notes in the market in syndicate covering transactions, stabilization transactions or otherwise. Any of these activities may stabilize or maintain the market price of the Notes above independent market levels. The Agents are not required to engage in any of these activities, and may end any of them at any time.</w:t>
      </w:r>
    </w:p>
    <w:p>
      <w:pPr>
        <w:spacing w:after="0" w:line="290" w:lineRule="exact"/>
        <w:rPr>
          <w:sz w:val="20"/>
          <w:szCs w:val="20"/>
          <w:color w:val="auto"/>
        </w:rPr>
      </w:pPr>
    </w:p>
    <w:p>
      <w:pPr>
        <w:ind w:right="2099" w:firstLine="211"/>
        <w:spacing w:after="0" w:line="265" w:lineRule="auto"/>
        <w:rPr>
          <w:sz w:val="20"/>
          <w:szCs w:val="20"/>
          <w:color w:val="auto"/>
        </w:rPr>
      </w:pPr>
      <w:r>
        <w:rPr>
          <w:rFonts w:ascii="Courier New" w:cs="Courier New" w:eastAsia="Courier New" w:hAnsi="Courier New"/>
          <w:sz w:val="18"/>
          <w:szCs w:val="18"/>
          <w:color w:val="auto"/>
        </w:rPr>
        <w:t>The Trust has reserved the right to sell the Notes directly to investors, and may solicit and accept offers to purchase Notes directly from investors from time to time on its own behalf. No commission will be paid on Notes sold directly by the Trust. In certain instances, the Trust may offer Notes to or through additional agents named in the applicable Pricing Supplement.</w:t>
      </w:r>
    </w:p>
    <w:p>
      <w:pPr>
        <w:spacing w:after="0" w:line="90" w:lineRule="exact"/>
        <w:rPr>
          <w:sz w:val="20"/>
          <w:szCs w:val="20"/>
          <w:color w:val="auto"/>
        </w:rPr>
      </w:pPr>
    </w:p>
    <w:p>
      <w:pPr>
        <w:ind w:right="1999" w:firstLine="211"/>
        <w:spacing w:after="0" w:line="265" w:lineRule="auto"/>
        <w:rPr>
          <w:sz w:val="20"/>
          <w:szCs w:val="20"/>
          <w:color w:val="auto"/>
        </w:rPr>
      </w:pPr>
      <w:r>
        <w:rPr>
          <w:rFonts w:ascii="Courier New" w:cs="Courier New" w:eastAsia="Courier New" w:hAnsi="Courier New"/>
          <w:sz w:val="18"/>
          <w:szCs w:val="18"/>
          <w:color w:val="auto"/>
        </w:rPr>
        <w:t>The Trust reserves the right to withdraw, cancel or modify the offer made hereby without notice and may reject offers in whole or in part (whether placed directly with the Trust or though the Agents). Each Agent will have the right, in its discretion reasonably exercised, to reject in whole or in part any offer to purchase Notes received by it on an agency basis.</w:t>
      </w:r>
    </w:p>
    <w:p>
      <w:pPr>
        <w:spacing w:after="0" w:line="90" w:lineRule="exact"/>
        <w:rPr>
          <w:sz w:val="20"/>
          <w:szCs w:val="20"/>
          <w:color w:val="auto"/>
        </w:rPr>
      </w:pPr>
    </w:p>
    <w:p>
      <w:pPr>
        <w:ind w:right="2099" w:firstLine="211"/>
        <w:spacing w:after="0" w:line="274" w:lineRule="auto"/>
        <w:rPr>
          <w:sz w:val="20"/>
          <w:szCs w:val="20"/>
          <w:color w:val="auto"/>
        </w:rPr>
      </w:pPr>
      <w:r>
        <w:rPr>
          <w:rFonts w:ascii="Courier New" w:cs="Courier New" w:eastAsia="Courier New" w:hAnsi="Courier New"/>
          <w:sz w:val="18"/>
          <w:szCs w:val="18"/>
          <w:color w:val="auto"/>
        </w:rPr>
        <w:t>Unless otherwise specified in the applicable Pricing Supplement, payment of the purchase price of the Notes will be required to be made in immediately available funds in the Specified Currency in The City of New York on the date of settlement. See "Description of Notes--General."</w:t>
      </w:r>
    </w:p>
    <w:p>
      <w:pPr>
        <w:spacing w:after="0" w:line="82" w:lineRule="exact"/>
        <w:rPr>
          <w:sz w:val="20"/>
          <w:szCs w:val="20"/>
          <w:color w:val="auto"/>
        </w:rPr>
      </w:pPr>
    </w:p>
    <w:p>
      <w:pPr>
        <w:ind w:right="2099" w:firstLine="211"/>
        <w:spacing w:after="0" w:line="253" w:lineRule="auto"/>
        <w:rPr>
          <w:sz w:val="20"/>
          <w:szCs w:val="20"/>
          <w:color w:val="auto"/>
        </w:rPr>
      </w:pPr>
      <w:r>
        <w:rPr>
          <w:rFonts w:ascii="Courier New" w:cs="Courier New" w:eastAsia="Courier New" w:hAnsi="Courier New"/>
          <w:sz w:val="18"/>
          <w:szCs w:val="18"/>
          <w:color w:val="auto"/>
        </w:rPr>
        <w:t>Upon issuance, the Notes will not have an established trading market. The Notes will not be listed on any securities exchange. The Agents may from time to time purchase and sell Notes in the secondary market, but the Agents are not obligated to do so, and there can be no assurance that there will be a secondary market for the Notes or that there will be liquidity in the secondary market if one develops. From time to time, the Agents may make a market in the Notes, but the Agents are not obligated to do so and may discontinue any market-making activity at any time.</w:t>
      </w:r>
    </w:p>
    <w:p>
      <w:pPr>
        <w:spacing w:after="0" w:line="3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S-31</w:t>
      </w:r>
    </w:p>
    <w:p>
      <w:pPr>
        <w:sectPr>
          <w:pgSz w:w="11900" w:h="16838" w:orient="portrait"/>
          <w:cols w:equalWidth="0" w:num="1">
            <w:col w:w="10219"/>
          </w:cols>
          <w:pgMar w:left="240" w:top="691" w:right="1440" w:bottom="0" w:gutter="0" w:footer="0" w:header="0"/>
        </w:sectPr>
      </w:pPr>
    </w:p>
    <w:bookmarkStart w:id="55" w:name="page56"/>
    <w:bookmarkEnd w:id="55"/>
    <w:p>
      <w:pPr>
        <w:ind w:right="1999" w:firstLine="211"/>
        <w:spacing w:after="0" w:line="260" w:lineRule="auto"/>
        <w:rPr>
          <w:sz w:val="20"/>
          <w:szCs w:val="20"/>
          <w:color w:val="auto"/>
        </w:rPr>
      </w:pPr>
      <w:r>
        <w:rPr>
          <w:rFonts w:ascii="Courier New" w:cs="Courier New" w:eastAsia="Courier New" w:hAnsi="Courier New"/>
          <w:sz w:val="18"/>
          <w:szCs w:val="18"/>
          <w:color w:val="auto"/>
        </w:rPr>
        <w:t>The Agents may be deemed to be "underwriters" within the meaning of the Securities Act of 1933, as amended (the "Securities Act"). The Trust has agreed to indemnify the Agents against certain liabilities (including liabilities under the Securities Act), or to contribute to payments the Agents may be required to make in respect thereof. The Trust has agreed to reimburse the Agents for certain other expenses.</w:t>
      </w:r>
    </w:p>
    <w:p>
      <w:pPr>
        <w:spacing w:after="0" w:line="93" w:lineRule="exact"/>
        <w:rPr>
          <w:sz w:val="20"/>
          <w:szCs w:val="20"/>
          <w:color w:val="auto"/>
        </w:rPr>
      </w:pPr>
    </w:p>
    <w:p>
      <w:pPr>
        <w:ind w:right="2099" w:firstLine="211"/>
        <w:spacing w:after="0" w:line="344" w:lineRule="auto"/>
        <w:rPr>
          <w:sz w:val="20"/>
          <w:szCs w:val="20"/>
          <w:color w:val="auto"/>
        </w:rPr>
      </w:pPr>
      <w:r>
        <w:rPr>
          <w:rFonts w:ascii="Courier New" w:cs="Courier New" w:eastAsia="Courier New" w:hAnsi="Courier New"/>
          <w:sz w:val="16"/>
          <w:szCs w:val="16"/>
          <w:color w:val="auto"/>
        </w:rPr>
        <w:t>In the ordinary course of their respective businesses, the Agents and their affiliates have engaged in, and may in the future engage in, investment and commercial banking transactions with the Trust and certain of its affiliates.</w:t>
      </w:r>
    </w:p>
    <w:p>
      <w:pPr>
        <w:spacing w:after="0" w:line="31" w:lineRule="exact"/>
        <w:rPr>
          <w:sz w:val="20"/>
          <w:szCs w:val="20"/>
          <w:color w:val="auto"/>
        </w:rPr>
      </w:pPr>
    </w:p>
    <w:p>
      <w:pPr>
        <w:ind w:right="2519" w:firstLine="211"/>
        <w:spacing w:after="0" w:line="347" w:lineRule="auto"/>
        <w:rPr>
          <w:sz w:val="20"/>
          <w:szCs w:val="20"/>
          <w:color w:val="auto"/>
        </w:rPr>
      </w:pPr>
      <w:r>
        <w:rPr>
          <w:rFonts w:ascii="Courier New" w:cs="Courier New" w:eastAsia="Courier New" w:hAnsi="Courier New"/>
          <w:sz w:val="18"/>
          <w:szCs w:val="18"/>
          <w:color w:val="auto"/>
        </w:rPr>
        <w:t>Concurrently with the offering of Notes described herein, the Trust may issue other Securities described in the accompanying Prospectus.</w:t>
      </w:r>
    </w:p>
    <w:p>
      <w:pPr>
        <w:spacing w:after="0" w:line="18"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LEGAL OPINIONS</w:t>
      </w:r>
    </w:p>
    <w:p>
      <w:pPr>
        <w:spacing w:after="0" w:line="201" w:lineRule="exact"/>
        <w:rPr>
          <w:sz w:val="20"/>
          <w:szCs w:val="20"/>
          <w:color w:val="auto"/>
        </w:rPr>
      </w:pPr>
    </w:p>
    <w:p>
      <w:pPr>
        <w:ind w:right="1999" w:firstLine="211"/>
        <w:spacing w:after="0" w:line="278" w:lineRule="auto"/>
        <w:rPr>
          <w:sz w:val="20"/>
          <w:szCs w:val="20"/>
          <w:color w:val="auto"/>
        </w:rPr>
      </w:pPr>
      <w:r>
        <w:rPr>
          <w:rFonts w:ascii="Courier New" w:cs="Courier New" w:eastAsia="Courier New" w:hAnsi="Courier New"/>
          <w:sz w:val="16"/>
          <w:szCs w:val="16"/>
          <w:color w:val="auto"/>
        </w:rPr>
        <w:t>Certain legal matters will be passed upon for the Trust by Kirkpatrick &amp; Lockhart LLP, Washington, D.C. and Goodwin, Procter &amp; Hoar LLP, Boston, Massachusetts, and for the Agents by Brown &amp; Wood LLP, New York, New York. The opinions of Kirkpatrick &amp; Lockhart LLP, Goodwin, Procter &amp; Hoar LLP and Brown</w:t>
      </w:r>
    </w:p>
    <w:p>
      <w:pPr>
        <w:spacing w:after="0" w:line="3" w:lineRule="exact"/>
        <w:rPr>
          <w:sz w:val="20"/>
          <w:szCs w:val="20"/>
          <w:color w:val="auto"/>
        </w:rPr>
      </w:pPr>
    </w:p>
    <w:p>
      <w:pPr>
        <w:ind w:right="2099" w:firstLine="8"/>
        <w:spacing w:after="0" w:line="262" w:lineRule="auto"/>
        <w:tabs>
          <w:tab w:leader="none" w:pos="21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Wood LLP will be based upon, and subject to, certain assumptions as to future actions required to be taken in connection with the issuance and sale of the Notes and as to other events that may affect the validity of the Notes but that cannot be ascertained on the date of such opinions.</w:t>
      </w:r>
    </w:p>
    <w:p>
      <w:pPr>
        <w:spacing w:after="0" w:line="9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S-32</w:t>
      </w:r>
    </w:p>
    <w:sectPr>
      <w:pgSz w:w="11900" w:h="16838" w:orient="portrait"/>
      <w:cols w:equalWidth="0" w:num="1">
        <w:col w:w="10219"/>
      </w:cols>
      <w:pgMar w:left="240" w:top="6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lowerRoman"/>
      <w:start w:val="1"/>
    </w:lvl>
  </w:abstractNum>
  <w:abstractNum w:abstractNumId="3">
    <w:nsid w:val="5BD062C2"/>
    <w:multiLevelType w:val="hybridMultilevel"/>
    <w:lvl w:ilvl="0">
      <w:lvlJc w:val="left"/>
      <w:lvlText w:val="(%1)"/>
      <w:numFmt w:val="lowerRoman"/>
      <w:start w:val="1"/>
    </w:lvl>
  </w:abstractNum>
  <w:abstractNum w:abstractNumId="4">
    <w:nsid w:val="12200854"/>
    <w:multiLevelType w:val="hybridMultilevel"/>
    <w:lvl w:ilvl="0">
      <w:lvlJc w:val="left"/>
      <w:lvlText w:val="(%1)"/>
      <w:numFmt w:val="lowerRoman"/>
      <w:start w:val="2"/>
    </w:lvl>
  </w:abstractNum>
  <w:abstractNum w:abstractNumId="5">
    <w:nsid w:val="4DB127F8"/>
    <w:multiLevelType w:val="hybridMultilevel"/>
    <w:lvl w:ilvl="0">
      <w:lvlJc w:val="left"/>
      <w:lvlText w:val="(%1)"/>
      <w:numFmt w:val="lowerRoman"/>
      <w:start w:val="3"/>
    </w:lvl>
  </w:abstractNum>
  <w:abstractNum w:abstractNumId="6">
    <w:nsid w:val="216231B"/>
    <w:multiLevelType w:val="hybridMultilevel"/>
    <w:lvl w:ilvl="0">
      <w:lvlJc w:val="left"/>
      <w:lvlText w:val="(%1)"/>
      <w:numFmt w:val="lowerRoman"/>
      <w:start w:val="1"/>
    </w:lvl>
  </w:abstractNum>
  <w:abstractNum w:abstractNumId="7">
    <w:nsid w:val="1F16E9E8"/>
    <w:multiLevelType w:val="hybridMultilevel"/>
    <w:lvl w:ilvl="0">
      <w:lvlJc w:val="left"/>
      <w:lvlText w:val="(%1)"/>
      <w:numFmt w:val="lowerRoman"/>
      <w:start w:val="2"/>
    </w:lvl>
  </w:abstractNum>
  <w:abstractNum w:abstractNumId="8">
    <w:nsid w:val="1190CDE7"/>
    <w:multiLevelType w:val="hybridMultilevel"/>
    <w:lvl w:ilvl="0">
      <w:lvlJc w:val="left"/>
      <w:lvlText w:val="(%1)"/>
      <w:numFmt w:val="lowerRoman"/>
      <w:start w:val="1"/>
    </w:lvl>
  </w:abstractNum>
  <w:abstractNum w:abstractNumId="9">
    <w:nsid w:val="66EF438D"/>
    <w:multiLevelType w:val="hybridMultilevel"/>
    <w:lvl w:ilvl="0">
      <w:lvlJc w:val="left"/>
      <w:lvlText w:val="(%1)"/>
      <w:numFmt w:val="lowerRoman"/>
      <w:start w:val="3"/>
    </w:lvl>
  </w:abstractNum>
  <w:abstractNum w:abstractNumId="10">
    <w:nsid w:val="140E0F76"/>
    <w:multiLevelType w:val="hybridMultilevel"/>
    <w:lvl w:ilvl="0">
      <w:lvlJc w:val="left"/>
      <w:lvlText w:val="(%1)"/>
      <w:numFmt w:val="lowerRoman"/>
      <w:start w:val="2"/>
    </w:lvl>
  </w:abstractNum>
  <w:abstractNum w:abstractNumId="11">
    <w:nsid w:val="3352255A"/>
    <w:multiLevelType w:val="hybridMultilevel"/>
    <w:lvl w:ilvl="0">
      <w:lvlJc w:val="left"/>
      <w:lvlText w:val="(%1)"/>
      <w:numFmt w:val="lowerRoman"/>
      <w:start w:val="3"/>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2019-12-13T00:53:34Z</dcterms:created>
  <dcterms:modified xsi:type="dcterms:W3CDTF">2019-12-13T00:53:34Z</dcterms:modified>
</cp:coreProperties>
</file>