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7, 2017, Federal Realty Investment Trust (the “Registrant”) entered into an underwriting agreement with Deutsche Bank Securities Inc., Goldman Sachs &amp; Co. LLC, Merrill Lynch, Pierce, Fenner &amp; Smith Incorporated and Wells Fargo Securities, LLC, as representatives of the several underwriters named in Schedule I to the related pricing agreement, whereby the Registrant agreed to issue and sell $175,000,000 aggregate principal amount of 3.25% Notes due 2027 (the “Notes”) in an underwritten public offering. The Notes are of the same series as the 3.25% Notes due 2027 that the Registrant first issued on June 23, 3017. The Notes will be governed by the Indenture, dated as of September 1, 1998, between the Registrant and U.S. Bank National Association (successor trustee to Wachovia Bank, National Association (successor trustee to First Union National Bank)). The offering is expected to close on December 21, 2017, subject to customary closing conditions.</w:t>
      </w:r>
    </w:p>
    <w:p>
      <w:pPr>
        <w:spacing w:after="0" w:line="1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Notes will be senior unsecured obligations of the Registrant and will rank equally with all of the Registrant’s other senior unsecured indebtedness. The Notes will bear interest at 3.25% per annum, and interest will be payable on January 15 and July 15 of each year, beginning on January 15, 2018. The notes will mature on July 15, 2027 (unless redeemed prior to such date in accordance with their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40" w:type="dxa"/>
            <w:vAlign w:val="bottom"/>
            <w:vMerge w:val="restart"/>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6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4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100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Underwriting Agreement, dated December 7, 2017, by and among the Registrant and Deutsche Bank Securities Inc., Goldman Sachs &amp; Co.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LLC, Merrill Lynch, Pierce, Fenner &amp; Smith Incorporated and Wells Fargo Securities, LLC, as representatives of the underwriters named in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Schedule I to the related pricing agreement</w:t>
              </w:r>
            </w:hyperlink>
          </w:p>
        </w:tc>
        <w:tc>
          <w:tcPr>
            <w:tcW w:w="70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4"/>
                <w:szCs w:val="24"/>
                <w:color w:val="auto"/>
              </w:rPr>
            </w:pPr>
          </w:p>
        </w:tc>
        <w:tc>
          <w:tcPr>
            <w:tcW w:w="100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Pricing Agreement, dated December 7, 2017, by and among the Registrant and Deutsche Bank Securities Inc., Goldman Sachs &amp; Co. LLC,</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Merrill Lynch, Pierce, Fenner &amp; Smith Incorporated and Wells Fargo Securities, LLC, as representatives of the underwriters named therein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7"/>
              <w:spacing w:after="0"/>
              <w:rPr>
                <w:sz w:val="20"/>
                <w:szCs w:val="20"/>
                <w:color w:val="auto"/>
              </w:rPr>
            </w:pPr>
            <w:r>
              <w:rPr>
                <w:rFonts w:ascii="Arial" w:cs="Arial" w:eastAsia="Arial" w:hAnsi="Arial"/>
                <w:sz w:val="18"/>
                <w:szCs w:val="18"/>
                <w:color w:val="auto"/>
                <w:w w:val="85"/>
              </w:rPr>
              <w:t>12.1</w:t>
            </w:r>
          </w:p>
        </w:tc>
        <w:tc>
          <w:tcPr>
            <w:tcW w:w="560" w:type="dxa"/>
            <w:vAlign w:val="bottom"/>
          </w:tcPr>
          <w:p>
            <w:pPr>
              <w:spacing w:after="0"/>
              <w:rPr>
                <w:sz w:val="24"/>
                <w:szCs w:val="24"/>
                <w:color w:val="auto"/>
              </w:rPr>
            </w:pPr>
          </w:p>
        </w:tc>
        <w:tc>
          <w:tcPr>
            <w:tcW w:w="1012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Statement Regarding Computation of Ratio of Earnings to Fixed Charges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December 13, 2017</w:t>
      </w:r>
      <w:r>
        <w:rPr>
          <w:sz w:val="20"/>
          <w:szCs w:val="20"/>
          <w:color w:val="auto"/>
        </w:rPr>
        <w:tab/>
      </w:r>
      <w:r>
        <w:rPr>
          <w:rFonts w:ascii="Arial" w:cs="Arial" w:eastAsia="Arial" w:hAnsi="Arial"/>
          <w:sz w:val="17"/>
          <w:szCs w:val="17"/>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220"/>
          </w:cols>
          <w:pgMar w:left="240"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OLDMAN</w:t>
      </w:r>
      <w:r>
        <w:rPr>
          <w:rFonts w:ascii="Arial" w:cs="Arial" w:eastAsia="Arial" w:hAnsi="Arial"/>
          <w:sz w:val="18"/>
          <w:szCs w:val="18"/>
          <w:color w:val="auto"/>
        </w:rPr>
        <w:t xml:space="preserve"> S</w:t>
      </w:r>
      <w:r>
        <w:rPr>
          <w:rFonts w:ascii="Arial" w:cs="Arial" w:eastAsia="Arial" w:hAnsi="Arial"/>
          <w:sz w:val="15"/>
          <w:szCs w:val="15"/>
          <w:color w:val="auto"/>
        </w:rPr>
        <w:t>ACHS</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L</w:t>
      </w:r>
      <w:r>
        <w:rPr>
          <w:rFonts w:ascii="Arial" w:cs="Arial" w:eastAsia="Arial" w:hAnsi="Arial"/>
          <w:sz w:val="15"/>
          <w:szCs w:val="15"/>
          <w:color w:val="auto"/>
        </w:rPr>
        <w:t>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w:t>
      </w:r>
      <w:r>
        <w:rPr>
          <w:rFonts w:ascii="Arial" w:cs="Arial" w:eastAsia="Arial" w:hAnsi="Arial"/>
          <w:sz w:val="15"/>
          <w:szCs w:val="15"/>
          <w:color w:val="auto"/>
        </w:rPr>
        <w:t>LC</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10282</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the Securities specified in such Schedule II, the “Designated Securities”).</w:t>
      </w:r>
    </w:p>
    <w:p>
      <w:pPr>
        <w:sectPr>
          <w:pgSz w:w="11900" w:h="16838" w:orient="portrait"/>
          <w:cols w:equalWidth="0" w:num="1">
            <w:col w:w="11420"/>
          </w:cols>
          <w:pgMar w:left="240" w:top="121" w:right="239" w:bottom="1440" w:gutter="0" w:footer="0" w:header="0"/>
        </w:sectPr>
      </w:pPr>
    </w:p>
    <w:bookmarkStart w:id="4" w:name="page5"/>
    <w:bookmarkEnd w:id="4"/>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73" w:lineRule="exact"/>
        <w:rPr>
          <w:sz w:val="20"/>
          <w:szCs w:val="20"/>
          <w:color w:val="auto"/>
        </w:rPr>
      </w:pPr>
    </w:p>
    <w:p>
      <w:pPr>
        <w:ind w:firstLine="464"/>
        <w:spacing w:after="0" w:line="286" w:lineRule="auto"/>
        <w:tabs>
          <w:tab w:leader="none" w:pos="636" w:val="left"/>
        </w:tabs>
        <w:numPr>
          <w:ilvl w:val="0"/>
          <w:numId w:val="2"/>
        </w:numPr>
        <w:rPr>
          <w:rFonts w:ascii="Arial" w:cs="Arial" w:eastAsia="Arial" w:hAnsi="Arial"/>
          <w:sz w:val="16"/>
          <w:szCs w:val="16"/>
          <w:color w:val="auto"/>
        </w:rPr>
      </w:pPr>
      <w:r>
        <w:rPr>
          <w:rFonts w:ascii="Arial" w:cs="Arial" w:eastAsia="Arial" w:hAnsi="Arial"/>
          <w:sz w:val="16"/>
          <w:szCs w:val="16"/>
          <w:color w:val="auto"/>
        </w:rPr>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63" w:lineRule="exact"/>
        <w:rPr>
          <w:rFonts w:ascii="Arial" w:cs="Arial" w:eastAsia="Arial" w:hAnsi="Arial"/>
          <w:sz w:val="16"/>
          <w:szCs w:val="16"/>
          <w:color w:val="auto"/>
        </w:rPr>
      </w:pPr>
    </w:p>
    <w:p>
      <w:pPr>
        <w:ind w:left="640" w:hanging="176"/>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represents and warrants to, and agrees with, each of the Underwriters as of the date hereof, the Applicable Time referred to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2(c) hereof and the Time of Delivery referred to in Section 4 hereof that:</w:t>
      </w:r>
    </w:p>
    <w:p>
      <w:pPr>
        <w:spacing w:after="0" w:line="103" w:lineRule="exact"/>
        <w:rPr>
          <w:sz w:val="20"/>
          <w:szCs w:val="20"/>
          <w:color w:val="auto"/>
        </w:rPr>
      </w:pPr>
    </w:p>
    <w:p>
      <w:pPr>
        <w:ind w:left="460" w:firstLine="443"/>
        <w:spacing w:after="0" w:line="297"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333-203999),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61" w:lineRule="exact"/>
        <w:rPr>
          <w:sz w:val="20"/>
          <w:szCs w:val="20"/>
          <w:color w:val="auto"/>
        </w:rPr>
      </w:pPr>
    </w:p>
    <w:p>
      <w:pPr>
        <w:ind w:right="80" w:firstLine="438"/>
        <w:spacing w:after="0" w:line="271" w:lineRule="auto"/>
        <w:rPr>
          <w:sz w:val="20"/>
          <w:szCs w:val="20"/>
          <w:color w:val="auto"/>
        </w:rPr>
      </w:pPr>
      <w:r>
        <w:rPr>
          <w:rFonts w:ascii="Arial" w:cs="Arial" w:eastAsia="Arial" w:hAnsi="Arial"/>
          <w:sz w:val="17"/>
          <w:szCs w:val="17"/>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71" w:lineRule="exact"/>
        <w:rPr>
          <w:sz w:val="20"/>
          <w:szCs w:val="20"/>
          <w:color w:val="auto"/>
        </w:rPr>
      </w:pPr>
    </w:p>
    <w:p>
      <w:pPr>
        <w:ind w:right="100" w:firstLine="443"/>
        <w:spacing w:after="0" w:line="257" w:lineRule="auto"/>
        <w:tabs>
          <w:tab w:leader="none" w:pos="693" w:val="left"/>
        </w:tabs>
        <w:numPr>
          <w:ilvl w:val="0"/>
          <w:numId w:val="4"/>
        </w:numPr>
        <w:rPr>
          <w:rFonts w:ascii="Arial" w:cs="Arial" w:eastAsia="Arial" w:hAnsi="Arial"/>
          <w:sz w:val="18"/>
          <w:szCs w:val="18"/>
          <w:color w:val="auto"/>
        </w:rPr>
      </w:pPr>
      <w:r>
        <w:rPr>
          <w:rFonts w:ascii="Arial" w:cs="Arial" w:eastAsia="Arial" w:hAnsi="Arial"/>
          <w:sz w:val="18"/>
          <w:szCs w:val="18"/>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74" w:right="27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another offering participant made a bona fide offer (within the meaning of Rule 164(h)(2) under the Act) of the Designated Securities,</w:t>
      </w:r>
    </w:p>
    <w:p>
      <w:pPr>
        <w:spacing w:after="0" w:line="35" w:lineRule="exact"/>
        <w:rPr>
          <w:sz w:val="20"/>
          <w:szCs w:val="20"/>
          <w:color w:val="auto"/>
        </w:rPr>
      </w:pPr>
    </w:p>
    <w:p>
      <w:pPr>
        <w:ind w:right="20" w:firstLine="4"/>
        <w:spacing w:after="0" w:line="252" w:lineRule="auto"/>
        <w:tabs>
          <w:tab w:leader="none" w:pos="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86" w:lineRule="exact"/>
        <w:rPr>
          <w:rFonts w:ascii="Arial" w:cs="Arial" w:eastAsia="Arial" w:hAnsi="Arial"/>
          <w:sz w:val="18"/>
          <w:szCs w:val="18"/>
          <w:color w:val="auto"/>
        </w:rPr>
      </w:pPr>
    </w:p>
    <w:p>
      <w:pPr>
        <w:jc w:val="both"/>
        <w:ind w:right="100" w:firstLine="443"/>
        <w:spacing w:after="0" w:line="302" w:lineRule="auto"/>
        <w:tabs>
          <w:tab w:leader="none" w:pos="683"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Original Registration Statement became effective upon filing under Rule 462(e) under the Act (“Rule 462(e)”) on May 8, 2015,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46" w:lineRule="exact"/>
        <w:rPr>
          <w:sz w:val="20"/>
          <w:szCs w:val="20"/>
          <w:color w:val="auto"/>
        </w:rPr>
      </w:pPr>
    </w:p>
    <w:p>
      <w:pPr>
        <w:ind w:firstLine="438"/>
        <w:spacing w:after="0" w:line="257" w:lineRule="auto"/>
        <w:rPr>
          <w:sz w:val="20"/>
          <w:szCs w:val="20"/>
          <w:color w:val="auto"/>
        </w:rPr>
      </w:pPr>
      <w:r>
        <w:rPr>
          <w:rFonts w:ascii="Arial" w:cs="Arial" w:eastAsia="Arial" w:hAnsi="Arial"/>
          <w:sz w:val="18"/>
          <w:szCs w:val="18"/>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80" w:lineRule="exact"/>
        <w:rPr>
          <w:sz w:val="20"/>
          <w:szCs w:val="20"/>
          <w:color w:val="auto"/>
        </w:rPr>
      </w:pPr>
    </w:p>
    <w:p>
      <w:pPr>
        <w:ind w:right="100" w:firstLine="443"/>
        <w:spacing w:after="0" w:line="255" w:lineRule="auto"/>
        <w:tabs>
          <w:tab w:leader="none" w:pos="733"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complies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85" w:lineRule="exact"/>
        <w:rPr>
          <w:sz w:val="20"/>
          <w:szCs w:val="20"/>
          <w:color w:val="auto"/>
        </w:rPr>
      </w:pPr>
    </w:p>
    <w:p>
      <w:pPr>
        <w:ind w:right="160"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was issued and at the Time of Delivery, complied, complies and will comply, in all material respects with the requirements of the Act, and neither the Prospectus nor any amendments or supplements thereto, at the time the Prospectus or any such amendment or supplement was issued or at the Time of Delivery,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7" w:name="page8"/>
    <w:bookmarkEnd w:id="7"/>
    <w:p>
      <w:pPr>
        <w:ind w:right="300" w:firstLine="43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80" w:lineRule="exact"/>
        <w:rPr>
          <w:sz w:val="20"/>
          <w:szCs w:val="20"/>
          <w:color w:val="auto"/>
        </w:rPr>
      </w:pPr>
    </w:p>
    <w:p>
      <w:pPr>
        <w:ind w:firstLine="438"/>
        <w:spacing w:after="0" w:line="302"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46" w:lineRule="exact"/>
        <w:rPr>
          <w:sz w:val="20"/>
          <w:szCs w:val="20"/>
          <w:color w:val="auto"/>
        </w:rPr>
      </w:pPr>
    </w:p>
    <w:p>
      <w:pPr>
        <w:ind w:right="20" w:firstLine="438"/>
        <w:spacing w:after="0" w:line="302"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117" w:lineRule="exact"/>
        <w:rPr>
          <w:sz w:val="20"/>
          <w:szCs w:val="20"/>
          <w:color w:val="auto"/>
        </w:rPr>
      </w:pPr>
    </w:p>
    <w:p>
      <w:pPr>
        <w:ind w:right="200" w:firstLine="438"/>
        <w:spacing w:after="0" w:line="277" w:lineRule="auto"/>
        <w:rPr>
          <w:sz w:val="20"/>
          <w:szCs w:val="20"/>
          <w:color w:val="auto"/>
        </w:rPr>
      </w:pPr>
      <w:r>
        <w:rPr>
          <w:rFonts w:ascii="Arial" w:cs="Arial" w:eastAsia="Arial" w:hAnsi="Arial"/>
          <w:sz w:val="18"/>
          <w:szCs w:val="18"/>
          <w:color w:val="auto"/>
        </w:rPr>
        <w:t>“Applicable Time” shall have the meaning set forth in Schedule II of the Pricing Agreement with respect to the Designated Securities specified therein.</w:t>
      </w:r>
    </w:p>
    <w:p>
      <w:pPr>
        <w:spacing w:after="0" w:line="62" w:lineRule="exact"/>
        <w:rPr>
          <w:sz w:val="20"/>
          <w:szCs w:val="20"/>
          <w:color w:val="auto"/>
        </w:rPr>
      </w:pPr>
    </w:p>
    <w:p>
      <w:pPr>
        <w:ind w:right="140" w:firstLine="438"/>
        <w:spacing w:after="0" w:line="273" w:lineRule="auto"/>
        <w:rPr>
          <w:sz w:val="20"/>
          <w:szCs w:val="20"/>
          <w:color w:val="auto"/>
        </w:rPr>
      </w:pPr>
      <w:r>
        <w:rPr>
          <w:rFonts w:ascii="Arial" w:cs="Arial" w:eastAsia="Arial" w:hAnsi="Arial"/>
          <w:sz w:val="17"/>
          <w:szCs w:val="17"/>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8" w:name="page9"/>
    <w:bookmarkEnd w:id="8"/>
    <w:p>
      <w:pPr>
        <w:ind w:right="160" w:firstLine="43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57" w:lineRule="exact"/>
        <w:rPr>
          <w:sz w:val="20"/>
          <w:szCs w:val="20"/>
          <w:color w:val="auto"/>
        </w:rPr>
      </w:pPr>
    </w:p>
    <w:p>
      <w:pPr>
        <w:ind w:right="360" w:firstLine="443"/>
        <w:spacing w:after="0" w:line="312" w:lineRule="auto"/>
        <w:tabs>
          <w:tab w:leader="none" w:pos="69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right="160" w:firstLine="443"/>
        <w:spacing w:after="0" w:line="255"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81" w:lineRule="exact"/>
        <w:rPr>
          <w:rFonts w:ascii="Arial" w:cs="Arial" w:eastAsia="Arial" w:hAnsi="Arial"/>
          <w:sz w:val="18"/>
          <w:szCs w:val="18"/>
          <w:color w:val="auto"/>
        </w:rPr>
      </w:pPr>
    </w:p>
    <w:p>
      <w:pPr>
        <w:ind w:firstLine="443"/>
        <w:spacing w:after="0" w:line="269" w:lineRule="auto"/>
        <w:tabs>
          <w:tab w:leader="none" w:pos="66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 (each, a “Subsidiary” and collectively, the “Subsidiaries”)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9" w:name="page10"/>
    <w:bookmarkEnd w:id="9"/>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interests in any Subsidiary are outstanding other than contractual rights existing on the date of the applicable Pricing Agreement by the current and former holders of partnership or other interests in certain of the “DownREIT” and other subsidiaries, which may result in the issuance of common shares of beneficial interest of the Company (“Common Shares”);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57" w:lineRule="exact"/>
        <w:rPr>
          <w:sz w:val="20"/>
          <w:szCs w:val="20"/>
          <w:color w:val="auto"/>
        </w:rPr>
      </w:pPr>
    </w:p>
    <w:p>
      <w:pPr>
        <w:ind w:firstLine="443"/>
        <w:spacing w:after="0" w:line="285" w:lineRule="auto"/>
        <w:tabs>
          <w:tab w:leader="none" w:pos="69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since the date of the latest audited financial statements included or incorporated by reference in the Registration Statement, the General Disclosure Package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(i) 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(a) the Equity Distribution Agreement dated November 4, 2016 between the Company and Wells Fargo Securities, LLC, (b) the Equity Distribution Agreement dated November 4, 2016 between the Company and Merrill Lynch, Pierce, Fenner &amp; Smith Incorporated and (c) the Equity Distribution Agreement dated November 4, 2016 between the Company and Citigroup Global Markets Inc.,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74" w:right="299" w:bottom="1440" w:gutter="0" w:footer="0" w:header="0"/>
        </w:sectPr>
      </w:pPr>
    </w:p>
    <w:bookmarkStart w:id="10" w:name="page11"/>
    <w:bookmarkEnd w:id="10"/>
    <w:p>
      <w:pPr>
        <w:ind w:right="60" w:firstLine="443"/>
        <w:spacing w:after="0" w:line="257"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80" w:lineRule="exact"/>
        <w:rPr>
          <w:rFonts w:ascii="Arial" w:cs="Arial" w:eastAsia="Arial" w:hAnsi="Arial"/>
          <w:sz w:val="18"/>
          <w:szCs w:val="18"/>
          <w:color w:val="auto"/>
        </w:rPr>
      </w:pPr>
    </w:p>
    <w:p>
      <w:pPr>
        <w:jc w:val="both"/>
        <w:ind w:right="520" w:firstLine="443"/>
        <w:spacing w:after="0" w:line="286" w:lineRule="auto"/>
        <w:tabs>
          <w:tab w:leader="none" w:pos="65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has full right, power and authority under its organizational documents to enter into this Underwriting Agreement and the Pricing Agreement with respect to such Designated Securities, and this Underwriting Agreement and the Pricing Agreement with respect to such Designated Securities have been duly and validly authorized, executed and delivered by the Company.</w:t>
      </w:r>
    </w:p>
    <w:p>
      <w:pPr>
        <w:spacing w:after="0" w:line="57" w:lineRule="exact"/>
        <w:rPr>
          <w:rFonts w:ascii="Arial" w:cs="Arial" w:eastAsia="Arial" w:hAnsi="Arial"/>
          <w:sz w:val="17"/>
          <w:szCs w:val="17"/>
          <w:color w:val="auto"/>
        </w:rPr>
      </w:pPr>
    </w:p>
    <w:p>
      <w:pPr>
        <w:ind w:right="160" w:firstLine="443"/>
        <w:spacing w:after="0" w:line="289" w:lineRule="auto"/>
        <w:tabs>
          <w:tab w:leader="none" w:pos="65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Designated Securities have been duly and validly authorized by the Company,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58" w:lineRule="exact"/>
        <w:rPr>
          <w:rFonts w:ascii="Arial" w:cs="Arial" w:eastAsia="Arial" w:hAnsi="Arial"/>
          <w:sz w:val="16"/>
          <w:szCs w:val="16"/>
          <w:color w:val="auto"/>
        </w:rPr>
      </w:pPr>
    </w:p>
    <w:p>
      <w:pPr>
        <w:ind w:firstLine="443"/>
        <w:spacing w:after="0" w:line="254"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1" w:name="page12"/>
    <w:bookmarkEnd w:id="11"/>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73" w:lineRule="exact"/>
        <w:rPr>
          <w:sz w:val="20"/>
          <w:szCs w:val="20"/>
          <w:color w:val="auto"/>
        </w:rPr>
      </w:pPr>
    </w:p>
    <w:p>
      <w:pPr>
        <w:ind w:right="20" w:firstLine="443"/>
        <w:spacing w:after="0" w:line="268" w:lineRule="auto"/>
        <w:tabs>
          <w:tab w:leader="none" w:pos="6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79" w:lineRule="exact"/>
        <w:rPr>
          <w:rFonts w:ascii="Arial" w:cs="Arial" w:eastAsia="Arial" w:hAnsi="Arial"/>
          <w:sz w:val="17"/>
          <w:szCs w:val="17"/>
          <w:color w:val="auto"/>
        </w:rPr>
      </w:pPr>
    </w:p>
    <w:p>
      <w:pPr>
        <w:ind w:firstLine="443"/>
        <w:spacing w:after="0" w:line="255" w:lineRule="auto"/>
        <w:tabs>
          <w:tab w:leader="none" w:pos="7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right="40" w:firstLine="443"/>
        <w:spacing w:after="0" w:line="279" w:lineRule="auto"/>
        <w:tabs>
          <w:tab w:leader="none" w:pos="69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(“GAAP”),</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2" w:name="page13"/>
    <w:bookmarkEnd w:id="12"/>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73" w:lineRule="exact"/>
        <w:rPr>
          <w:sz w:val="20"/>
          <w:szCs w:val="20"/>
          <w:color w:val="auto"/>
        </w:rPr>
      </w:pPr>
    </w:p>
    <w:p>
      <w:pPr>
        <w:ind w:right="20" w:firstLine="443"/>
        <w:spacing w:after="0" w:line="259"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firstLine="443"/>
        <w:spacing w:after="0" w:line="257"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80" w:lineRule="exact"/>
        <w:rPr>
          <w:rFonts w:ascii="Arial" w:cs="Arial" w:eastAsia="Arial" w:hAnsi="Arial"/>
          <w:sz w:val="18"/>
          <w:szCs w:val="18"/>
          <w:color w:val="auto"/>
        </w:rPr>
      </w:pPr>
    </w:p>
    <w:p>
      <w:pPr>
        <w:ind w:right="300" w:firstLine="443"/>
        <w:spacing w:after="0" w:line="264"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73" w:lineRule="exact"/>
        <w:rPr>
          <w:rFonts w:ascii="Arial" w:cs="Arial" w:eastAsia="Arial" w:hAnsi="Arial"/>
          <w:sz w:val="18"/>
          <w:szCs w:val="18"/>
          <w:color w:val="auto"/>
        </w:rPr>
      </w:pPr>
    </w:p>
    <w:p>
      <w:pPr>
        <w:ind w:right="80" w:firstLine="443"/>
        <w:spacing w:after="0" w:line="257" w:lineRule="auto"/>
        <w:tabs>
          <w:tab w:leader="none" w:pos="6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2016 and the consolidated statements of comprehensive income, consolidated statements of shareholders’ equity and consolidated statements of cash flows for the year ended December 31, 2016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80" w:lineRule="exact"/>
        <w:rPr>
          <w:rFonts w:ascii="Arial" w:cs="Arial" w:eastAsia="Arial" w:hAnsi="Arial"/>
          <w:sz w:val="18"/>
          <w:szCs w:val="18"/>
          <w:color w:val="auto"/>
        </w:rPr>
      </w:pPr>
    </w:p>
    <w:p>
      <w:pPr>
        <w:ind w:firstLine="443"/>
        <w:spacing w:after="0" w:line="257" w:lineRule="auto"/>
        <w:tabs>
          <w:tab w:leader="none" w:pos="6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w:t>
      </w:r>
    </w:p>
    <w:p>
      <w:pPr>
        <w:spacing w:after="0" w:line="12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00" w:top="274" w:right="299" w:bottom="1440" w:gutter="0" w:footer="0" w:header="0"/>
        </w:sectPr>
      </w:pPr>
    </w:p>
    <w:bookmarkStart w:id="13" w:name="page14"/>
    <w:bookmarkEnd w:id="1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70" w:lineRule="exact"/>
        <w:rPr>
          <w:sz w:val="20"/>
          <w:szCs w:val="20"/>
          <w:color w:val="auto"/>
        </w:rPr>
      </w:pPr>
    </w:p>
    <w:p>
      <w:pPr>
        <w:ind w:right="280" w:firstLine="443"/>
        <w:spacing w:after="0" w:line="308" w:lineRule="auto"/>
        <w:tabs>
          <w:tab w:leader="none" w:pos="6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38" w:lineRule="exact"/>
        <w:rPr>
          <w:rFonts w:ascii="Arial" w:cs="Arial" w:eastAsia="Arial" w:hAnsi="Arial"/>
          <w:sz w:val="17"/>
          <w:szCs w:val="17"/>
          <w:color w:val="auto"/>
        </w:rPr>
      </w:pPr>
    </w:p>
    <w:p>
      <w:pPr>
        <w:ind w:right="40" w:firstLine="443"/>
        <w:spacing w:after="0" w:line="272" w:lineRule="auto"/>
        <w:tabs>
          <w:tab w:leader="none" w:pos="693"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69" w:lineRule="exact"/>
        <w:rPr>
          <w:rFonts w:ascii="Arial" w:cs="Arial" w:eastAsia="Arial" w:hAnsi="Arial"/>
          <w:sz w:val="17"/>
          <w:szCs w:val="17"/>
          <w:color w:val="auto"/>
        </w:rPr>
      </w:pPr>
    </w:p>
    <w:p>
      <w:pPr>
        <w:ind w:right="80" w:firstLine="443"/>
        <w:spacing w:after="0" w:line="257"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12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700" w:top="274" w:right="299" w:bottom="1440" w:gutter="0" w:footer="0" w:header="0"/>
        </w:sectPr>
      </w:pPr>
    </w:p>
    <w:bookmarkStart w:id="14" w:name="page15"/>
    <w:bookmarkEnd w:id="14"/>
    <w:p>
      <w:pPr>
        <w:ind w:firstLine="443"/>
        <w:spacing w:after="0" w:line="293" w:lineRule="auto"/>
        <w:tabs>
          <w:tab w:leader="none" w:pos="733"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56" w:lineRule="exact"/>
        <w:rPr>
          <w:rFonts w:ascii="Arial" w:cs="Arial" w:eastAsia="Arial" w:hAnsi="Arial"/>
          <w:sz w:val="16"/>
          <w:szCs w:val="16"/>
          <w:color w:val="auto"/>
        </w:rPr>
      </w:pPr>
    </w:p>
    <w:p>
      <w:pPr>
        <w:ind w:right="60" w:firstLine="443"/>
        <w:spacing w:after="0" w:line="288" w:lineRule="auto"/>
        <w:tabs>
          <w:tab w:leader="none" w:pos="6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61" w:lineRule="exact"/>
        <w:rPr>
          <w:rFonts w:ascii="Arial" w:cs="Arial" w:eastAsia="Arial" w:hAnsi="Arial"/>
          <w:sz w:val="16"/>
          <w:szCs w:val="16"/>
          <w:color w:val="auto"/>
        </w:rPr>
      </w:pPr>
    </w:p>
    <w:p>
      <w:pPr>
        <w:ind w:left="700" w:hanging="257"/>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w:t>
      </w:r>
    </w:p>
    <w:p>
      <w:pPr>
        <w:spacing w:after="0" w:line="34" w:lineRule="exact"/>
        <w:rPr>
          <w:rFonts w:ascii="Arial" w:cs="Arial" w:eastAsia="Arial" w:hAnsi="Arial"/>
          <w:sz w:val="17"/>
          <w:szCs w:val="17"/>
          <w:color w:val="auto"/>
        </w:rPr>
      </w:pPr>
    </w:p>
    <w:p>
      <w:pPr>
        <w:ind w:right="20"/>
        <w:spacing w:after="0" w:line="253" w:lineRule="auto"/>
        <w:rPr>
          <w:rFonts w:ascii="Arial" w:cs="Arial" w:eastAsia="Arial" w:hAnsi="Arial"/>
          <w:sz w:val="17"/>
          <w:szCs w:val="17"/>
          <w:color w:val="auto"/>
        </w:rPr>
      </w:pPr>
      <w:r>
        <w:rPr>
          <w:rFonts w:ascii="Arial" w:cs="Arial" w:eastAsia="Arial" w:hAnsi="Arial"/>
          <w:sz w:val="18"/>
          <w:szCs w:val="18"/>
          <w:color w:val="auto"/>
        </w:rPr>
        <w:t>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83" w:lineRule="exact"/>
        <w:rPr>
          <w:rFonts w:ascii="Arial" w:cs="Arial" w:eastAsia="Arial" w:hAnsi="Arial"/>
          <w:sz w:val="17"/>
          <w:szCs w:val="17"/>
          <w:color w:val="auto"/>
        </w:rPr>
      </w:pPr>
    </w:p>
    <w:p>
      <w:pPr>
        <w:ind w:right="60" w:firstLine="443"/>
        <w:spacing w:after="0" w:line="264" w:lineRule="auto"/>
        <w:tabs>
          <w:tab w:leader="none" w:pos="6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5" w:name="page16"/>
    <w:bookmarkEnd w:id="15"/>
    <w:p>
      <w:pPr>
        <w:ind w:left="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80" w:lineRule="exact"/>
        <w:rPr>
          <w:sz w:val="20"/>
          <w:szCs w:val="20"/>
          <w:color w:val="auto"/>
        </w:rPr>
      </w:pPr>
    </w:p>
    <w:p>
      <w:pPr>
        <w:jc w:val="both"/>
        <w:ind w:left="440" w:right="160" w:firstLine="443"/>
        <w:spacing w:after="0" w:line="342" w:lineRule="auto"/>
        <w:tabs>
          <w:tab w:leader="none" w:pos="1203"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15" w:lineRule="exact"/>
        <w:rPr>
          <w:rFonts w:ascii="Arial" w:cs="Arial" w:eastAsia="Arial" w:hAnsi="Arial"/>
          <w:sz w:val="16"/>
          <w:szCs w:val="16"/>
          <w:color w:val="auto"/>
        </w:rPr>
      </w:pPr>
    </w:p>
    <w:p>
      <w:pPr>
        <w:jc w:val="both"/>
        <w:ind w:left="-20" w:right="40" w:firstLine="464"/>
        <w:spacing w:after="0" w:line="264" w:lineRule="auto"/>
        <w:tabs>
          <w:tab w:leader="none" w:pos="6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73" w:lineRule="exact"/>
        <w:rPr>
          <w:rFonts w:ascii="Arial" w:cs="Arial" w:eastAsia="Arial" w:hAnsi="Arial"/>
          <w:sz w:val="18"/>
          <w:szCs w:val="18"/>
          <w:color w:val="auto"/>
        </w:rPr>
      </w:pPr>
    </w:p>
    <w:p>
      <w:pPr>
        <w:ind w:left="-20" w:firstLine="464"/>
        <w:spacing w:after="0" w:line="291" w:lineRule="auto"/>
        <w:tabs>
          <w:tab w:leader="none" w:pos="6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59" w:lineRule="exact"/>
        <w:rPr>
          <w:rFonts w:ascii="Arial" w:cs="Arial" w:eastAsia="Arial" w:hAnsi="Arial"/>
          <w:sz w:val="16"/>
          <w:szCs w:val="16"/>
          <w:color w:val="auto"/>
        </w:rPr>
      </w:pPr>
    </w:p>
    <w:p>
      <w:pPr>
        <w:ind w:left="620" w:hanging="176"/>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117" w:lineRule="exact"/>
        <w:rPr>
          <w:rFonts w:ascii="Arial" w:cs="Arial" w:eastAsia="Arial" w:hAnsi="Arial"/>
          <w:sz w:val="18"/>
          <w:szCs w:val="18"/>
          <w:color w:val="auto"/>
        </w:rPr>
      </w:pPr>
    </w:p>
    <w:p>
      <w:pPr>
        <w:ind w:left="440" w:right="20" w:firstLine="443"/>
        <w:spacing w:after="0" w:line="255"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74" w:right="259" w:bottom="1440" w:gutter="0" w:footer="0" w:header="0"/>
        </w:sectPr>
      </w:pPr>
    </w:p>
    <w:bookmarkStart w:id="16" w:name="page17"/>
    <w:bookmarkEnd w:id="1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65" w:lineRule="exact"/>
        <w:rPr>
          <w:sz w:val="20"/>
          <w:szCs w:val="20"/>
          <w:color w:val="auto"/>
        </w:rPr>
      </w:pPr>
    </w:p>
    <w:p>
      <w:pPr>
        <w:ind w:firstLine="443"/>
        <w:spacing w:after="0" w:line="269" w:lineRule="auto"/>
        <w:tabs>
          <w:tab w:leader="none" w:pos="693" w:val="left"/>
        </w:tabs>
        <w:numPr>
          <w:ilvl w:val="0"/>
          <w:numId w:val="16"/>
        </w:numPr>
        <w:rPr>
          <w:rFonts w:ascii="Arial" w:cs="Arial" w:eastAsia="Arial" w:hAnsi="Arial"/>
          <w:sz w:val="17"/>
          <w:szCs w:val="17"/>
          <w:color w:val="auto"/>
        </w:rPr>
      </w:pPr>
      <w:r>
        <w:rPr>
          <w:rFonts w:ascii="Arial" w:cs="Arial" w:eastAsia="Arial" w:hAnsi="Arial"/>
          <w:sz w:val="17"/>
          <w:szCs w:val="17"/>
          <w:color w:val="auto"/>
        </w:rPr>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700" w:top="274" w:right="299" w:bottom="1440" w:gutter="0" w:footer="0" w:header="0"/>
        </w:sectPr>
      </w:pPr>
    </w:p>
    <w:bookmarkStart w:id="17" w:name="page18"/>
    <w:bookmarkEnd w:id="17"/>
    <w:p>
      <w:pPr>
        <w:ind w:right="20" w:firstLine="443"/>
        <w:spacing w:after="0" w:line="270" w:lineRule="auto"/>
        <w:tabs>
          <w:tab w:leader="none" w:pos="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69" w:lineRule="exact"/>
        <w:rPr>
          <w:rFonts w:ascii="Arial" w:cs="Arial" w:eastAsia="Arial" w:hAnsi="Arial"/>
          <w:sz w:val="17"/>
          <w:szCs w:val="17"/>
          <w:color w:val="auto"/>
        </w:rPr>
      </w:pPr>
    </w:p>
    <w:p>
      <w:pPr>
        <w:ind w:right="80" w:firstLine="443"/>
        <w:spacing w:after="0" w:line="257" w:lineRule="auto"/>
        <w:tabs>
          <w:tab w:leader="none" w:pos="6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80" w:lineRule="exact"/>
        <w:rPr>
          <w:rFonts w:ascii="Arial" w:cs="Arial" w:eastAsia="Arial" w:hAnsi="Arial"/>
          <w:sz w:val="18"/>
          <w:szCs w:val="18"/>
          <w:color w:val="auto"/>
        </w:rPr>
      </w:pPr>
    </w:p>
    <w:p>
      <w:pPr>
        <w:ind w:firstLine="443"/>
        <w:spacing w:after="0" w:line="255"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81" w:lineRule="exact"/>
        <w:rPr>
          <w:rFonts w:ascii="Arial" w:cs="Arial" w:eastAsia="Arial" w:hAnsi="Arial"/>
          <w:sz w:val="18"/>
          <w:szCs w:val="18"/>
          <w:color w:val="auto"/>
        </w:rPr>
      </w:pPr>
    </w:p>
    <w:p>
      <w:pPr>
        <w:ind w:right="220" w:firstLine="443"/>
        <w:spacing w:after="0" w:line="30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74" w:right="239" w:bottom="1440" w:gutter="0" w:footer="0" w:header="0"/>
        </w:sectPr>
      </w:pPr>
    </w:p>
    <w:bookmarkStart w:id="18" w:name="page19"/>
    <w:bookmarkEnd w:id="18"/>
    <w:p>
      <w:pPr>
        <w:ind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70" w:lineRule="exact"/>
        <w:rPr>
          <w:sz w:val="20"/>
          <w:szCs w:val="20"/>
          <w:color w:val="auto"/>
        </w:rPr>
      </w:pPr>
    </w:p>
    <w:p>
      <w:pPr>
        <w:ind w:firstLine="443"/>
        <w:spacing w:after="0" w:line="285" w:lineRule="auto"/>
        <w:tabs>
          <w:tab w:leader="none" w:pos="69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0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19" w:name="page20"/>
    <w:bookmarkEnd w:id="19"/>
    <w:p>
      <w:pPr>
        <w:ind w:right="160" w:firstLine="443"/>
        <w:spacing w:after="0" w:line="264" w:lineRule="auto"/>
        <w:tabs>
          <w:tab w:leader="none" w:pos="690" w:val="left"/>
        </w:tabs>
        <w:numPr>
          <w:ilvl w:val="1"/>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73" w:lineRule="exact"/>
        <w:rPr>
          <w:rFonts w:ascii="Arial" w:cs="Arial" w:eastAsia="Arial" w:hAnsi="Arial"/>
          <w:sz w:val="18"/>
          <w:szCs w:val="18"/>
          <w:color w:val="auto"/>
        </w:rPr>
      </w:pPr>
    </w:p>
    <w:p>
      <w:pPr>
        <w:ind w:firstLine="443"/>
        <w:spacing w:after="0" w:line="291" w:lineRule="auto"/>
        <w:tabs>
          <w:tab w:leader="none" w:pos="653" w:val="left"/>
        </w:tabs>
        <w:numPr>
          <w:ilvl w:val="1"/>
          <w:numId w:val="19"/>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right="100" w:firstLine="4"/>
        <w:spacing w:after="0" w:line="302" w:lineRule="auto"/>
        <w:tabs>
          <w:tab w:leader="none" w:pos="2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47" w:lineRule="exact"/>
        <w:rPr>
          <w:rFonts w:ascii="Arial" w:cs="Arial" w:eastAsia="Arial" w:hAnsi="Arial"/>
          <w:sz w:val="16"/>
          <w:szCs w:val="16"/>
          <w:color w:val="auto"/>
        </w:rPr>
      </w:pPr>
    </w:p>
    <w:p>
      <w:pPr>
        <w:ind w:right="280" w:firstLine="443"/>
        <w:spacing w:after="0" w:line="277"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Securities in the manner specified in the Prospectus under the caption “Use of Proceeds”;</w:t>
      </w:r>
    </w:p>
    <w:p>
      <w:pPr>
        <w:spacing w:after="0" w:line="62" w:lineRule="exact"/>
        <w:rPr>
          <w:rFonts w:ascii="Arial" w:cs="Arial" w:eastAsia="Arial" w:hAnsi="Arial"/>
          <w:sz w:val="18"/>
          <w:szCs w:val="18"/>
          <w:color w:val="auto"/>
        </w:rPr>
      </w:pPr>
    </w:p>
    <w:p>
      <w:pPr>
        <w:ind w:right="420" w:firstLine="443"/>
        <w:spacing w:after="0" w:line="277" w:lineRule="auto"/>
        <w:tabs>
          <w:tab w:leader="none" w:pos="6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will qualify as a “REIT” under the Code, and will use its best efforts to continue to meet the requirements to qualify as a “REIT”; and</w:t>
      </w:r>
    </w:p>
    <w:p>
      <w:pPr>
        <w:spacing w:after="0" w:line="62" w:lineRule="exact"/>
        <w:rPr>
          <w:rFonts w:ascii="Arial" w:cs="Arial" w:eastAsia="Arial" w:hAnsi="Arial"/>
          <w:sz w:val="18"/>
          <w:szCs w:val="18"/>
          <w:color w:val="auto"/>
        </w:rPr>
      </w:pPr>
    </w:p>
    <w:p>
      <w:pPr>
        <w:ind w:right="40" w:firstLine="443"/>
        <w:spacing w:after="0" w:line="288" w:lineRule="auto"/>
        <w:tabs>
          <w:tab w:leader="none" w:pos="6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0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700" w:top="274" w:right="339" w:bottom="1440" w:gutter="0" w:footer="0" w:header="0"/>
        </w:sectPr>
      </w:pPr>
    </w:p>
    <w:bookmarkStart w:id="20" w:name="page21"/>
    <w:bookmarkEnd w:id="20"/>
    <w:p>
      <w:pPr>
        <w:ind w:left="-8" w:right="40" w:firstLine="464"/>
        <w:spacing w:after="0" w:line="284" w:lineRule="auto"/>
        <w:tabs>
          <w:tab w:leader="none" w:pos="628" w:val="left"/>
        </w:tabs>
        <w:numPr>
          <w:ilvl w:val="1"/>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w:t>
      </w:r>
    </w:p>
    <w:p>
      <w:pPr>
        <w:spacing w:after="0" w:line="1" w:lineRule="exact"/>
        <w:rPr>
          <w:rFonts w:ascii="Arial" w:cs="Arial" w:eastAsia="Arial" w:hAnsi="Arial"/>
          <w:sz w:val="16"/>
          <w:szCs w:val="16"/>
          <w:color w:val="auto"/>
        </w:rPr>
      </w:pPr>
    </w:p>
    <w:p>
      <w:pPr>
        <w:ind w:left="-8" w:firstLine="8"/>
        <w:spacing w:after="0" w:line="251" w:lineRule="auto"/>
        <w:tabs>
          <w:tab w:leader="none" w:pos="2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90" w:lineRule="exact"/>
        <w:rPr>
          <w:rFonts w:ascii="Arial" w:cs="Arial" w:eastAsia="Arial" w:hAnsi="Arial"/>
          <w:sz w:val="18"/>
          <w:szCs w:val="18"/>
          <w:color w:val="auto"/>
        </w:rPr>
      </w:pPr>
    </w:p>
    <w:p>
      <w:pPr>
        <w:ind w:left="-8" w:right="100" w:firstLine="464"/>
        <w:spacing w:after="0" w:line="257" w:lineRule="auto"/>
        <w:tabs>
          <w:tab w:leader="none" w:pos="6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80" w:lineRule="exact"/>
        <w:rPr>
          <w:rFonts w:ascii="Arial" w:cs="Arial" w:eastAsia="Arial" w:hAnsi="Arial"/>
          <w:sz w:val="18"/>
          <w:szCs w:val="18"/>
          <w:color w:val="auto"/>
        </w:rPr>
      </w:pPr>
    </w:p>
    <w:p>
      <w:pPr>
        <w:ind w:left="452" w:firstLine="443"/>
        <w:spacing w:after="0" w:line="257" w:lineRule="auto"/>
        <w:tabs>
          <w:tab w:leader="none" w:pos="1132"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72"/>
          </w:cols>
          <w:pgMar w:left="248" w:top="274" w:right="279" w:bottom="1440" w:gutter="0" w:footer="0" w:header="0"/>
        </w:sectPr>
      </w:pPr>
    </w:p>
    <w:bookmarkStart w:id="21" w:name="page22"/>
    <w:bookmarkEnd w:id="21"/>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w:t>
      </w:r>
    </w:p>
    <w:p>
      <w:pPr>
        <w:spacing w:after="0"/>
        <w:rPr>
          <w:sz w:val="20"/>
          <w:szCs w:val="20"/>
          <w:color w:val="auto"/>
        </w:rPr>
      </w:pPr>
      <w:r>
        <w:rPr>
          <w:rFonts w:ascii="Arial" w:cs="Arial" w:eastAsia="Arial" w:hAnsi="Arial"/>
          <w:sz w:val="17"/>
          <w:szCs w:val="17"/>
          <w:color w:val="auto"/>
        </w:rPr>
        <w:t>(1)(ii) either in a post-effective amendment to the Registration Statement or on the cover page of a prospectus filed pursuant to Rule 424(b);</w:t>
      </w:r>
    </w:p>
    <w:p>
      <w:pPr>
        <w:spacing w:after="0" w:line="114" w:lineRule="exact"/>
        <w:rPr>
          <w:sz w:val="20"/>
          <w:szCs w:val="20"/>
          <w:color w:val="auto"/>
        </w:rPr>
      </w:pPr>
    </w:p>
    <w:p>
      <w:pPr>
        <w:ind w:right="420" w:firstLine="443"/>
        <w:spacing w:after="0" w:line="297" w:lineRule="auto"/>
        <w:tabs>
          <w:tab w:leader="none" w:pos="693"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Sidley Austin LLP,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LLP may rely, as to all matters arising under or governed by the laws of the State of Maryland, on the opinion of Pillsbury Winthrop Shaw Pittman LLP);</w:t>
      </w:r>
    </w:p>
    <w:p>
      <w:pPr>
        <w:spacing w:after="0" w:line="50" w:lineRule="exact"/>
        <w:rPr>
          <w:rFonts w:ascii="Arial" w:cs="Arial" w:eastAsia="Arial" w:hAnsi="Arial"/>
          <w:sz w:val="16"/>
          <w:szCs w:val="16"/>
          <w:color w:val="auto"/>
        </w:rPr>
      </w:pPr>
    </w:p>
    <w:p>
      <w:pPr>
        <w:ind w:firstLine="443"/>
        <w:spacing w:after="0" w:line="312" w:lineRule="auto"/>
        <w:tabs>
          <w:tab w:leader="none" w:pos="6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38" w:lineRule="exact"/>
        <w:rPr>
          <w:rFonts w:ascii="Arial" w:cs="Arial" w:eastAsia="Arial" w:hAnsi="Arial"/>
          <w:sz w:val="16"/>
          <w:szCs w:val="16"/>
          <w:color w:val="auto"/>
        </w:rPr>
      </w:pPr>
    </w:p>
    <w:p>
      <w:pPr>
        <w:jc w:val="both"/>
        <w:ind w:right="500" w:firstLine="443"/>
        <w:spacing w:after="0" w:line="264" w:lineRule="auto"/>
        <w:tabs>
          <w:tab w:leader="none" w:pos="6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73" w:lineRule="exact"/>
        <w:rPr>
          <w:rFonts w:ascii="Arial" w:cs="Arial" w:eastAsia="Arial" w:hAnsi="Arial"/>
          <w:sz w:val="18"/>
          <w:szCs w:val="18"/>
          <w:color w:val="auto"/>
        </w:rPr>
      </w:pPr>
    </w:p>
    <w:p>
      <w:pPr>
        <w:ind w:right="240" w:firstLine="443"/>
        <w:spacing w:after="0" w:line="312" w:lineRule="auto"/>
        <w:tabs>
          <w:tab w:leader="none" w:pos="673"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the Time of Delivery for such Designated Securities, the Designated Securities shall be rated at least A3 by Moody’s Investor’s Service Inc. and A-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38" w:lineRule="exact"/>
        <w:rPr>
          <w:rFonts w:ascii="Arial" w:cs="Arial" w:eastAsia="Arial" w:hAnsi="Arial"/>
          <w:sz w:val="16"/>
          <w:szCs w:val="16"/>
          <w:color w:val="auto"/>
        </w:rPr>
      </w:pPr>
    </w:p>
    <w:p>
      <w:pPr>
        <w:ind w:right="220" w:firstLine="443"/>
        <w:spacing w:after="0" w:line="257" w:lineRule="auto"/>
        <w:tabs>
          <w:tab w:leader="none" w:pos="6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Neither the Company nor any of its subsidiaries, considered as one enterprise, since the date of the last audited financial statements included or incorporated by reference in the Registration Statement, General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(B) since the respective dates as of which information is given</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2" w:name="page23"/>
    <w:bookmarkEnd w:id="22"/>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w:t>
      </w:r>
    </w:p>
    <w:p>
      <w:pPr>
        <w:spacing w:after="0" w:line="2" w:lineRule="exact"/>
        <w:rPr>
          <w:sz w:val="20"/>
          <w:szCs w:val="20"/>
          <w:color w:val="auto"/>
        </w:rPr>
      </w:pPr>
    </w:p>
    <w:p>
      <w:pPr>
        <w:ind w:firstLine="4"/>
        <w:spacing w:after="0" w:line="286" w:lineRule="auto"/>
        <w:tabs>
          <w:tab w:leader="none" w:pos="3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(a) the Equity Distribution Agreement dated November 4, 2016 between the Company and Wells Fargo Securities, LLC, (b) the Equity Distribution Agreement dated November 4, 2016 between the Company and Merrill Lynch, Pierce, Fenner &amp; Smith Incorporated and (c) the Equity Distribution Agreement dated November 4, 2016 between the Company and Citigroup Global Markets Inc., as the same may be amended from time to time or (vi) any non-material acquisition, merger or purchase 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58" w:lineRule="exact"/>
        <w:rPr>
          <w:rFonts w:ascii="Arial" w:cs="Arial" w:eastAsia="Arial" w:hAnsi="Arial"/>
          <w:sz w:val="16"/>
          <w:szCs w:val="16"/>
          <w:color w:val="auto"/>
        </w:rPr>
      </w:pPr>
    </w:p>
    <w:p>
      <w:pPr>
        <w:ind w:right="120" w:firstLine="443"/>
        <w:spacing w:after="0" w:line="279" w:lineRule="auto"/>
        <w:tabs>
          <w:tab w:leader="none" w:pos="693" w:val="left"/>
        </w:tabs>
        <w:numPr>
          <w:ilvl w:val="1"/>
          <w:numId w:val="24"/>
        </w:numPr>
        <w:rPr>
          <w:rFonts w:ascii="Arial" w:cs="Arial" w:eastAsia="Arial" w:hAnsi="Arial"/>
          <w:sz w:val="17"/>
          <w:szCs w:val="17"/>
          <w:color w:val="auto"/>
        </w:rPr>
      </w:pPr>
      <w:r>
        <w:rPr>
          <w:rFonts w:ascii="Arial" w:cs="Arial" w:eastAsia="Arial" w:hAnsi="Arial"/>
          <w:sz w:val="17"/>
          <w:szCs w:val="17"/>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63" w:lineRule="exact"/>
        <w:rPr>
          <w:rFonts w:ascii="Arial" w:cs="Arial" w:eastAsia="Arial" w:hAnsi="Arial"/>
          <w:sz w:val="17"/>
          <w:szCs w:val="17"/>
          <w:color w:val="auto"/>
        </w:rPr>
      </w:pPr>
    </w:p>
    <w:p>
      <w:pPr>
        <w:jc w:val="both"/>
        <w:ind w:right="320" w:firstLine="443"/>
        <w:spacing w:after="0" w:line="279" w:lineRule="auto"/>
        <w:tabs>
          <w:tab w:leader="none" w:pos="693" w:val="left"/>
        </w:tabs>
        <w:numPr>
          <w:ilvl w:val="1"/>
          <w:numId w:val="24"/>
        </w:numPr>
        <w:rPr>
          <w:rFonts w:ascii="Arial" w:cs="Arial" w:eastAsia="Arial" w:hAnsi="Arial"/>
          <w:sz w:val="17"/>
          <w:szCs w:val="17"/>
          <w:color w:val="auto"/>
        </w:rPr>
      </w:pPr>
      <w:r>
        <w:rPr>
          <w:rFonts w:ascii="Arial" w:cs="Arial" w:eastAsia="Arial" w:hAnsi="Arial"/>
          <w:sz w:val="17"/>
          <w:szCs w:val="17"/>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4" w:right="239" w:bottom="1440" w:gutter="0" w:footer="0" w:header="0"/>
        </w:sectPr>
      </w:pPr>
    </w:p>
    <w:bookmarkStart w:id="23" w:name="page24"/>
    <w:bookmarkEnd w:id="23"/>
    <w:p>
      <w:pPr>
        <w:ind w:left="44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79" w:lineRule="exact"/>
        <w:rPr>
          <w:sz w:val="20"/>
          <w:szCs w:val="20"/>
          <w:color w:val="auto"/>
        </w:rPr>
      </w:pPr>
    </w:p>
    <w:p>
      <w:pPr>
        <w:ind w:left="440" w:right="320" w:firstLine="443"/>
        <w:spacing w:after="0" w:line="277" w:lineRule="auto"/>
        <w:tabs>
          <w:tab w:leader="none" w:pos="10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62" w:lineRule="exact"/>
        <w:rPr>
          <w:rFonts w:ascii="Arial" w:cs="Arial" w:eastAsia="Arial" w:hAnsi="Arial"/>
          <w:sz w:val="18"/>
          <w:szCs w:val="18"/>
          <w:color w:val="auto"/>
        </w:rPr>
      </w:pPr>
    </w:p>
    <w:p>
      <w:pPr>
        <w:ind w:left="440" w:firstLine="443"/>
        <w:spacing w:after="0" w:line="257" w:lineRule="auto"/>
        <w:tabs>
          <w:tab w:leader="none" w:pos="10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7 and as to such other matters as the Representatives may reasonably request.</w:t>
      </w:r>
    </w:p>
    <w:p>
      <w:pPr>
        <w:spacing w:after="0" w:line="80" w:lineRule="exact"/>
        <w:rPr>
          <w:rFonts w:ascii="Arial" w:cs="Arial" w:eastAsia="Arial" w:hAnsi="Arial"/>
          <w:sz w:val="18"/>
          <w:szCs w:val="18"/>
          <w:color w:val="auto"/>
        </w:rPr>
      </w:pPr>
    </w:p>
    <w:p>
      <w:pPr>
        <w:ind w:left="-20" w:right="20" w:firstLine="464"/>
        <w:spacing w:after="0" w:line="268"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24" w:name="page25"/>
    <w:bookmarkEnd w:id="24"/>
    <w:p>
      <w:pPr>
        <w:ind w:left="-20" w:firstLine="464"/>
        <w:spacing w:after="0" w:line="286" w:lineRule="auto"/>
        <w:tabs>
          <w:tab w:leader="none" w:pos="691"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66" w:lineRule="exact"/>
        <w:rPr>
          <w:rFonts w:ascii="Arial" w:cs="Arial" w:eastAsia="Arial" w:hAnsi="Arial"/>
          <w:sz w:val="16"/>
          <w:szCs w:val="16"/>
          <w:color w:val="auto"/>
        </w:rPr>
      </w:pPr>
    </w:p>
    <w:p>
      <w:pPr>
        <w:ind w:left="-20" w:right="40" w:firstLine="464"/>
        <w:spacing w:after="0" w:line="286" w:lineRule="auto"/>
        <w:tabs>
          <w:tab w:leader="none" w:pos="681"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74" w:right="239" w:bottom="1440" w:gutter="0" w:footer="0" w:header="0"/>
        </w:sectPr>
      </w:pPr>
    </w:p>
    <w:bookmarkStart w:id="25" w:name="page26"/>
    <w:bookmarkEnd w:id="25"/>
    <w:p>
      <w:pPr>
        <w:ind w:left="712" w:hanging="256"/>
        <w:spacing w:after="0"/>
        <w:tabs>
          <w:tab w:leader="none" w:pos="712" w:val="left"/>
        </w:tabs>
        <w:numPr>
          <w:ilvl w:val="1"/>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this Section 8 is unavailable to or insufficient to hold harmless an indemnified party under subsection (a) or</w:t>
      </w:r>
    </w:p>
    <w:p>
      <w:pPr>
        <w:spacing w:after="0" w:line="46" w:lineRule="exact"/>
        <w:rPr>
          <w:rFonts w:ascii="Arial" w:cs="Arial" w:eastAsia="Arial" w:hAnsi="Arial"/>
          <w:sz w:val="16"/>
          <w:szCs w:val="16"/>
          <w:color w:val="auto"/>
        </w:rPr>
      </w:pPr>
    </w:p>
    <w:p>
      <w:pPr>
        <w:ind w:left="-8" w:firstLine="8"/>
        <w:spacing w:after="0" w:line="283" w:lineRule="auto"/>
        <w:tabs>
          <w:tab w:leader="none" w:pos="247" w:val="left"/>
        </w:tabs>
        <w:numPr>
          <w:ilvl w:val="0"/>
          <w:numId w:val="29"/>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12"/>
          </w:cols>
          <w:pgMar w:left="248" w:top="274" w:right="239" w:bottom="1440" w:gutter="0" w:footer="0" w:header="0"/>
        </w:sectPr>
      </w:pPr>
    </w:p>
    <w:bookmarkStart w:id="26" w:name="page27"/>
    <w:bookmarkEnd w:id="26"/>
    <w:p>
      <w:pPr>
        <w:ind w:left="-20" w:right="120" w:firstLine="464"/>
        <w:spacing w:after="0" w:line="257" w:lineRule="auto"/>
        <w:tabs>
          <w:tab w:leader="none" w:pos="681"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to each trustee of the Company and to each person, if any, who controls the Company within the meaning of the Act.</w:t>
      </w:r>
    </w:p>
    <w:p>
      <w:pPr>
        <w:spacing w:after="0" w:line="80" w:lineRule="exact"/>
        <w:rPr>
          <w:sz w:val="20"/>
          <w:szCs w:val="20"/>
          <w:color w:val="auto"/>
        </w:rPr>
      </w:pPr>
    </w:p>
    <w:p>
      <w:pPr>
        <w:ind w:left="-20" w:right="20" w:firstLine="464"/>
        <w:spacing w:after="0" w:line="287" w:lineRule="auto"/>
        <w:tabs>
          <w:tab w:leader="none" w:pos="616"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61" w:lineRule="exact"/>
        <w:rPr>
          <w:sz w:val="20"/>
          <w:szCs w:val="20"/>
          <w:color w:val="auto"/>
        </w:rPr>
      </w:pPr>
    </w:p>
    <w:p>
      <w:pPr>
        <w:ind w:left="-20" w:firstLine="464"/>
        <w:spacing w:after="0" w:line="271" w:lineRule="auto"/>
        <w:tabs>
          <w:tab w:leader="none" w:pos="691"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60" w:top="274" w:right="239" w:bottom="1440" w:gutter="0" w:footer="0" w:header="0"/>
        </w:sectPr>
      </w:pPr>
    </w:p>
    <w:bookmarkStart w:id="27" w:name="page28"/>
    <w:bookmarkEnd w:id="27"/>
    <w:p>
      <w:pPr>
        <w:ind w:left="-8" w:right="160" w:firstLine="464"/>
        <w:spacing w:after="0" w:line="288" w:lineRule="auto"/>
        <w:tabs>
          <w:tab w:leader="none" w:pos="693" w:val="left"/>
        </w:tabs>
        <w:numPr>
          <w:ilvl w:val="1"/>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w:t>
      </w:r>
    </w:p>
    <w:p>
      <w:pPr>
        <w:jc w:val="both"/>
        <w:ind w:left="-8" w:right="120" w:firstLine="8"/>
        <w:spacing w:after="0" w:line="271" w:lineRule="auto"/>
        <w:tabs>
          <w:tab w:leader="none" w:pos="247" w:val="left"/>
        </w:tabs>
        <w:numPr>
          <w:ilvl w:val="0"/>
          <w:numId w:val="34"/>
        </w:numPr>
        <w:rPr>
          <w:rFonts w:ascii="Arial" w:cs="Arial" w:eastAsia="Arial" w:hAnsi="Arial"/>
          <w:sz w:val="17"/>
          <w:szCs w:val="17"/>
          <w:color w:val="auto"/>
        </w:rPr>
      </w:pPr>
      <w:r>
        <w:rPr>
          <w:rFonts w:ascii="Arial" w:cs="Arial" w:eastAsia="Arial" w:hAnsi="Arial"/>
          <w:sz w:val="17"/>
          <w:szCs w:val="17"/>
          <w:color w:val="auto"/>
        </w:rPr>
        <w:t>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71" w:lineRule="exact"/>
        <w:rPr>
          <w:sz w:val="20"/>
          <w:szCs w:val="20"/>
          <w:color w:val="auto"/>
        </w:rPr>
      </w:pPr>
    </w:p>
    <w:p>
      <w:pPr>
        <w:ind w:left="-8" w:right="40" w:firstLine="464"/>
        <w:spacing w:after="0" w:line="302" w:lineRule="auto"/>
        <w:tabs>
          <w:tab w:leader="none" w:pos="71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46" w:lineRule="exact"/>
        <w:rPr>
          <w:rFonts w:ascii="Arial" w:cs="Arial" w:eastAsia="Arial" w:hAnsi="Arial"/>
          <w:sz w:val="16"/>
          <w:szCs w:val="16"/>
          <w:color w:val="auto"/>
        </w:rPr>
      </w:pPr>
    </w:p>
    <w:p>
      <w:pPr>
        <w:ind w:left="-8" w:firstLine="464"/>
        <w:spacing w:after="0" w:line="255" w:lineRule="auto"/>
        <w:tabs>
          <w:tab w:leader="none" w:pos="7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81" w:lineRule="exact"/>
        <w:rPr>
          <w:rFonts w:ascii="Arial" w:cs="Arial" w:eastAsia="Arial" w:hAnsi="Arial"/>
          <w:sz w:val="18"/>
          <w:szCs w:val="18"/>
          <w:color w:val="auto"/>
        </w:rPr>
      </w:pPr>
    </w:p>
    <w:p>
      <w:pPr>
        <w:ind w:left="-8" w:right="20" w:firstLine="464"/>
        <w:spacing w:after="0" w:line="286" w:lineRule="auto"/>
        <w:tabs>
          <w:tab w:leader="none" w:pos="718"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92"/>
          </w:cols>
          <w:pgMar w:left="248" w:top="274" w:right="259" w:bottom="1440" w:gutter="0" w:footer="0" w:header="0"/>
        </w:sectPr>
      </w:pPr>
    </w:p>
    <w:bookmarkStart w:id="28" w:name="page29"/>
    <w:bookmarkEnd w:id="28"/>
    <w:p>
      <w:pPr>
        <w:ind w:right="8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70" w:lineRule="exact"/>
        <w:rPr>
          <w:sz w:val="20"/>
          <w:szCs w:val="20"/>
          <w:color w:val="auto"/>
        </w:rPr>
      </w:pPr>
    </w:p>
    <w:p>
      <w:pPr>
        <w:ind w:right="140" w:firstLine="464"/>
        <w:spacing w:after="0" w:line="277" w:lineRule="auto"/>
        <w:tabs>
          <w:tab w:leader="none" w:pos="7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62" w:lineRule="exact"/>
        <w:rPr>
          <w:rFonts w:ascii="Arial" w:cs="Arial" w:eastAsia="Arial" w:hAnsi="Arial"/>
          <w:sz w:val="18"/>
          <w:szCs w:val="18"/>
          <w:color w:val="auto"/>
        </w:rPr>
      </w:pPr>
    </w:p>
    <w:p>
      <w:pPr>
        <w:ind w:firstLine="464"/>
        <w:spacing w:after="0" w:line="276" w:lineRule="auto"/>
        <w:tabs>
          <w:tab w:leader="none" w:pos="72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64" w:lineRule="exact"/>
        <w:rPr>
          <w:rFonts w:ascii="Arial" w:cs="Arial" w:eastAsia="Arial" w:hAnsi="Arial"/>
          <w:sz w:val="17"/>
          <w:szCs w:val="17"/>
          <w:color w:val="auto"/>
        </w:rPr>
      </w:pPr>
    </w:p>
    <w:p>
      <w:pPr>
        <w:ind w:right="500" w:firstLine="464"/>
        <w:spacing w:after="0" w:line="277" w:lineRule="auto"/>
        <w:tabs>
          <w:tab w:leader="none" w:pos="7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62" w:lineRule="exact"/>
        <w:rPr>
          <w:rFonts w:ascii="Arial" w:cs="Arial" w:eastAsia="Arial" w:hAnsi="Arial"/>
          <w:sz w:val="18"/>
          <w:szCs w:val="18"/>
          <w:color w:val="auto"/>
        </w:rPr>
      </w:pPr>
    </w:p>
    <w:p>
      <w:pPr>
        <w:ind w:left="740" w:hanging="276"/>
        <w:spacing w:after="0"/>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w:t>
      </w:r>
    </w:p>
    <w:p>
      <w:pPr>
        <w:spacing w:after="0" w:line="102" w:lineRule="exact"/>
        <w:rPr>
          <w:rFonts w:ascii="Arial" w:cs="Arial" w:eastAsia="Arial" w:hAnsi="Arial"/>
          <w:sz w:val="16"/>
          <w:szCs w:val="16"/>
          <w:color w:val="auto"/>
        </w:rPr>
      </w:pPr>
    </w:p>
    <w:p>
      <w:pPr>
        <w:ind w:right="100" w:firstLine="464"/>
        <w:spacing w:after="0" w:line="342" w:lineRule="auto"/>
        <w:tabs>
          <w:tab w:leader="none" w:pos="72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6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7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Executive Vice-President-Chief</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Financial Officer</w:t>
      </w:r>
    </w:p>
    <w:p>
      <w:pPr>
        <w:spacing w:after="0" w:line="319" w:lineRule="exact"/>
        <w:rPr>
          <w:sz w:val="20"/>
          <w:szCs w:val="20"/>
          <w:color w:val="auto"/>
        </w:rPr>
      </w:pPr>
    </w:p>
    <w:p>
      <w:pPr>
        <w:ind w:left="370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9759"/>
          </w:cols>
          <w:pgMar w:left="700" w:top="274"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OLDMAN</w:t>
      </w:r>
      <w:r>
        <w:rPr>
          <w:rFonts w:ascii="Arial" w:cs="Arial" w:eastAsia="Arial" w:hAnsi="Arial"/>
          <w:sz w:val="18"/>
          <w:szCs w:val="18"/>
          <w:color w:val="auto"/>
        </w:rPr>
        <w:t xml:space="preserve"> S</w:t>
      </w:r>
      <w:r>
        <w:rPr>
          <w:rFonts w:ascii="Arial" w:cs="Arial" w:eastAsia="Arial" w:hAnsi="Arial"/>
          <w:sz w:val="15"/>
          <w:szCs w:val="15"/>
          <w:color w:val="auto"/>
        </w:rPr>
        <w:t>ACHS</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L</w:t>
      </w:r>
      <w:r>
        <w:rPr>
          <w:rFonts w:ascii="Arial" w:cs="Arial" w:eastAsia="Arial" w:hAnsi="Arial"/>
          <w:sz w:val="15"/>
          <w:szCs w:val="15"/>
          <w:color w:val="auto"/>
        </w:rPr>
        <w:t>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w:t>
      </w:r>
      <w:r>
        <w:rPr>
          <w:rFonts w:ascii="Arial" w:cs="Arial" w:eastAsia="Arial" w:hAnsi="Arial"/>
          <w:sz w:val="15"/>
          <w:szCs w:val="15"/>
          <w:color w:val="auto"/>
        </w:rPr>
        <w:t>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Lourdes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Lourdes Fisher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Anguel Zaprianov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Anguel Zaprianov</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Adam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Adam Greene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Greg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Greg Wright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Carolyn Hurley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the Pricing Agreement dated the date hereof.</w:t>
      </w:r>
    </w:p>
    <w:p>
      <w:pPr>
        <w:spacing w:after="0" w:line="248" w:lineRule="exact"/>
        <w:rPr>
          <w:sz w:val="20"/>
          <w:szCs w:val="20"/>
          <w:color w:val="auto"/>
        </w:rPr>
      </w:pPr>
    </w:p>
    <w:p>
      <w:pPr>
        <w:ind w:left="416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219"/>
          </w:cols>
          <w:pgMar w:left="240" w:top="274" w:right="1440" w:bottom="1440" w:gutter="0" w:footer="0" w:header="0"/>
        </w:sectPr>
      </w:pPr>
    </w:p>
    <w:bookmarkStart w:id="31" w:name="page32"/>
    <w:bookmarkEnd w:id="31"/>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OLDMAN</w:t>
      </w:r>
      <w:r>
        <w:rPr>
          <w:rFonts w:ascii="Arial" w:cs="Arial" w:eastAsia="Arial" w:hAnsi="Arial"/>
          <w:sz w:val="18"/>
          <w:szCs w:val="18"/>
          <w:color w:val="auto"/>
        </w:rPr>
        <w:t xml:space="preserve"> S</w:t>
      </w:r>
      <w:r>
        <w:rPr>
          <w:rFonts w:ascii="Arial" w:cs="Arial" w:eastAsia="Arial" w:hAnsi="Arial"/>
          <w:sz w:val="15"/>
          <w:szCs w:val="15"/>
          <w:color w:val="auto"/>
        </w:rPr>
        <w:t>ACHS</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L</w:t>
      </w:r>
      <w:r>
        <w:rPr>
          <w:rFonts w:ascii="Arial" w:cs="Arial" w:eastAsia="Arial" w:hAnsi="Arial"/>
          <w:sz w:val="15"/>
          <w:szCs w:val="15"/>
          <w:color w:val="auto"/>
        </w:rPr>
        <w:t>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w:t>
      </w:r>
      <w:r>
        <w:rPr>
          <w:rFonts w:ascii="Arial" w:cs="Arial" w:eastAsia="Arial" w:hAnsi="Arial"/>
          <w:sz w:val="15"/>
          <w:szCs w:val="15"/>
          <w:color w:val="auto"/>
        </w:rPr>
        <w:t>LC</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10282</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Ladiesand Gentlemen:</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December 7, 2017 (the “Underwriting Agreement”), between the Company on the one hand and Deutsche Bank Securities Inc., Goldman Sachs &amp; Co. LLC, Merrill Lynch, Pierce, Fenner &amp; Smith Incorporated and Wells Fargo Securities,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0" w:right="239" w:bottom="1440" w:gutter="0" w:footer="0" w:header="0"/>
        </w:sectPr>
      </w:pPr>
    </w:p>
    <w:bookmarkStart w:id="32" w:name="page33"/>
    <w:bookmarkEnd w:id="32"/>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5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420"/>
          </w:cols>
          <w:pgMar w:left="240" w:top="274" w:right="239" w:bottom="1440" w:gutter="0" w:footer="0" w:header="0"/>
        </w:sectPr>
      </w:pPr>
    </w:p>
    <w:bookmarkStart w:id="33" w:name="page34"/>
    <w:bookmarkEnd w:id="33"/>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288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126365</wp:posOffset>
            </wp:positionV>
            <wp:extent cx="5143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340"/>
          </w:cols>
          <w:pgMar w:left="240" w:top="274"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OLDMAN</w:t>
      </w:r>
      <w:r>
        <w:rPr>
          <w:rFonts w:ascii="Arial" w:cs="Arial" w:eastAsia="Arial" w:hAnsi="Arial"/>
          <w:sz w:val="18"/>
          <w:szCs w:val="18"/>
          <w:color w:val="auto"/>
        </w:rPr>
        <w:t xml:space="preserve"> S</w:t>
      </w:r>
      <w:r>
        <w:rPr>
          <w:rFonts w:ascii="Arial" w:cs="Arial" w:eastAsia="Arial" w:hAnsi="Arial"/>
          <w:sz w:val="15"/>
          <w:szCs w:val="15"/>
          <w:color w:val="auto"/>
        </w:rPr>
        <w:t>ACHS</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L</w:t>
      </w:r>
      <w:r>
        <w:rPr>
          <w:rFonts w:ascii="Arial" w:cs="Arial" w:eastAsia="Arial" w:hAnsi="Arial"/>
          <w:sz w:val="15"/>
          <w:szCs w:val="15"/>
          <w:color w:val="auto"/>
        </w:rPr>
        <w:t>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w:t>
      </w:r>
      <w:r>
        <w:rPr>
          <w:rFonts w:ascii="Arial" w:cs="Arial" w:eastAsia="Arial" w:hAnsi="Arial"/>
          <w:sz w:val="15"/>
          <w:szCs w:val="15"/>
          <w:color w:val="auto"/>
        </w:rPr>
        <w:t>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260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260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2600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2600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260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5860" w:type="dxa"/>
            <w:vAlign w:val="bottom"/>
            <w:gridSpan w:val="2"/>
          </w:tcPr>
          <w:p>
            <w:pPr>
              <w:ind w:left="720"/>
              <w:spacing w:after="0"/>
              <w:rPr>
                <w:sz w:val="20"/>
                <w:szCs w:val="20"/>
                <w:color w:val="auto"/>
              </w:rPr>
            </w:pPr>
            <w:r>
              <w:rPr>
                <w:rFonts w:ascii="Arial" w:cs="Arial" w:eastAsia="Arial" w:hAnsi="Arial"/>
                <w:sz w:val="18"/>
                <w:szCs w:val="18"/>
                <w:color w:val="auto"/>
              </w:rPr>
              <w:t>SCHEDULE I</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62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Principal Amount of</w:t>
            </w:r>
          </w:p>
        </w:tc>
        <w:tc>
          <w:tcPr>
            <w:tcW w:w="0" w:type="dxa"/>
            <w:vAlign w:val="bottom"/>
          </w:tcPr>
          <w:p>
            <w:pPr>
              <w:spacing w:after="0"/>
              <w:rPr>
                <w:sz w:val="1"/>
                <w:szCs w:val="1"/>
                <w:color w:val="auto"/>
              </w:rPr>
            </w:pPr>
          </w:p>
        </w:tc>
      </w:tr>
      <w:tr>
        <w:trPr>
          <w:trHeight w:val="158"/>
        </w:trPr>
        <w:tc>
          <w:tcPr>
            <w:tcW w:w="4480" w:type="dxa"/>
            <w:vAlign w:val="bottom"/>
            <w:gridSpan w:val="2"/>
            <w:vMerge w:val="continue"/>
          </w:tcPr>
          <w:p>
            <w:pPr>
              <w:spacing w:after="0"/>
              <w:rPr>
                <w:sz w:val="13"/>
                <w:szCs w:val="13"/>
                <w:color w:val="auto"/>
              </w:rPr>
            </w:pPr>
          </w:p>
        </w:tc>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ind w:left="22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Deutsche Bank Securities Inc.</w:t>
            </w:r>
          </w:p>
        </w:tc>
        <w:tc>
          <w:tcPr>
            <w:tcW w:w="562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34,563,000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34,563,000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 Incorporated</w:t>
            </w:r>
          </w:p>
        </w:tc>
        <w:tc>
          <w:tcPr>
            <w:tcW w:w="5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34,562,000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34,562,000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5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5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5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5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562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175,000,000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11420"/>
          </w:cols>
          <w:pgMar w:left="240" w:top="274" w:right="239" w:bottom="1440" w:gutter="0" w:footer="0" w:header="0"/>
        </w:sectPr>
      </w:pPr>
    </w:p>
    <w:bookmarkStart w:id="36" w:name="page37"/>
    <w:bookmarkEnd w:id="36"/>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r>
        <w:rPr>
          <w:rFonts w:ascii="Arial" w:cs="Arial" w:eastAsia="Arial" w:hAnsi="Arial"/>
          <w:sz w:val="15"/>
          <w:szCs w:val="15"/>
          <w:color w:val="auto"/>
        </w:rPr>
        <w:t>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3.25% Notes due 2027 (the “Designated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$175,000,000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99.404% of the principal amount of the Designated Securities, plus accrued interest of $2,812,152.78 from, and including June 23, 2017 to, but excluding, the Settlement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98.754% of the principal amount of the Designated Securities, plus accrued interest of $2,812,152.78 from, and including June 23, 2017 to, but excluding, the Settlement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64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15, 2027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3.25% per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15 and July 15, beginning on January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line="259"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8"/>
          <w:szCs w:val="18"/>
          <w:color w:val="auto"/>
        </w:rPr>
        <w:t>The terms of the 3.25% Notes due 2027, other than their issue date, issue price and, if applicable, first interest payment date and initial interest accrual date will be identical to the terms of and will be part of the same series as the Company’s outstanding 3.25% Notes due 2027 ($300 million of which were originally issued on June 23, 2017). (However, for U.S. federal income tax purposes the Notes offered hereby will be deemed to have the same issue date and issue price as the existing notes).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Sch. II to Exhibit A, Page 1</w:t>
      </w:r>
    </w:p>
    <w:p>
      <w:pPr>
        <w:sectPr>
          <w:pgSz w:w="11900" w:h="16838" w:orient="portrait"/>
          <w:cols w:equalWidth="0" w:num="1">
            <w:col w:w="11280"/>
          </w:cols>
          <w:pgMar w:left="240" w:top="274"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2:55 p.m. (Eastern time) on December 7, 2017 or such other time as agreed by the Company and the Representatives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21,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374-1071</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10282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Registration Department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Sch. II to Exhibit A, Page 2</w:t>
      </w:r>
    </w:p>
    <w:p>
      <w:pPr>
        <w:sectPr>
          <w:pgSz w:w="11900" w:h="16838" w:orient="portrait"/>
          <w:cols w:equalWidth="0" w:num="1">
            <w:col w:w="11040"/>
          </w:cols>
          <w:pgMar w:left="240" w:top="270" w:right="6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50 Rockefeller Plaza, NY1-050-12-01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High Grade Transaction Management/Legal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(646) 855-8999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410-0326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Transaction Management</w:t>
      </w:r>
    </w:p>
    <w:p>
      <w:pPr>
        <w:spacing w:after="0" w:line="319" w:lineRule="exact"/>
        <w:rPr>
          <w:sz w:val="20"/>
          <w:szCs w:val="20"/>
          <w:color w:val="auto"/>
        </w:rPr>
      </w:pPr>
    </w:p>
    <w:p>
      <w:pPr>
        <w:jc w:val="right"/>
        <w:ind w:right="3519"/>
        <w:spacing w:after="0"/>
        <w:rPr>
          <w:sz w:val="20"/>
          <w:szCs w:val="20"/>
          <w:color w:val="auto"/>
        </w:rPr>
      </w:pPr>
      <w:r>
        <w:rPr>
          <w:rFonts w:ascii="Arial" w:cs="Arial" w:eastAsia="Arial" w:hAnsi="Arial"/>
          <w:sz w:val="18"/>
          <w:szCs w:val="18"/>
          <w:color w:val="auto"/>
        </w:rPr>
        <w:t>Sch. II to Exhibit A, Page 3</w:t>
      </w:r>
    </w:p>
    <w:p>
      <w:pPr>
        <w:sectPr>
          <w:pgSz w:w="11900" w:h="16838" w:orient="portrait"/>
          <w:cols w:equalWidth="0" w:num="1">
            <w:col w:w="10219"/>
          </w:cols>
          <w:pgMar w:left="240" w:top="274"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135"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Final Term Sheet, attached hereto as Schedule I to this Exhibit 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1420"/>
          </w:cols>
          <w:pgMar w:left="240" w:top="270" w:right="2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Price/Yield: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Spread to Benchmark Treasury: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Re-Offer Yield: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Schedule I to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-213360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December 7, 2017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333-203999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December 7, 2017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dated May 8, 2015</w:t>
      </w:r>
    </w:p>
    <w:p>
      <w:pPr>
        <w:spacing w:after="0" w:line="315" w:lineRule="exact"/>
        <w:rPr>
          <w:sz w:val="20"/>
          <w:szCs w:val="20"/>
          <w:color w:val="auto"/>
        </w:rPr>
      </w:pPr>
    </w:p>
    <w:p>
      <w:pPr>
        <w:jc w:val="center"/>
        <w:ind w:right="33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3320"/>
        <w:spacing w:after="0"/>
        <w:rPr>
          <w:sz w:val="20"/>
          <w:szCs w:val="20"/>
          <w:color w:val="auto"/>
        </w:rPr>
      </w:pPr>
      <w:r>
        <w:rPr>
          <w:rFonts w:ascii="Arial" w:cs="Arial" w:eastAsia="Arial" w:hAnsi="Arial"/>
          <w:sz w:val="18"/>
          <w:szCs w:val="18"/>
          <w:b w:val="1"/>
          <w:bCs w:val="1"/>
          <w:color w:val="auto"/>
        </w:rPr>
        <w:t>3.25% Notes due 2027</w:t>
      </w:r>
    </w:p>
    <w:p>
      <w:pPr>
        <w:spacing w:after="0" w:line="2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Term Sheet dated December 7,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3.25% Notes due 2027 (the “Notes”)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$175,000,000 (the Notes will be part of the same series of notes as the $300,000,000 aggregate principal amount of Federal Realty Investment Trust’s 3.25% Notes due 2027, which were originally issued on June 23,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December 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2017 (T+10)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July 15,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 beginning on January 15,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2.250% due November 15,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99-03 / 2.353%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+97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3.323%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3.25% per year (interest on the Notes will accrue from June 23, 2017)</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99.404% of the principal amount, plus accrued interest of $2,812,152.78 from, and including, June 23, 2017 to, but excluding, the settlement date</w:t>
      </w:r>
    </w:p>
    <w:p>
      <w:pPr>
        <w:spacing w:after="0" w:line="200" w:lineRule="exact"/>
        <w:rPr>
          <w:sz w:val="20"/>
          <w:szCs w:val="20"/>
          <w:color w:val="auto"/>
        </w:rPr>
      </w:pPr>
    </w:p>
    <w:p>
      <w:pPr>
        <w:sectPr>
          <w:pgSz w:w="11900" w:h="16838" w:orient="portrait"/>
          <w:cols w:equalWidth="0" w:num="2">
            <w:col w:w="2620" w:space="720"/>
            <w:col w:w="8080"/>
          </w:cols>
          <w:pgMar w:left="240" w:top="270"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D-1</w:t>
      </w:r>
    </w:p>
    <w:p>
      <w:pPr>
        <w:sectPr>
          <w:pgSz w:w="11900" w:h="16838" w:orient="portrait"/>
          <w:cols w:equalWidth="0" w:num="1">
            <w:col w:w="11420"/>
          </w:cols>
          <w:pgMar w:left="240" w:top="270"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7"/>
          <w:szCs w:val="17"/>
          <w:color w:val="auto"/>
        </w:rPr>
        <w:t>At any time before April 15, 2027, make-whole call based on U.S. Treasury plus 20 basis points (0.20%); if redeemed on or after April 15, 2027, at 100% of the principal amount of the notes being redeemed, in each case plus accrued and unpaid interest thereon to, but excluding,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-528320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2620" w:space="720"/>
            <w:col w:w="8040"/>
          </w:cols>
          <w:pgMar w:left="240" w:top="274" w:right="279" w:bottom="1440" w:gutter="0" w:footer="0" w:header="0"/>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AY3 / US313747AY39</w:t>
      </w:r>
    </w:p>
    <w:p>
      <w:pPr>
        <w:spacing w:after="0" w:line="14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16"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237490</wp:posOffset>
            </wp:positionV>
            <wp:extent cx="1517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8040"/>
          </w:cols>
          <w:pgMar w:left="240" w:top="274" w:right="27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22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6"/>
          <w:szCs w:val="16"/>
          <w:color w:val="auto"/>
        </w:rPr>
        <w:t>Alternatively,</w:t>
      </w:r>
      <w:r>
        <w:rPr>
          <w:rFonts w:ascii="Arial" w:cs="Arial" w:eastAsia="Arial" w:hAnsi="Arial"/>
          <w:sz w:val="16"/>
          <w:szCs w:val="16"/>
          <w:b w:val="1"/>
          <w:bCs w:val="1"/>
          <w:color w:val="auto"/>
        </w:rPr>
        <w:t xml:space="preserve"> the issuer, any underwriter or any dealer participating in the offering will arrange to send you the prospectus supplement and prospectus if you request it from (i) Deutsche Bank Securities Inc. toll free at 1-800-503-4611, (ii) Goldman Sachs &amp; Co. LLC toll free at 1-866-471-2526, (iii) Merrill Lynch, Pierce, Fenner &amp; Smith Incorporated toll free at 1-800-294-1322, or (iv) Wells Fargo Securities, LLC toll free at 1-800-645-3751.</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D-2</w:t>
      </w:r>
    </w:p>
    <w:p>
      <w:pPr>
        <w:sectPr>
          <w:pgSz w:w="11900" w:h="16838" w:orient="portrait"/>
          <w:cols w:equalWidth="0" w:num="1">
            <w:col w:w="11380"/>
          </w:cols>
          <w:pgMar w:left="240" w:top="274" w:right="279" w:bottom="1440" w:gutter="0" w:footer="0" w:header="0"/>
          <w:type w:val="continuous"/>
        </w:sectPr>
      </w:pPr>
    </w:p>
    <w:bookmarkStart w:id="42" w:name="page43"/>
    <w:bookmarkEnd w:id="42"/>
    <w:p>
      <w:pPr>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2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 D-3</w:t>
      </w:r>
    </w:p>
    <w:p>
      <w:pPr>
        <w:sectPr>
          <w:pgSz w:w="11900" w:h="16838" w:orient="portrait"/>
          <w:cols w:equalWidth="0" w:num="1">
            <w:col w:w="11160"/>
          </w:cols>
          <w:pgMar w:left="240" w:top="270" w:right="4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10282</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Federal Realty Investment Trust, a Maryland real estate investment trust (the “Company”), proposes, subject to the terms and conditions stated herein and in the Underwriting Agreement, dated December 7, 2017 (the “Underwriting Agreement”), between the Company on the one hand and Deutsche Bank Securities Inc., Goldman Sachs &amp; Co. LLC, Merrill Lynch, Pierce, Fenner &amp; Smith Incorporated and Wells Fargo Securities,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4" w:name="page45"/>
    <w:bookmarkEnd w:id="4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45" w:name="page46"/>
    <w:bookmarkEnd w:id="45"/>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Vice-President-Chief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340"/>
          </w:cols>
          <w:pgMar w:left="240" w:top="274" w:right="31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OLDMAN</w:t>
      </w:r>
      <w:r>
        <w:rPr>
          <w:rFonts w:ascii="Arial" w:cs="Arial" w:eastAsia="Arial" w:hAnsi="Arial"/>
          <w:sz w:val="18"/>
          <w:szCs w:val="18"/>
          <w:color w:val="auto"/>
        </w:rPr>
        <w:t xml:space="preserve"> S</w:t>
      </w:r>
      <w:r>
        <w:rPr>
          <w:rFonts w:ascii="Arial" w:cs="Arial" w:eastAsia="Arial" w:hAnsi="Arial"/>
          <w:sz w:val="15"/>
          <w:szCs w:val="15"/>
          <w:color w:val="auto"/>
        </w:rPr>
        <w:t>ACHS</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Lourdes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Lourdes Fisher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Anguel Zaprianov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Anguel Zaprianov</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Adam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Adam Greene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Greg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Greg Wright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Carolyn Hurley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200" w:lineRule="exact"/>
        <w:rPr>
          <w:sz w:val="20"/>
          <w:szCs w:val="20"/>
          <w:color w:val="auto"/>
        </w:rPr>
      </w:pPr>
    </w:p>
    <w:p>
      <w:pPr>
        <w:spacing w:after="0" w:line="264"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5860" w:type="dxa"/>
            <w:vAlign w:val="bottom"/>
            <w:gridSpan w:val="2"/>
          </w:tcPr>
          <w:p>
            <w:pPr>
              <w:ind w:left="720"/>
              <w:spacing w:after="0"/>
              <w:rPr>
                <w:sz w:val="20"/>
                <w:szCs w:val="20"/>
                <w:color w:val="auto"/>
              </w:rPr>
            </w:pPr>
            <w:r>
              <w:rPr>
                <w:rFonts w:ascii="Arial" w:cs="Arial" w:eastAsia="Arial" w:hAnsi="Arial"/>
                <w:sz w:val="18"/>
                <w:szCs w:val="18"/>
                <w:color w:val="auto"/>
              </w:rPr>
              <w:t>SCHEDULE I</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62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Principal Amount of</w:t>
            </w:r>
          </w:p>
        </w:tc>
        <w:tc>
          <w:tcPr>
            <w:tcW w:w="0" w:type="dxa"/>
            <w:vAlign w:val="bottom"/>
          </w:tcPr>
          <w:p>
            <w:pPr>
              <w:spacing w:after="0"/>
              <w:rPr>
                <w:sz w:val="1"/>
                <w:szCs w:val="1"/>
                <w:color w:val="auto"/>
              </w:rPr>
            </w:pPr>
          </w:p>
        </w:tc>
      </w:tr>
      <w:tr>
        <w:trPr>
          <w:trHeight w:val="158"/>
        </w:trPr>
        <w:tc>
          <w:tcPr>
            <w:tcW w:w="4480" w:type="dxa"/>
            <w:vAlign w:val="bottom"/>
            <w:gridSpan w:val="2"/>
            <w:vMerge w:val="continue"/>
          </w:tcPr>
          <w:p>
            <w:pPr>
              <w:spacing w:after="0"/>
              <w:rPr>
                <w:sz w:val="13"/>
                <w:szCs w:val="13"/>
                <w:color w:val="auto"/>
              </w:rPr>
            </w:pPr>
          </w:p>
        </w:tc>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ind w:left="22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Deutsche Bank Securities Inc.</w:t>
            </w:r>
          </w:p>
        </w:tc>
        <w:tc>
          <w:tcPr>
            <w:tcW w:w="562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34,563,000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34,563,000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 Incorporated</w:t>
            </w:r>
          </w:p>
        </w:tc>
        <w:tc>
          <w:tcPr>
            <w:tcW w:w="5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34,562,000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34,562,000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5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5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5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5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562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175,000,000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w:t>
      </w:r>
    </w:p>
    <w:p>
      <w:pPr>
        <w:sectPr>
          <w:pgSz w:w="11900" w:h="16838" w:orient="portrait"/>
          <w:cols w:equalWidth="0" w:num="1">
            <w:col w:w="11420"/>
          </w:cols>
          <w:pgMar w:left="240" w:top="274" w:right="23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r>
        <w:rPr>
          <w:rFonts w:ascii="Arial" w:cs="Arial" w:eastAsia="Arial" w:hAnsi="Arial"/>
          <w:sz w:val="15"/>
          <w:szCs w:val="15"/>
          <w:color w:val="auto"/>
        </w:rPr>
        <w:t>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3.25% Notes due 2027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$175,000,000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color w:val="auto"/>
        </w:rPr>
        <w:t>99.404% of the principal amount of the Designated Securities, plus accrued interest of $2,812,152.78 from, and including June 23, 2017 to, but excluding, the Settlement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color w:val="auto"/>
        </w:rPr>
        <w:t>98.754% of the principal amount of the Designated Securities, plus accrued interest of $2,812,152.78 from, and including June 23, 2017 to, but excluding, the Settlement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70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15, 2027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3.25%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15 and July 15, beginning on January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firstLine="8"/>
        <w:spacing w:after="0" w:line="259" w:lineRule="auto"/>
        <w:tabs>
          <w:tab w:leader="none" w:pos="121"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 terms of the 3.25% Notes due 2027, other than their issue date, issue price and, if applicable, first interest payment date and initial interest accrual date will be identical to the terms of and will be part of the same series as the Company’s outstanding 3.25% Notes due 2027 ($300 million of which were originally issued on June 23, 2017). (However, for U.S. federal income tax purposes the Notes offered hereby will be deemed to have the same issue date and issue price as the existing notes).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II, Page 1</w:t>
      </w:r>
    </w:p>
    <w:p>
      <w:pPr>
        <w:sectPr>
          <w:pgSz w:w="11900" w:h="16838" w:orient="portrait"/>
          <w:cols w:equalWidth="0" w:num="1">
            <w:col w:w="11340"/>
          </w:cols>
          <w:pgMar w:left="240" w:top="274"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2:55 p.m. (Eastern time) on December 7, 2017 or such other time as agreed by the Company and the Representatives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21,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374-1071</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10282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Registration Department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Incorporated</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Sch. II, Page 2</w:t>
      </w:r>
    </w:p>
    <w:p>
      <w:pPr>
        <w:sectPr>
          <w:pgSz w:w="11900" w:h="16838" w:orient="portrait"/>
          <w:cols w:equalWidth="0" w:num="1">
            <w:col w:w="11040"/>
          </w:cols>
          <w:pgMar w:left="240" w:top="270" w:right="61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 Rockefeller Plaza, NY1-050-12-01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High Grade Transaction Management/Legal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(646) 855-8999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410-0326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Transaction Management</w:t>
      </w:r>
    </w:p>
    <w:p>
      <w:pPr>
        <w:spacing w:after="0" w:line="143" w:lineRule="exact"/>
        <w:rPr>
          <w:sz w:val="20"/>
          <w:szCs w:val="20"/>
          <w:color w:val="auto"/>
        </w:rPr>
      </w:pPr>
    </w:p>
    <w:p>
      <w:pPr>
        <w:jc w:val="right"/>
        <w:ind w:right="3979"/>
        <w:spacing w:after="0"/>
        <w:rPr>
          <w:sz w:val="20"/>
          <w:szCs w:val="20"/>
          <w:color w:val="auto"/>
        </w:rPr>
      </w:pPr>
      <w:r>
        <w:rPr>
          <w:rFonts w:ascii="Arial" w:cs="Arial" w:eastAsia="Arial" w:hAnsi="Arial"/>
          <w:sz w:val="18"/>
          <w:szCs w:val="18"/>
          <w:color w:val="auto"/>
        </w:rPr>
        <w:t>Sch. II, Page 3</w:t>
      </w:r>
    </w:p>
    <w:p>
      <w:pPr>
        <w:sectPr>
          <w:pgSz w:w="11900" w:h="16838" w:orient="portrait"/>
          <w:cols w:equalWidth="0" w:num="1">
            <w:col w:w="9759"/>
          </w:cols>
          <w:pgMar w:left="700" w:top="274"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Combined Fixed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9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ind w:left="340"/>
              <w:spacing w:after="0" w:line="201" w:lineRule="exact"/>
              <w:rPr>
                <w:sz w:val="20"/>
                <w:szCs w:val="20"/>
                <w:color w:val="auto"/>
              </w:rPr>
            </w:pPr>
            <w:r>
              <w:rPr>
                <w:rFonts w:ascii="Arial" w:cs="Arial" w:eastAsia="Arial" w:hAnsi="Arial"/>
                <w:sz w:val="18"/>
                <w:szCs w:val="18"/>
                <w:color w:val="auto"/>
              </w:rPr>
              <w:t>Income from continuing operations before income or loss from</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520"/>
              <w:spacing w:after="0"/>
              <w:rPr>
                <w:sz w:val="20"/>
                <w:szCs w:val="20"/>
                <w:color w:val="auto"/>
              </w:rPr>
            </w:pPr>
            <w:r>
              <w:rPr>
                <w:rFonts w:ascii="Arial" w:cs="Arial" w:eastAsia="Arial" w:hAnsi="Arial"/>
                <w:sz w:val="18"/>
                <w:szCs w:val="18"/>
                <w:color w:val="auto"/>
              </w:rPr>
              <w:t>equity investees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177,450</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227,487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$189,317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$165,655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$134,986</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Distributed income of equity investees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Fixed charges (excluding capitalized interest)</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75,116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96,293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112,543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105,137</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118,920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114,066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Noncontrolling interests in income of subsidiaries with no fixed</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charges</w:t>
            </w: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(3,668)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(4,691)</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(3,995)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Total earnings (A)</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319,696</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300,357</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268,882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253,198</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253,540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73,952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94,994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$ 111,625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$104,486</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$ 118,281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$ 113,336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18,022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18,122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20,971</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16,181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Portion of rents representing interest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1,299</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918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651</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639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114,315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130,665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126,108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135,101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124,171</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 (A divided by B)</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lowerLetter"/>
      <w:start w:val="2"/>
    </w:lvl>
  </w:abstractNum>
  <w:abstractNum w:abstractNumId="4">
    <w:nsid w:val="2443A858"/>
    <w:multiLevelType w:val="hybridMultilevel"/>
    <w:lvl w:ilvl="0">
      <w:lvlJc w:val="left"/>
      <w:lvlText w:val="(%1)"/>
      <w:numFmt w:val="upperLetter"/>
      <w:start w:val="5"/>
    </w:lvl>
    <w:lvl w:ilvl="1">
      <w:lvlJc w:val="left"/>
      <w:lvlText w:val="(%2)"/>
      <w:numFmt w:val="lowerLetter"/>
      <w:start w:val="3"/>
    </w:lvl>
  </w:abstractNum>
  <w:abstractNum w:abstractNumId="5">
    <w:nsid w:val="2D1D5AE9"/>
    <w:multiLevelType w:val="hybridMultilevel"/>
    <w:lvl w:ilvl="0">
      <w:lvlJc w:val="left"/>
      <w:lvlText w:val="(%1)"/>
      <w:numFmt w:val="upperLetter"/>
      <w:start w:val="1"/>
    </w:lvl>
  </w:abstractNum>
  <w:abstractNum w:abstractNumId="6">
    <w:nsid w:val="6763845E"/>
    <w:multiLevelType w:val="hybridMultilevel"/>
    <w:lvl w:ilvl="0">
      <w:lvlJc w:val="left"/>
      <w:lvlText w:val="(%1)"/>
      <w:numFmt w:val="lowerLetter"/>
      <w:start w:val="4"/>
    </w:lvl>
  </w:abstractNum>
  <w:abstractNum w:abstractNumId="7">
    <w:nsid w:val="75A2A8D4"/>
    <w:multiLevelType w:val="hybridMultilevel"/>
    <w:lvl w:ilvl="0">
      <w:lvlJc w:val="left"/>
      <w:lvlText w:val="(%1)"/>
      <w:numFmt w:val="lowerLetter"/>
      <w:start w:val="7"/>
    </w:lvl>
  </w:abstractNum>
  <w:abstractNum w:abstractNumId="8">
    <w:nsid w:val="8EDBDAB"/>
    <w:multiLevelType w:val="hybridMultilevel"/>
    <w:lvl w:ilvl="0">
      <w:lvlJc w:val="left"/>
      <w:lvlText w:val="(%1)"/>
      <w:numFmt w:val="lowerLetter"/>
      <w:start w:val="8"/>
    </w:lvl>
  </w:abstractNum>
  <w:abstractNum w:abstractNumId="9">
    <w:nsid w:val="79838CB2"/>
    <w:multiLevelType w:val="hybridMultilevel"/>
    <w:lvl w:ilvl="0">
      <w:lvlJc w:val="left"/>
      <w:lvlText w:val="(%1)"/>
      <w:numFmt w:val="lowerLetter"/>
      <w:start w:val="12"/>
    </w:lvl>
  </w:abstractNum>
  <w:abstractNum w:abstractNumId="10">
    <w:nsid w:val="4353D0CD"/>
    <w:multiLevelType w:val="hybridMultilevel"/>
    <w:lvl w:ilvl="0">
      <w:lvlJc w:val="left"/>
      <w:lvlText w:val="(%1)"/>
      <w:numFmt w:val="lowerLetter"/>
      <w:start w:val="15"/>
    </w:lvl>
  </w:abstractNum>
  <w:abstractNum w:abstractNumId="11">
    <w:nsid w:val="B03E0C6"/>
    <w:multiLevelType w:val="hybridMultilevel"/>
    <w:lvl w:ilvl="0">
      <w:lvlJc w:val="left"/>
      <w:lvlText w:val="(%1)"/>
      <w:numFmt w:val="lowerLetter"/>
      <w:start w:val="20"/>
    </w:lvl>
  </w:abstractNum>
  <w:abstractNum w:abstractNumId="12">
    <w:nsid w:val="189A769B"/>
    <w:multiLevelType w:val="hybridMultilevel"/>
    <w:lvl w:ilvl="0">
      <w:lvlJc w:val="left"/>
      <w:lvlText w:val="(%1)"/>
      <w:numFmt w:val="lowerLetter"/>
      <w:start w:val="23"/>
    </w:lvl>
  </w:abstractNum>
  <w:abstractNum w:abstractNumId="13">
    <w:nsid w:val="54E49EB4"/>
    <w:multiLevelType w:val="hybridMultilevel"/>
    <w:lvl w:ilvl="0">
      <w:lvlJc w:val="left"/>
      <w:lvlText w:val="%1"/>
      <w:numFmt w:val="decimal"/>
      <w:start w:val="1"/>
    </w:lvl>
    <w:lvl w:ilvl="1">
      <w:lvlJc w:val="left"/>
      <w:lvlText w:val="(%2)"/>
      <w:numFmt w:val="lowerLetter"/>
      <w:start w:val="27"/>
    </w:lvl>
  </w:abstractNum>
  <w:abstractNum w:abstractNumId="14">
    <w:nsid w:val="71F32454"/>
    <w:multiLevelType w:val="hybridMultilevel"/>
    <w:lvl w:ilvl="0">
      <w:lvlJc w:val="left"/>
      <w:lvlText w:val="%1."/>
      <w:numFmt w:val="decimal"/>
      <w:start w:val="3"/>
    </w:lvl>
    <w:lvl w:ilvl="1">
      <w:lvlJc w:val="left"/>
      <w:lvlText w:val="(%2)"/>
      <w:numFmt w:val="lowerLetter"/>
      <w:start w:val="1"/>
    </w:lvl>
  </w:abstractNum>
  <w:abstractNum w:abstractNumId="15">
    <w:nsid w:val="2CA88611"/>
    <w:multiLevelType w:val="hybridMultilevel"/>
    <w:lvl w:ilvl="0">
      <w:lvlJc w:val="left"/>
      <w:lvlText w:val="(%1)"/>
      <w:numFmt w:val="lowerLetter"/>
      <w:start w:val="2"/>
    </w:lvl>
  </w:abstractNum>
  <w:abstractNum w:abstractNumId="16">
    <w:nsid w:val="836C40E"/>
    <w:multiLevelType w:val="hybridMultilevel"/>
    <w:lvl w:ilvl="0">
      <w:lvlJc w:val="left"/>
      <w:lvlText w:val="(%1)"/>
      <w:numFmt w:val="lowerLetter"/>
      <w:start w:val="3"/>
    </w:lvl>
  </w:abstractNum>
  <w:abstractNum w:abstractNumId="17">
    <w:nsid w:val="2901D82"/>
    <w:multiLevelType w:val="hybridMultilevel"/>
    <w:lvl w:ilvl="0">
      <w:lvlJc w:val="left"/>
      <w:lvlText w:val="(%1)"/>
      <w:numFmt w:val="lowerLetter"/>
      <w:start w:val="7"/>
    </w:lvl>
  </w:abstractNum>
  <w:abstractNum w:abstractNumId="18">
    <w:nsid w:val="3A95F874"/>
    <w:multiLevelType w:val="hybridMultilevel"/>
    <w:lvl w:ilvl="0">
      <w:lvlJc w:val="left"/>
      <w:lvlText w:val="%1"/>
      <w:numFmt w:val="lowerLetter"/>
      <w:start w:val="1"/>
    </w:lvl>
    <w:lvl w:ilvl="1">
      <w:lvlJc w:val="left"/>
      <w:lvlText w:val="(%2)"/>
      <w:numFmt w:val="lowerLetter"/>
      <w:start w:val="8"/>
    </w:lvl>
  </w:abstractNum>
  <w:abstractNum w:abstractNumId="19">
    <w:nsid w:val="8138641"/>
    <w:multiLevelType w:val="hybridMultilevel"/>
    <w:lvl w:ilvl="0">
      <w:lvlJc w:val="left"/>
      <w:lvlText w:val="(%1)"/>
      <w:numFmt w:val="lowerLetter"/>
      <w:start w:val="35"/>
    </w:lvl>
    <w:lvl w:ilvl="1">
      <w:lvlJc w:val="left"/>
      <w:lvlText w:val="(%2)"/>
      <w:numFmt w:val="lowerLetter"/>
      <w:start w:val="10"/>
    </w:lvl>
  </w:abstractNum>
  <w:abstractNum w:abstractNumId="20">
    <w:nsid w:val="1E7FF521"/>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21">
    <w:nsid w:val="7C3DBD3D"/>
    <w:multiLevelType w:val="hybridMultilevel"/>
    <w:lvl w:ilvl="0">
      <w:lvlJc w:val="left"/>
      <w:lvlText w:val="(%1)"/>
      <w:numFmt w:val="lowerRoman"/>
      <w:start w:val="4"/>
    </w:lvl>
    <w:lvl w:ilvl="1">
      <w:lvlJc w:val="left"/>
      <w:lvlText w:val="%2."/>
      <w:numFmt w:val="decimal"/>
      <w:start w:val="7"/>
    </w:lvl>
    <w:lvl w:ilvl="2">
      <w:lvlJc w:val="left"/>
      <w:lvlText w:val="(%3)"/>
      <w:numFmt w:val="lowerLetter"/>
      <w:start w:val="1"/>
    </w:lvl>
  </w:abstractNum>
  <w:abstractNum w:abstractNumId="22">
    <w:nsid w:val="737B8DDC"/>
    <w:multiLevelType w:val="hybridMultilevel"/>
    <w:lvl w:ilvl="0">
      <w:lvlJc w:val="left"/>
      <w:lvlText w:val="(%1)"/>
      <w:numFmt w:val="lowerLetter"/>
      <w:start w:val="2"/>
    </w:lvl>
  </w:abstractNum>
  <w:abstractNum w:abstractNumId="23">
    <w:nsid w:val="6CEAF087"/>
    <w:multiLevelType w:val="hybridMultilevel"/>
    <w:lvl w:ilvl="0">
      <w:lvlJc w:val="left"/>
      <w:lvlText w:val="(%1)"/>
      <w:numFmt w:val="lowerRoman"/>
      <w:start w:val="4"/>
    </w:lvl>
    <w:lvl w:ilvl="1">
      <w:lvlJc w:val="left"/>
      <w:lvlText w:val="(%2)"/>
      <w:numFmt w:val="lowerLetter"/>
      <w:start w:val="7"/>
    </w:lvl>
  </w:abstractNum>
  <w:abstractNum w:abstractNumId="24">
    <w:nsid w:val="22221A70"/>
    <w:multiLevelType w:val="hybridMultilevel"/>
    <w:lvl w:ilvl="0">
      <w:lvlJc w:val="left"/>
      <w:lvlText w:val="%1"/>
      <w:numFmt w:val="decimal"/>
      <w:start w:val="1"/>
    </w:lvl>
    <w:lvl w:ilvl="1">
      <w:lvlJc w:val="left"/>
      <w:lvlText w:val="(%2)"/>
      <w:numFmt w:val="lowerLetter"/>
      <w:start w:val="9"/>
    </w:lvl>
  </w:abstractNum>
  <w:abstractNum w:abstractNumId="25">
    <w:nsid w:val="4516DDE9"/>
    <w:multiLevelType w:val="hybridMultilevel"/>
    <w:lvl w:ilvl="0">
      <w:lvlJc w:val="left"/>
      <w:lvlText w:val="%1."/>
      <w:numFmt w:val="decimal"/>
      <w:start w:val="8"/>
    </w:lvl>
    <w:lvl w:ilvl="1">
      <w:lvlJc w:val="left"/>
      <w:lvlText w:val="%2"/>
      <w:numFmt w:val="lowerLetter"/>
      <w:start w:val="1"/>
    </w:lvl>
  </w:abstractNum>
  <w:abstractNum w:abstractNumId="26">
    <w:nsid w:val="3006C83E"/>
    <w:multiLevelType w:val="hybridMultilevel"/>
    <w:lvl w:ilvl="0">
      <w:lvlJc w:val="left"/>
      <w:lvlText w:val="(%1)"/>
      <w:numFmt w:val="lowerLetter"/>
      <w:start w:val="2"/>
    </w:lvl>
  </w:abstractNum>
  <w:abstractNum w:abstractNumId="27">
    <w:nsid w:val="614FD4A1"/>
    <w:multiLevelType w:val="hybridMultilevel"/>
    <w:lvl w:ilvl="0">
      <w:lvlJc w:val="left"/>
      <w:lvlText w:val="%1"/>
      <w:numFmt w:val="lowerLetter"/>
      <w:start w:val="1"/>
    </w:lvl>
    <w:lvl w:ilvl="1">
      <w:lvlJc w:val="left"/>
      <w:lvlText w:val="(%2)"/>
      <w:numFmt w:val="lowerLetter"/>
      <w:start w:val="4"/>
    </w:lvl>
  </w:abstractNum>
  <w:abstractNum w:abstractNumId="28">
    <w:nsid w:val="419AC241"/>
    <w:multiLevelType w:val="hybridMultilevel"/>
    <w:lvl w:ilvl="0">
      <w:lvlJc w:val="left"/>
      <w:lvlText w:val="(%1)"/>
      <w:numFmt w:val="lowerLetter"/>
      <w:start w:val="2"/>
    </w:lvl>
    <w:lvl w:ilvl="1">
      <w:lvlJc w:val="left"/>
      <w:lvlText w:val="%2"/>
      <w:numFmt w:val="lowerLetter"/>
      <w:start w:val="1"/>
    </w:lvl>
  </w:abstractNum>
  <w:abstractNum w:abstractNumId="29">
    <w:nsid w:val="5577F8E1"/>
    <w:multiLevelType w:val="hybridMultilevel"/>
    <w:lvl w:ilvl="0">
      <w:lvlJc w:val="left"/>
      <w:lvlText w:val="(%1)"/>
      <w:numFmt w:val="lowerLetter"/>
      <w:start w:val="5"/>
    </w:lvl>
  </w:abstractNum>
  <w:abstractNum w:abstractNumId="30">
    <w:nsid w:val="440BADFC"/>
    <w:multiLevelType w:val="hybridMultilevel"/>
    <w:lvl w:ilvl="0">
      <w:lvlJc w:val="left"/>
      <w:lvlText w:val="%1."/>
      <w:numFmt w:val="decimal"/>
      <w:start w:val="9"/>
    </w:lvl>
  </w:abstractNum>
  <w:abstractNum w:abstractNumId="31">
    <w:nsid w:val="5072367"/>
    <w:multiLevelType w:val="hybridMultilevel"/>
    <w:lvl w:ilvl="0">
      <w:lvlJc w:val="left"/>
      <w:lvlText w:val="(%1)"/>
      <w:numFmt w:val="lowerLetter"/>
      <w:start w:val="2"/>
    </w:lvl>
  </w:abstractNum>
  <w:abstractNum w:abstractNumId="32">
    <w:nsid w:val="3804823E"/>
    <w:multiLevelType w:val="hybridMultilevel"/>
    <w:lvl w:ilvl="0">
      <w:lvlJc w:val="left"/>
      <w:lvlText w:val="%1"/>
      <w:numFmt w:val="lowerLetter"/>
      <w:start w:val="1"/>
    </w:lvl>
    <w:lvl w:ilvl="1">
      <w:lvlJc w:val="left"/>
      <w:lvlText w:val="(%2)"/>
      <w:numFmt w:val="lowerLetter"/>
      <w:start w:val="3"/>
    </w:lvl>
  </w:abstractNum>
  <w:abstractNum w:abstractNumId="33">
    <w:nsid w:val="77465F01"/>
    <w:multiLevelType w:val="hybridMultilevel"/>
    <w:lvl w:ilvl="0">
      <w:lvlJc w:val="left"/>
      <w:lvlText w:val="(%1)"/>
      <w:numFmt w:val="lowerLetter"/>
      <w:start w:val="2"/>
    </w:lvl>
    <w:lvl w:ilvl="1">
      <w:lvlJc w:val="left"/>
      <w:lvlText w:val="%2"/>
      <w:numFmt w:val="lowerLetter"/>
      <w:start w:val="1"/>
    </w:lvl>
  </w:abstractNum>
  <w:abstractNum w:abstractNumId="34">
    <w:nsid w:val="7724C67E"/>
    <w:multiLevelType w:val="hybridMultilevel"/>
    <w:lvl w:ilvl="0">
      <w:lvlJc w:val="left"/>
      <w:lvlText w:val="%1."/>
      <w:numFmt w:val="decimal"/>
      <w:start w:val="10"/>
    </w:lvl>
  </w:abstractNum>
  <w:abstractNum w:abstractNumId="35">
    <w:nsid w:val="5C482A97"/>
    <w:multiLevelType w:val="hybridMultilevel"/>
    <w:lvl w:ilvl="0">
      <w:lvlJc w:val="left"/>
      <w:lvlText w:val="%1."/>
      <w:numFmt w:val="decimal"/>
      <w:start w:val="13"/>
    </w:lvl>
  </w:abstractNum>
  <w:abstractNum w:abstractNumId="36">
    <w:nsid w:val="2463B9EA"/>
    <w:multiLevelType w:val="hybridMultilevel"/>
    <w:lvl w:ilvl="0">
      <w:lvlJc w:val="left"/>
      <w:lvlText w:val="1"/>
      <w:numFmt w:val="bullet"/>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2019-12-29T02:22:43Z</dcterms:created>
  <dcterms:modified xsi:type="dcterms:W3CDTF">2019-12-29T02:22:43Z</dcterms:modified>
</cp:coreProperties>
</file>