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333-160009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940" w:type="dxa"/>
            <w:vAlign w:val="bottom"/>
            <w:tcBorders>
              <w:top w:val="single" w:sz="8" w:color="auto"/>
              <w:bottom w:val="single" w:sz="8" w:color="auto"/>
            </w:tcBorders>
          </w:tcPr>
          <w:p>
            <w:pPr>
              <w:spacing w:after="0"/>
              <w:rPr>
                <w:sz w:val="3"/>
                <w:szCs w:val="3"/>
                <w:color w:val="auto"/>
              </w:rPr>
            </w:pPr>
          </w:p>
        </w:tc>
        <w:tc>
          <w:tcPr>
            <w:tcW w:w="1920" w:type="dxa"/>
            <w:vAlign w:val="bottom"/>
            <w:tcBorders>
              <w:top w:val="single" w:sz="8" w:color="auto"/>
              <w:bottom w:val="single" w:sz="8" w:color="auto"/>
            </w:tcBorders>
          </w:tcPr>
          <w:p>
            <w:pPr>
              <w:spacing w:after="0"/>
              <w:rPr>
                <w:sz w:val="3"/>
                <w:szCs w:val="3"/>
                <w:color w:val="auto"/>
              </w:rPr>
            </w:pPr>
          </w:p>
        </w:tc>
        <w:tc>
          <w:tcPr>
            <w:tcW w:w="1480" w:type="dxa"/>
            <w:vAlign w:val="bottom"/>
            <w:tcBorders>
              <w:top w:val="single" w:sz="8" w:color="auto"/>
              <w:bottom w:val="single" w:sz="8" w:color="auto"/>
            </w:tcBorders>
          </w:tcPr>
          <w:p>
            <w:pPr>
              <w:spacing w:after="0"/>
              <w:rPr>
                <w:sz w:val="3"/>
                <w:szCs w:val="3"/>
                <w:color w:val="auto"/>
              </w:rPr>
            </w:pPr>
          </w:p>
        </w:tc>
        <w:tc>
          <w:tcPr>
            <w:tcW w:w="1620" w:type="dxa"/>
            <w:vAlign w:val="bottom"/>
            <w:tcBorders>
              <w:top w:val="single" w:sz="8" w:color="auto"/>
              <w:bottom w:val="single" w:sz="8" w:color="auto"/>
            </w:tcBorders>
          </w:tcPr>
          <w:p>
            <w:pPr>
              <w:spacing w:after="0"/>
              <w:rPr>
                <w:sz w:val="3"/>
                <w:szCs w:val="3"/>
                <w:color w:val="auto"/>
              </w:rPr>
            </w:pPr>
          </w:p>
        </w:tc>
        <w:tc>
          <w:tcPr>
            <w:tcW w:w="14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48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83"/>
              </w:rPr>
              <w:t>Proposed</w:t>
            </w:r>
          </w:p>
        </w:tc>
        <w:tc>
          <w:tcPr>
            <w:tcW w:w="162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83"/>
              </w:rPr>
              <w:t>Proposed</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vMerge w:val="restart"/>
          </w:tcPr>
          <w:p>
            <w:pPr>
              <w:jc w:val="center"/>
              <w:ind w:left="146"/>
              <w:spacing w:after="0"/>
              <w:rPr>
                <w:sz w:val="20"/>
                <w:szCs w:val="20"/>
                <w:color w:val="auto"/>
              </w:rPr>
            </w:pPr>
            <w:r>
              <w:rPr>
                <w:rFonts w:ascii="Arial" w:cs="Arial" w:eastAsia="Arial" w:hAnsi="Arial"/>
                <w:sz w:val="14"/>
                <w:szCs w:val="14"/>
                <w:b w:val="1"/>
                <w:bCs w:val="1"/>
                <w:color w:val="auto"/>
                <w:w w:val="87"/>
              </w:rPr>
              <w:t>Title of Each Class of</w:t>
            </w:r>
          </w:p>
        </w:tc>
        <w:tc>
          <w:tcPr>
            <w:tcW w:w="1920" w:type="dxa"/>
            <w:vAlign w:val="bottom"/>
          </w:tcPr>
          <w:p>
            <w:pPr>
              <w:jc w:val="center"/>
              <w:ind w:left="467"/>
              <w:spacing w:after="0" w:line="149" w:lineRule="exact"/>
              <w:rPr>
                <w:sz w:val="20"/>
                <w:szCs w:val="20"/>
                <w:color w:val="auto"/>
              </w:rPr>
            </w:pPr>
            <w:r>
              <w:rPr>
                <w:rFonts w:ascii="Arial" w:cs="Arial" w:eastAsia="Arial" w:hAnsi="Arial"/>
                <w:sz w:val="14"/>
                <w:szCs w:val="14"/>
                <w:b w:val="1"/>
                <w:bCs w:val="1"/>
                <w:color w:val="auto"/>
                <w:w w:val="86"/>
              </w:rPr>
              <w:t>Amount</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940" w:type="dxa"/>
            <w:vAlign w:val="bottom"/>
            <w:vMerge w:val="continue"/>
          </w:tcPr>
          <w:p>
            <w:pPr>
              <w:spacing w:after="0"/>
              <w:rPr>
                <w:sz w:val="11"/>
                <w:szCs w:val="11"/>
                <w:color w:val="auto"/>
              </w:rPr>
            </w:pPr>
          </w:p>
        </w:tc>
        <w:tc>
          <w:tcPr>
            <w:tcW w:w="1920" w:type="dxa"/>
            <w:vAlign w:val="bottom"/>
          </w:tcPr>
          <w:p>
            <w:pPr>
              <w:jc w:val="center"/>
              <w:ind w:left="487"/>
              <w:spacing w:after="0" w:line="135" w:lineRule="exact"/>
              <w:rPr>
                <w:sz w:val="20"/>
                <w:szCs w:val="20"/>
                <w:color w:val="auto"/>
              </w:rPr>
            </w:pPr>
            <w:r>
              <w:rPr>
                <w:rFonts w:ascii="Arial" w:cs="Arial" w:eastAsia="Arial" w:hAnsi="Arial"/>
                <w:sz w:val="14"/>
                <w:szCs w:val="14"/>
                <w:b w:val="1"/>
                <w:bCs w:val="1"/>
                <w:color w:val="auto"/>
                <w:w w:val="83"/>
              </w:rPr>
              <w:t>to be</w:t>
            </w:r>
          </w:p>
        </w:tc>
        <w:tc>
          <w:tcPr>
            <w:tcW w:w="1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Offering Price</w:t>
            </w:r>
          </w:p>
        </w:tc>
        <w:tc>
          <w:tcPr>
            <w:tcW w:w="1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Aggregate</w:t>
            </w:r>
          </w:p>
        </w:tc>
        <w:tc>
          <w:tcPr>
            <w:tcW w:w="1440" w:type="dxa"/>
            <w:vAlign w:val="bottom"/>
          </w:tcPr>
          <w:p>
            <w:pPr>
              <w:jc w:val="center"/>
              <w:ind w:left="266"/>
              <w:spacing w:after="0" w:line="135" w:lineRule="exact"/>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940" w:type="dxa"/>
            <w:vAlign w:val="bottom"/>
            <w:tcBorders>
              <w:bottom w:val="single" w:sz="8" w:color="auto"/>
            </w:tcBorders>
          </w:tcPr>
          <w:p>
            <w:pPr>
              <w:jc w:val="center"/>
              <w:ind w:left="146"/>
              <w:spacing w:after="0"/>
              <w:rPr>
                <w:sz w:val="20"/>
                <w:szCs w:val="20"/>
                <w:color w:val="auto"/>
              </w:rPr>
            </w:pPr>
            <w:r>
              <w:rPr>
                <w:rFonts w:ascii="Arial" w:cs="Arial" w:eastAsia="Arial" w:hAnsi="Arial"/>
                <w:sz w:val="14"/>
                <w:szCs w:val="14"/>
                <w:b w:val="1"/>
                <w:bCs w:val="1"/>
                <w:color w:val="auto"/>
                <w:w w:val="84"/>
              </w:rPr>
              <w:t>Securities to be Registered</w:t>
            </w:r>
          </w:p>
        </w:tc>
        <w:tc>
          <w:tcPr>
            <w:tcW w:w="1920" w:type="dxa"/>
            <w:vAlign w:val="bottom"/>
            <w:tcBorders>
              <w:bottom w:val="single" w:sz="8" w:color="auto"/>
            </w:tcBorders>
          </w:tcPr>
          <w:p>
            <w:pPr>
              <w:jc w:val="center"/>
              <w:ind w:left="467"/>
              <w:spacing w:after="0"/>
              <w:rPr>
                <w:sz w:val="20"/>
                <w:szCs w:val="20"/>
                <w:color w:val="auto"/>
              </w:rPr>
            </w:pPr>
            <w:r>
              <w:rPr>
                <w:rFonts w:ascii="Arial" w:cs="Arial" w:eastAsia="Arial" w:hAnsi="Arial"/>
                <w:sz w:val="14"/>
                <w:szCs w:val="14"/>
                <w:b w:val="1"/>
                <w:bCs w:val="1"/>
                <w:color w:val="auto"/>
                <w:w w:val="85"/>
              </w:rPr>
              <w:t>Registered</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 Unit</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Offering Price</w:t>
            </w:r>
          </w:p>
        </w:tc>
        <w:tc>
          <w:tcPr>
            <w:tcW w:w="1440" w:type="dxa"/>
            <w:vAlign w:val="bottom"/>
            <w:tcBorders>
              <w:bottom w:val="single" w:sz="8" w:color="auto"/>
            </w:tcBorders>
          </w:tcPr>
          <w:p>
            <w:pPr>
              <w:jc w:val="center"/>
              <w:ind w:left="266"/>
              <w:spacing w:after="0"/>
              <w:rPr>
                <w:sz w:val="20"/>
                <w:szCs w:val="20"/>
                <w:color w:val="auto"/>
              </w:rPr>
            </w:pPr>
            <w:r>
              <w:rPr>
                <w:rFonts w:ascii="Arial" w:cs="Arial" w:eastAsia="Arial" w:hAnsi="Arial"/>
                <w:sz w:val="14"/>
                <w:szCs w:val="14"/>
                <w:b w:val="1"/>
                <w:bCs w:val="1"/>
                <w:color w:val="auto"/>
                <w:w w:val="86"/>
              </w:rPr>
              <w:t>Registration Fee(1)</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Common Shares of Beneficial Interest, $0.01 par value(2)</w:t>
            </w:r>
          </w:p>
        </w:tc>
        <w:tc>
          <w:tcPr>
            <w:tcW w:w="1920" w:type="dxa"/>
            <w:vAlign w:val="bottom"/>
            <w:tcBorders>
              <w:bottom w:val="single" w:sz="8" w:color="auto"/>
            </w:tcBorders>
          </w:tcPr>
          <w:p>
            <w:pPr>
              <w:jc w:val="center"/>
              <w:ind w:left="467"/>
              <w:spacing w:after="0"/>
              <w:rPr>
                <w:sz w:val="20"/>
                <w:szCs w:val="20"/>
                <w:color w:val="auto"/>
              </w:rPr>
            </w:pPr>
            <w:r>
              <w:rPr>
                <w:rFonts w:ascii="Arial" w:cs="Arial" w:eastAsia="Arial" w:hAnsi="Arial"/>
                <w:sz w:val="18"/>
                <w:szCs w:val="18"/>
                <w:color w:val="auto"/>
                <w:w w:val="87"/>
              </w:rPr>
              <w:t>1,995,250</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$57.50</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$114,726,875</w:t>
            </w:r>
          </w:p>
        </w:tc>
        <w:tc>
          <w:tcPr>
            <w:tcW w:w="1440" w:type="dxa"/>
            <w:vAlign w:val="bottom"/>
            <w:tcBorders>
              <w:bottom w:val="single" w:sz="8" w:color="auto"/>
            </w:tcBorders>
          </w:tcPr>
          <w:p>
            <w:pPr>
              <w:jc w:val="center"/>
              <w:ind w:left="246"/>
              <w:spacing w:after="0"/>
              <w:rPr>
                <w:sz w:val="20"/>
                <w:szCs w:val="20"/>
                <w:color w:val="auto"/>
              </w:rPr>
            </w:pPr>
            <w:r>
              <w:rPr>
                <w:rFonts w:ascii="Arial" w:cs="Arial" w:eastAsia="Arial" w:hAnsi="Arial"/>
                <w:sz w:val="18"/>
                <w:szCs w:val="18"/>
                <w:color w:val="auto"/>
                <w:w w:val="87"/>
              </w:rPr>
              <w:t>$6,402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4"/>
          <w:szCs w:val="24"/>
          <w:color w:val="auto"/>
        </w:rPr>
      </w:pPr>
    </w:p>
    <w:p>
      <w:pPr>
        <w:ind w:left="460" w:right="480" w:hanging="452"/>
        <w:spacing w:after="0" w:line="25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filing fee is calculated in accordance with Rule 457(r) under the Securities Act of 1933, as amended, and relates to the Registration Statement on Form S-3 (No. 333-160009) filed on June 16, 2009.</w:t>
      </w: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associated rights to purchase common shares of beneficial interest of the registrant.</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PROSPECTUS DATED JUNE 16, 2009)</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1,735,000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Common Shares of Beneficial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178435</wp:posOffset>
            </wp:positionV>
            <wp:extent cx="13804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right="480" w:firstLine="685"/>
        <w:spacing w:after="0" w:line="332" w:lineRule="auto"/>
        <w:rPr>
          <w:sz w:val="20"/>
          <w:szCs w:val="20"/>
          <w:color w:val="auto"/>
        </w:rPr>
      </w:pPr>
      <w:r>
        <w:rPr>
          <w:rFonts w:ascii="Arial" w:cs="Arial" w:eastAsia="Arial" w:hAnsi="Arial"/>
          <w:sz w:val="16"/>
          <w:szCs w:val="16"/>
          <w:color w:val="auto"/>
        </w:rPr>
        <w:t>We are offering 1,735,000 of our common shares of beneficial interest. Our common shares are listed on the New York Stock Exchange under the symbol “FRT.” On August 10, 2009, the last reported sale price of our common shares on the New York Stock Exchange was $60.12 per share.</w:t>
      </w:r>
    </w:p>
    <w:p>
      <w:pPr>
        <w:spacing w:after="0" w:line="52" w:lineRule="exact"/>
        <w:rPr>
          <w:sz w:val="20"/>
          <w:szCs w:val="20"/>
          <w:color w:val="auto"/>
        </w:rPr>
      </w:pPr>
    </w:p>
    <w:p>
      <w:pPr>
        <w:ind w:right="400" w:firstLine="685"/>
        <w:spacing w:after="0" w:line="258" w:lineRule="auto"/>
        <w:rPr>
          <w:rFonts w:ascii="Arial" w:cs="Arial" w:eastAsia="Arial" w:hAnsi="Arial"/>
          <w:sz w:val="24"/>
          <w:szCs w:val="24"/>
          <w:b w:val="1"/>
          <w:bCs w:val="1"/>
          <w:color w:val="auto"/>
        </w:rPr>
      </w:pPr>
      <w:r>
        <w:rPr>
          <w:rFonts w:ascii="Arial" w:cs="Arial" w:eastAsia="Arial" w:hAnsi="Arial"/>
          <w:sz w:val="24"/>
          <w:szCs w:val="24"/>
          <w:b w:val="1"/>
          <w:bCs w:val="1"/>
          <w:color w:val="auto"/>
        </w:rPr>
        <w:t>Investing in our common shares involves risks. See “</w:t>
      </w:r>
      <w:hyperlink w:anchor="page18">
        <w:r>
          <w:rPr>
            <w:rFonts w:ascii="Arial" w:cs="Arial" w:eastAsia="Arial" w:hAnsi="Arial"/>
            <w:sz w:val="24"/>
            <w:szCs w:val="24"/>
            <w:b w:val="1"/>
            <w:bCs w:val="1"/>
            <w:u w:val="single" w:color="auto"/>
            <w:color w:val="0000EE"/>
          </w:rPr>
          <w:t>Risk Factors</w:t>
        </w:r>
      </w:hyperlink>
      <w:r>
        <w:rPr>
          <w:rFonts w:ascii="Arial" w:cs="Arial" w:eastAsia="Arial" w:hAnsi="Arial"/>
          <w:sz w:val="24"/>
          <w:szCs w:val="24"/>
          <w:b w:val="1"/>
          <w:bCs w:val="1"/>
          <w:color w:val="auto"/>
        </w:rPr>
        <w:t>” beginning on page 2 of the accompanying prospectus and in our Annual Report on Form 10-K for the year ended December 31, 2008, filed with the Securities and Exchange Commission, or the SEC, on February 26, 2009, as amended on June 25,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130810</wp:posOffset>
            </wp:positionV>
            <wp:extent cx="1380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36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ind w:right="32"/>
              <w:spacing w:after="0"/>
              <w:rPr>
                <w:sz w:val="20"/>
                <w:szCs w:val="20"/>
                <w:color w:val="auto"/>
              </w:rPr>
            </w:pPr>
            <w:r>
              <w:rPr>
                <w:rFonts w:ascii="Arial" w:cs="Arial" w:eastAsia="Arial" w:hAnsi="Arial"/>
                <w:sz w:val="18"/>
                <w:szCs w:val="18"/>
                <w:b w:val="1"/>
                <w:bCs w:val="1"/>
                <w:color w:val="auto"/>
                <w:w w:val="96"/>
              </w:rPr>
              <w:t>Per</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8"/>
        </w:trPr>
        <w:tc>
          <w:tcPr>
            <w:tcW w:w="50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Share</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Total</w:t>
            </w:r>
          </w:p>
        </w:tc>
      </w:tr>
      <w:tr>
        <w:trPr>
          <w:trHeight w:val="203"/>
        </w:trPr>
        <w:tc>
          <w:tcPr>
            <w:tcW w:w="5020" w:type="dxa"/>
            <w:vAlign w:val="bottom"/>
          </w:tcPr>
          <w:p>
            <w:pPr>
              <w:spacing w:after="0" w:line="203" w:lineRule="exact"/>
              <w:rPr>
                <w:sz w:val="20"/>
                <w:szCs w:val="20"/>
                <w:color w:val="auto"/>
              </w:rPr>
            </w:pPr>
            <w:r>
              <w:rPr>
                <w:rFonts w:ascii="Arial" w:cs="Arial" w:eastAsia="Arial" w:hAnsi="Arial"/>
                <w:sz w:val="18"/>
                <w:szCs w:val="18"/>
                <w:color w:val="auto"/>
              </w:rPr>
              <w:t>Public offering price</w:t>
            </w:r>
          </w:p>
        </w:tc>
        <w:tc>
          <w:tcPr>
            <w:tcW w:w="272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line="203" w:lineRule="exact"/>
              <w:rPr>
                <w:sz w:val="20"/>
                <w:szCs w:val="20"/>
                <w:color w:val="auto"/>
              </w:rPr>
            </w:pPr>
            <w:r>
              <w:rPr>
                <w:rFonts w:ascii="Arial" w:cs="Arial" w:eastAsia="Arial" w:hAnsi="Arial"/>
                <w:sz w:val="18"/>
                <w:szCs w:val="18"/>
                <w:color w:val="auto"/>
                <w:w w:val="88"/>
              </w:rPr>
              <w:t>57.50</w:t>
            </w:r>
          </w:p>
        </w:tc>
        <w:tc>
          <w:tcPr>
            <w:tcW w:w="3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w w:val="88"/>
              </w:rPr>
              <w:t>99,762,500</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Underwriting discount</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2.30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3,990,500</w:t>
            </w:r>
          </w:p>
        </w:tc>
      </w:tr>
      <w:tr>
        <w:trPr>
          <w:trHeight w:val="222"/>
        </w:trPr>
        <w:tc>
          <w:tcPr>
            <w:tcW w:w="5020" w:type="dxa"/>
            <w:vAlign w:val="bottom"/>
          </w:tcPr>
          <w:p>
            <w:pPr>
              <w:spacing w:after="0"/>
              <w:rPr>
                <w:sz w:val="20"/>
                <w:szCs w:val="20"/>
                <w:color w:val="auto"/>
              </w:rPr>
            </w:pPr>
            <w:r>
              <w:rPr>
                <w:rFonts w:ascii="Arial" w:cs="Arial" w:eastAsia="Arial" w:hAnsi="Arial"/>
                <w:sz w:val="18"/>
                <w:szCs w:val="18"/>
                <w:color w:val="auto"/>
              </w:rPr>
              <w:t>Proceeds, before expenses, to us</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55.20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95,772,000</w:t>
            </w:r>
          </w:p>
        </w:tc>
      </w:tr>
    </w:tbl>
    <w:p>
      <w:pPr>
        <w:spacing w:after="0" w:line="14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Delivery of the common shares will be made on or about August 14, 2009.</w:t>
      </w:r>
    </w:p>
    <w:p>
      <w:pPr>
        <w:spacing w:after="0" w:line="158" w:lineRule="exact"/>
        <w:rPr>
          <w:sz w:val="20"/>
          <w:szCs w:val="20"/>
          <w:color w:val="auto"/>
        </w:rPr>
      </w:pPr>
    </w:p>
    <w:p>
      <w:pPr>
        <w:ind w:right="120" w:firstLine="685"/>
        <w:spacing w:after="0" w:line="268" w:lineRule="auto"/>
        <w:rPr>
          <w:sz w:val="20"/>
          <w:szCs w:val="20"/>
          <w:color w:val="auto"/>
        </w:rPr>
      </w:pPr>
      <w:r>
        <w:rPr>
          <w:rFonts w:ascii="Arial" w:cs="Arial" w:eastAsia="Arial" w:hAnsi="Arial"/>
          <w:sz w:val="18"/>
          <w:szCs w:val="18"/>
          <w:color w:val="auto"/>
        </w:rPr>
        <w:t>The underwriters may also purchase up to an additional 260,250 shares at the public offering price, less the underwriting discount, within 30 days from the date of this prospectus supplement to cover over-allotments, if any.</w:t>
      </w:r>
    </w:p>
    <w:p>
      <w:pPr>
        <w:spacing w:after="0" w:line="112" w:lineRule="exact"/>
        <w:rPr>
          <w:sz w:val="20"/>
          <w:szCs w:val="20"/>
          <w:color w:val="auto"/>
        </w:rPr>
      </w:pPr>
    </w:p>
    <w:p>
      <w:pPr>
        <w:ind w:right="800" w:firstLine="685"/>
        <w:spacing w:after="0" w:line="339" w:lineRule="auto"/>
        <w:rPr>
          <w:sz w:val="20"/>
          <w:szCs w:val="20"/>
          <w:color w:val="auto"/>
        </w:rPr>
      </w:pPr>
      <w:r>
        <w:rPr>
          <w:rFonts w:ascii="Arial" w:cs="Arial" w:eastAsia="Arial" w:hAnsi="Arial"/>
          <w:sz w:val="16"/>
          <w:szCs w:val="16"/>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99060</wp:posOffset>
            </wp:positionV>
            <wp:extent cx="13804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ectPr>
          <w:pgSz w:w="11900" w:h="16838" w:orient="portrait"/>
          <w:cols w:equalWidth="0" w:num="1">
            <w:col w:w="11420"/>
          </w:cols>
          <w:pgMar w:left="240" w:top="459" w:right="239" w:bottom="1440" w:gutter="0" w:footer="0" w:header="0"/>
        </w:sectPr>
      </w:pPr>
    </w:p>
    <w:p>
      <w:pPr>
        <w:spacing w:after="0" w:line="125"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Wells Fargo Securities</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J.P. Morgan</w:t>
      </w:r>
    </w:p>
    <w:p>
      <w:pPr>
        <w:spacing w:after="0" w:line="200" w:lineRule="exact"/>
        <w:rPr>
          <w:sz w:val="20"/>
          <w:szCs w:val="20"/>
          <w:color w:val="auto"/>
        </w:rPr>
      </w:pPr>
    </w:p>
    <w:p>
      <w:pPr>
        <w:sectPr>
          <w:pgSz w:w="11900" w:h="16838" w:orient="portrait"/>
          <w:cols w:equalWidth="0" w:num="2">
            <w:col w:w="9020" w:space="720"/>
            <w:col w:w="1680"/>
          </w:cols>
          <w:pgMar w:left="240" w:top="459" w:right="239" w:bottom="1440" w:gutter="0" w:footer="0" w:header="0"/>
          <w:type w:val="continuous"/>
        </w:sectPr>
      </w:pP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Co-Lead Manager</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RBC Capital Markets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Co-Managers</w:t>
      </w:r>
    </w:p>
    <w:p>
      <w:pPr>
        <w:sectPr>
          <w:pgSz w:w="11900" w:h="16838" w:orient="portrait"/>
          <w:cols w:equalWidth="0" w:num="1">
            <w:col w:w="11420"/>
          </w:cols>
          <w:pgMar w:left="240" w:top="459" w:right="239" w:bottom="1440" w:gutter="0" w:footer="0" w:header="0"/>
          <w:type w:val="continuous"/>
        </w:sectPr>
      </w:pP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Raymond James</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jc w:val="center"/>
        <w:ind w:right="380"/>
        <w:spacing w:after="0"/>
        <w:rPr>
          <w:sz w:val="20"/>
          <w:szCs w:val="20"/>
          <w:color w:val="auto"/>
        </w:rPr>
      </w:pPr>
      <w:r>
        <w:rPr>
          <w:rFonts w:ascii="Arial" w:cs="Arial" w:eastAsia="Arial" w:hAnsi="Arial"/>
          <w:sz w:val="16"/>
          <w:szCs w:val="16"/>
          <w:b w:val="1"/>
          <w:bCs w:val="1"/>
          <w:color w:val="auto"/>
        </w:rPr>
        <w:t>Robert W. Baird &amp; Co.</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Janney Montgomery Scott</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Morgan Keegan &amp; Company, Inc.</w:t>
      </w:r>
    </w:p>
    <w:p>
      <w:pPr>
        <w:spacing w:after="0" w:line="181" w:lineRule="exact"/>
        <w:rPr>
          <w:sz w:val="20"/>
          <w:szCs w:val="20"/>
          <w:color w:val="auto"/>
        </w:rPr>
      </w:pPr>
    </w:p>
    <w:p>
      <w:pPr>
        <w:sectPr>
          <w:pgSz w:w="11900" w:h="16838" w:orient="portrait"/>
          <w:cols w:equalWidth="0" w:num="4">
            <w:col w:w="1680" w:space="720"/>
            <w:col w:w="2120" w:space="720"/>
            <w:col w:w="2920" w:space="720"/>
            <w:col w:w="254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color w:val="auto"/>
        </w:rPr>
        <w:t>The date of this prospectus supplement is August 11, 2009.</w:t>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TABLE OF CONTENTS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560" w:type="dxa"/>
            <w:vAlign w:val="bottom"/>
            <w:gridSpan w:val="2"/>
          </w:tcPr>
          <w:p>
            <w:pPr>
              <w:jc w:val="center"/>
              <w:ind w:right="4120"/>
              <w:spacing w:after="0"/>
              <w:rPr>
                <w:sz w:val="20"/>
                <w:szCs w:val="20"/>
                <w:color w:val="auto"/>
              </w:rPr>
            </w:pPr>
            <w:r>
              <w:rPr>
                <w:rFonts w:ascii="Arial" w:cs="Arial" w:eastAsia="Arial" w:hAnsi="Arial"/>
                <w:sz w:val="18"/>
                <w:szCs w:val="18"/>
                <w:b w:val="1"/>
                <w:bCs w:val="1"/>
                <w:color w:val="auto"/>
                <w:w w:val="85"/>
              </w:rPr>
              <w:t>Prospectus Supplement</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65"/>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8"/>
              </w:rPr>
              <w:t>Page</w:t>
            </w:r>
          </w:p>
        </w:tc>
      </w:tr>
      <w:tr>
        <w:trPr>
          <w:trHeight w:val="171"/>
        </w:trPr>
        <w:tc>
          <w:tcPr>
            <w:tcW w:w="2440" w:type="dxa"/>
            <w:vAlign w:val="bottom"/>
            <w:tcBorders>
              <w:bottom w:val="single" w:sz="8" w:color="0000EE"/>
            </w:tcBorders>
            <w:gridSpan w:val="11"/>
          </w:tcPr>
          <w:p>
            <w:pPr>
              <w:spacing w:after="0" w:line="171"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About this Prospectus Supplement</w:t>
              </w:r>
            </w:hyperlink>
          </w:p>
        </w:tc>
        <w:tc>
          <w:tcPr>
            <w:tcW w:w="8620" w:type="dxa"/>
            <w:vAlign w:val="bottom"/>
            <w:gridSpan w:val="6"/>
          </w:tcPr>
          <w:p>
            <w:pPr>
              <w:spacing w:after="0"/>
              <w:rPr>
                <w:sz w:val="14"/>
                <w:szCs w:val="14"/>
                <w:color w:val="auto"/>
              </w:rPr>
            </w:pPr>
          </w:p>
        </w:tc>
        <w:tc>
          <w:tcPr>
            <w:tcW w:w="360" w:type="dxa"/>
            <w:vAlign w:val="bottom"/>
            <w:tcBorders>
              <w:top w:val="single" w:sz="8" w:color="auto"/>
            </w:tcBorders>
          </w:tcPr>
          <w:p>
            <w:pPr>
              <w:jc w:val="right"/>
              <w:spacing w:after="0" w:line="171" w:lineRule="exact"/>
              <w:rPr>
                <w:sz w:val="20"/>
                <w:szCs w:val="20"/>
                <w:color w:val="auto"/>
              </w:rPr>
            </w:pPr>
            <w:r>
              <w:rPr>
                <w:rFonts w:ascii="Arial" w:cs="Arial" w:eastAsia="Arial" w:hAnsi="Arial"/>
                <w:sz w:val="18"/>
                <w:szCs w:val="18"/>
                <w:color w:val="auto"/>
              </w:rPr>
              <w:t>ii</w:t>
            </w:r>
          </w:p>
        </w:tc>
        <w:tc>
          <w:tcPr>
            <w:tcW w:w="20" w:type="dxa"/>
            <w:vAlign w:val="bottom"/>
          </w:tcPr>
          <w:p>
            <w:pPr>
              <w:spacing w:after="0"/>
              <w:rPr>
                <w:sz w:val="14"/>
                <w:szCs w:val="14"/>
                <w:color w:val="auto"/>
              </w:rPr>
            </w:pPr>
          </w:p>
        </w:tc>
      </w:tr>
      <w:tr>
        <w:trPr>
          <w:trHeight w:val="196"/>
        </w:trPr>
        <w:tc>
          <w:tcPr>
            <w:tcW w:w="1106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Cautionary Statement Concerning Forward-Looking Statements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iii</w:t>
            </w:r>
          </w:p>
        </w:tc>
      </w:tr>
      <w:tr>
        <w:trPr>
          <w:trHeight w:val="196"/>
        </w:trPr>
        <w:tc>
          <w:tcPr>
            <w:tcW w:w="23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6"/>
              </w:rPr>
            </w:pPr>
            <w:hyperlink w:anchor="page6">
              <w:r>
                <w:rPr>
                  <w:rFonts w:ascii="Arial" w:cs="Arial" w:eastAsia="Arial" w:hAnsi="Arial"/>
                  <w:sz w:val="18"/>
                  <w:szCs w:val="18"/>
                  <w:color w:val="0000EE"/>
                  <w:w w:val="86"/>
                </w:rPr>
                <w:t>Prospectus Supplement Summary</w:t>
              </w:r>
            </w:hyperlink>
          </w:p>
        </w:tc>
        <w:tc>
          <w:tcPr>
            <w:tcW w:w="2120" w:type="dxa"/>
            <w:vAlign w:val="bottom"/>
            <w:tcBorders>
              <w:top w:val="single" w:sz="8" w:color="0000EE"/>
            </w:tcBorders>
            <w:gridSpan w:val="5"/>
          </w:tcPr>
          <w:p>
            <w:pPr>
              <w:spacing w:after="0"/>
              <w:rPr>
                <w:sz w:val="17"/>
                <w:szCs w:val="17"/>
                <w:color w:val="auto"/>
              </w:rPr>
            </w:pPr>
          </w:p>
        </w:tc>
        <w:tc>
          <w:tcPr>
            <w:tcW w:w="6560" w:type="dxa"/>
            <w:vAlign w:val="bottom"/>
            <w:gridSpan w:val="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w:t>
            </w:r>
          </w:p>
        </w:tc>
      </w:tr>
      <w:tr>
        <w:trPr>
          <w:trHeight w:val="196"/>
        </w:trPr>
        <w:tc>
          <w:tcPr>
            <w:tcW w:w="11060" w:type="dxa"/>
            <w:vAlign w:val="bottom"/>
            <w:gridSpan w:val="17"/>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Use of Proceeds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S-3</w:t>
            </w:r>
          </w:p>
        </w:tc>
      </w:tr>
      <w:tr>
        <w:trPr>
          <w:trHeight w:val="196"/>
        </w:trPr>
        <w:tc>
          <w:tcPr>
            <w:tcW w:w="9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w:anchor="page9">
              <w:r>
                <w:rPr>
                  <w:rFonts w:ascii="Arial" w:cs="Arial" w:eastAsia="Arial" w:hAnsi="Arial"/>
                  <w:sz w:val="18"/>
                  <w:szCs w:val="18"/>
                  <w:color w:val="0000EE"/>
                  <w:w w:val="93"/>
                </w:rPr>
                <w:t>Underwriting</w:t>
              </w:r>
            </w:hyperlink>
          </w:p>
        </w:tc>
        <w:tc>
          <w:tcPr>
            <w:tcW w:w="180" w:type="dxa"/>
            <w:vAlign w:val="bottom"/>
            <w:tcBorders>
              <w:top w:val="single" w:sz="8" w:color="0000EE"/>
            </w:tcBorders>
            <w:gridSpan w:val="3"/>
          </w:tcPr>
          <w:p>
            <w:pPr>
              <w:spacing w:after="0"/>
              <w:rPr>
                <w:sz w:val="17"/>
                <w:szCs w:val="17"/>
                <w:color w:val="auto"/>
              </w:rPr>
            </w:pPr>
          </w:p>
        </w:tc>
        <w:tc>
          <w:tcPr>
            <w:tcW w:w="9920" w:type="dxa"/>
            <w:vAlign w:val="bottom"/>
            <w:gridSpan w:val="1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S-4</w:t>
            </w:r>
          </w:p>
        </w:tc>
      </w:tr>
      <w:tr>
        <w:trPr>
          <w:trHeight w:val="196"/>
        </w:trPr>
        <w:tc>
          <w:tcPr>
            <w:tcW w:w="11060" w:type="dxa"/>
            <w:vAlign w:val="bottom"/>
            <w:gridSpan w:val="17"/>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Experts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S-8</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196"/>
        </w:trPr>
        <w:tc>
          <w:tcPr>
            <w:tcW w:w="11060" w:type="dxa"/>
            <w:vAlign w:val="bottom"/>
            <w:gridSpan w:val="17"/>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Legal Matters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S-9</w:t>
            </w:r>
          </w:p>
        </w:tc>
      </w:tr>
      <w:tr>
        <w:trPr>
          <w:trHeight w:val="383"/>
        </w:trPr>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560" w:type="dxa"/>
            <w:vAlign w:val="bottom"/>
            <w:gridSpan w:val="2"/>
          </w:tcPr>
          <w:p>
            <w:pPr>
              <w:jc w:val="center"/>
              <w:ind w:right="4140"/>
              <w:spacing w:after="0"/>
              <w:rPr>
                <w:sz w:val="20"/>
                <w:szCs w:val="20"/>
                <w:color w:val="auto"/>
              </w:rPr>
            </w:pPr>
            <w:r>
              <w:rPr>
                <w:rFonts w:ascii="Arial" w:cs="Arial" w:eastAsia="Arial" w:hAnsi="Arial"/>
                <w:sz w:val="18"/>
                <w:szCs w:val="18"/>
                <w:b w:val="1"/>
                <w:bCs w:val="1"/>
                <w:color w:val="auto"/>
                <w:w w:val="83"/>
              </w:rPr>
              <w:t>Prospectus</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5"/>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8"/>
              </w:rPr>
              <w:t>Page</w:t>
            </w:r>
          </w:p>
        </w:tc>
      </w:tr>
      <w:tr>
        <w:trPr>
          <w:trHeight w:val="171"/>
        </w:trPr>
        <w:tc>
          <w:tcPr>
            <w:tcW w:w="11060" w:type="dxa"/>
            <w:vAlign w:val="bottom"/>
            <w:gridSpan w:val="17"/>
          </w:tcPr>
          <w:p>
            <w:pPr>
              <w:spacing w:after="0" w:line="171" w:lineRule="exact"/>
              <w:rPr>
                <w:rFonts w:ascii="Arial" w:cs="Arial" w:eastAsia="Arial" w:hAnsi="Arial"/>
                <w:sz w:val="18"/>
                <w:szCs w:val="18"/>
                <w:color w:val="0000EE"/>
              </w:rPr>
            </w:pPr>
            <w:hyperlink w:anchor="page17">
              <w:r>
                <w:rPr>
                  <w:rFonts w:ascii="Arial" w:cs="Arial" w:eastAsia="Arial" w:hAnsi="Arial"/>
                  <w:sz w:val="18"/>
                  <w:szCs w:val="18"/>
                  <w:color w:val="0000EE"/>
                </w:rPr>
                <w:t>About this Prospectus</w:t>
              </w:r>
            </w:hyperlink>
          </w:p>
        </w:tc>
        <w:tc>
          <w:tcPr>
            <w:tcW w:w="360" w:type="dxa"/>
            <w:vAlign w:val="bottom"/>
            <w:tcBorders>
              <w:top w:val="single" w:sz="8" w:color="auto"/>
            </w:tcBorders>
          </w:tcPr>
          <w:p>
            <w:pPr>
              <w:jc w:val="right"/>
              <w:spacing w:after="0" w:line="171"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r>
      <w:tr>
        <w:trPr>
          <w:trHeight w:val="196"/>
        </w:trPr>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18">
              <w:r>
                <w:rPr>
                  <w:rFonts w:ascii="Arial" w:cs="Arial" w:eastAsia="Arial" w:hAnsi="Arial"/>
                  <w:sz w:val="18"/>
                  <w:szCs w:val="18"/>
                  <w:color w:val="0000EE"/>
                  <w:w w:val="87"/>
                </w:rPr>
                <w:t>Risk Factors</w:t>
              </w:r>
            </w:hyperlink>
          </w:p>
        </w:tc>
        <w:tc>
          <w:tcPr>
            <w:tcW w:w="640" w:type="dxa"/>
            <w:vAlign w:val="bottom"/>
            <w:tcBorders>
              <w:top w:val="single" w:sz="8" w:color="0000EE"/>
            </w:tcBorders>
            <w:gridSpan w:val="6"/>
          </w:tcPr>
          <w:p>
            <w:pPr>
              <w:spacing w:after="0"/>
              <w:rPr>
                <w:sz w:val="17"/>
                <w:szCs w:val="17"/>
                <w:color w:val="auto"/>
              </w:rPr>
            </w:pPr>
          </w:p>
        </w:tc>
        <w:tc>
          <w:tcPr>
            <w:tcW w:w="9520" w:type="dxa"/>
            <w:vAlign w:val="bottom"/>
            <w:gridSpan w:val="9"/>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r>
      <w:tr>
        <w:trPr>
          <w:trHeight w:val="196"/>
        </w:trPr>
        <w:tc>
          <w:tcPr>
            <w:tcW w:w="214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18">
              <w:r>
                <w:rPr>
                  <w:rFonts w:ascii="Arial" w:cs="Arial" w:eastAsia="Arial" w:hAnsi="Arial"/>
                  <w:sz w:val="18"/>
                  <w:szCs w:val="18"/>
                  <w:color w:val="0000EE"/>
                  <w:w w:val="92"/>
                </w:rPr>
                <w:t>Forward-Looking Information</w:t>
              </w:r>
            </w:hyperlink>
          </w:p>
        </w:tc>
        <w:tc>
          <w:tcPr>
            <w:tcW w:w="8920" w:type="dxa"/>
            <w:vAlign w:val="bottom"/>
            <w:gridSpan w:val="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r>
      <w:tr>
        <w:trPr>
          <w:trHeight w:val="196"/>
        </w:trPr>
        <w:tc>
          <w:tcPr>
            <w:tcW w:w="11060" w:type="dxa"/>
            <w:vAlign w:val="bottom"/>
            <w:gridSpan w:val="17"/>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The Company</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r>
      <w:tr>
        <w:trPr>
          <w:trHeight w:val="20"/>
        </w:trPr>
        <w:tc>
          <w:tcPr>
            <w:tcW w:w="1000" w:type="dxa"/>
            <w:vAlign w:val="bottom"/>
            <w:gridSpan w:val="5"/>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196"/>
        </w:trPr>
        <w:tc>
          <w:tcPr>
            <w:tcW w:w="11060" w:type="dxa"/>
            <w:vAlign w:val="bottom"/>
            <w:gridSpan w:val="17"/>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Use of Proceeds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r>
      <w:tr>
        <w:trPr>
          <w:trHeight w:val="20"/>
        </w:trPr>
        <w:tc>
          <w:tcPr>
            <w:tcW w:w="1140" w:type="dxa"/>
            <w:vAlign w:val="bottom"/>
            <w:gridSpan w:val="6"/>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196"/>
        </w:trPr>
        <w:tc>
          <w:tcPr>
            <w:tcW w:w="554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20">
              <w:r>
                <w:rPr>
                  <w:rFonts w:ascii="Arial" w:cs="Arial" w:eastAsia="Arial" w:hAnsi="Arial"/>
                  <w:sz w:val="18"/>
                  <w:szCs w:val="18"/>
                  <w:color w:val="0000EE"/>
                  <w:w w:val="87"/>
                </w:rPr>
                <w:t>Ratios of Earnings to Combined Fixed Charges and Preferred Share Dividends</w:t>
              </w:r>
            </w:hyperlink>
          </w:p>
        </w:tc>
        <w:tc>
          <w:tcPr>
            <w:tcW w:w="55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r>
      <w:tr>
        <w:trPr>
          <w:trHeight w:val="196"/>
        </w:trPr>
        <w:tc>
          <w:tcPr>
            <w:tcW w:w="21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Description of Debt Securities</w:t>
              </w:r>
            </w:hyperlink>
          </w:p>
        </w:tc>
        <w:tc>
          <w:tcPr>
            <w:tcW w:w="8920" w:type="dxa"/>
            <w:vAlign w:val="bottom"/>
            <w:gridSpan w:val="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r>
      <w:tr>
        <w:trPr>
          <w:trHeight w:val="196"/>
        </w:trPr>
        <w:tc>
          <w:tcPr>
            <w:tcW w:w="306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Description of Shares of Beneficial Interest</w:t>
              </w:r>
            </w:hyperlink>
          </w:p>
        </w:tc>
        <w:tc>
          <w:tcPr>
            <w:tcW w:w="8000" w:type="dxa"/>
            <w:vAlign w:val="bottom"/>
            <w:gridSpan w:val="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r>
      <w:tr>
        <w:trPr>
          <w:trHeight w:val="196"/>
        </w:trPr>
        <w:tc>
          <w:tcPr>
            <w:tcW w:w="11060" w:type="dxa"/>
            <w:vAlign w:val="bottom"/>
            <w:gridSpan w:val="17"/>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Material Federal Income Tax Considerations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r>
      <w:tr>
        <w:trPr>
          <w:trHeight w:val="196"/>
        </w:trPr>
        <w:tc>
          <w:tcPr>
            <w:tcW w:w="31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Plan of Distribution</w:t>
              </w:r>
            </w:hyperlink>
          </w:p>
        </w:tc>
        <w:tc>
          <w:tcPr>
            <w:tcW w:w="7920" w:type="dxa"/>
            <w:vAlign w:val="bottom"/>
            <w:gridSpan w:val="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53</w:t>
            </w:r>
          </w:p>
        </w:tc>
      </w:tr>
      <w:tr>
        <w:trPr>
          <w:trHeight w:val="196"/>
        </w:trPr>
        <w:tc>
          <w:tcPr>
            <w:tcW w:w="14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Legal Matters</w:t>
              </w:r>
            </w:hyperlink>
          </w:p>
        </w:tc>
        <w:tc>
          <w:tcPr>
            <w:tcW w:w="9660" w:type="dxa"/>
            <w:vAlign w:val="bottom"/>
            <w:gridSpan w:val="1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r>
      <w:tr>
        <w:trPr>
          <w:trHeight w:val="196"/>
        </w:trPr>
        <w:tc>
          <w:tcPr>
            <w:tcW w:w="9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Experts</w:t>
              </w:r>
            </w:hyperlink>
          </w:p>
        </w:tc>
        <w:tc>
          <w:tcPr>
            <w:tcW w:w="10080" w:type="dxa"/>
            <w:vAlign w:val="bottom"/>
            <w:gridSpan w:val="1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11"/>
          </w:tcPr>
          <w:p>
            <w:pPr>
              <w:spacing w:after="0" w:line="20" w:lineRule="exact"/>
              <w:rPr>
                <w:sz w:val="1"/>
                <w:szCs w:val="1"/>
                <w:color w:val="auto"/>
              </w:rPr>
            </w:pPr>
          </w:p>
        </w:tc>
        <w:tc>
          <w:tcPr>
            <w:tcW w:w="826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196"/>
        </w:trPr>
        <w:tc>
          <w:tcPr>
            <w:tcW w:w="11060" w:type="dxa"/>
            <w:vAlign w:val="bottom"/>
            <w:gridSpan w:val="17"/>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Where You Can Find More Information</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 SUPPLEMENT</w:t>
      </w:r>
    </w:p>
    <w:p>
      <w:pPr>
        <w:spacing w:after="0" w:line="164" w:lineRule="exact"/>
        <w:rPr>
          <w:sz w:val="20"/>
          <w:szCs w:val="20"/>
          <w:color w:val="auto"/>
        </w:rPr>
      </w:pPr>
    </w:p>
    <w:p>
      <w:pPr>
        <w:ind w:firstLine="571"/>
        <w:spacing w:after="0" w:line="312" w:lineRule="auto"/>
        <w:rPr>
          <w:sz w:val="20"/>
          <w:szCs w:val="20"/>
          <w:color w:val="auto"/>
        </w:rPr>
      </w:pPr>
      <w:r>
        <w:rPr>
          <w:rFonts w:ascii="Arial" w:cs="Arial" w:eastAsia="Arial" w:hAnsi="Arial"/>
          <w:sz w:val="15"/>
          <w:szCs w:val="15"/>
          <w:color w:val="auto"/>
        </w:rPr>
        <w:t>You should read this prospectus supplement along with the accompanying prospectus, as well as the information contained or incorporated by reference herein and therein, carefully before you invest in our common shares. These documents contain important information you should consider before making your investment decision. This prospectus supplement and the accompanying prospectus contain the terms of this offering of common shares. The accompanying prospectus contains information about our securities generally, some of which does not apply to the common shares covered by this prospectus supplement. This prospectus supplement may add, update or change information contained in or incorporated by reference in the accompanying prospectus. If the information in this prospectus supplement is inconsistent with any information contained in or incorporated by reference in the accompanying prospectus, the information in this prospectus supplement will apply and will supersede the inconsistent information contained in or incorporated by reference in the accompanying prospectus.</w:t>
      </w:r>
    </w:p>
    <w:p>
      <w:pPr>
        <w:spacing w:after="0" w:line="92" w:lineRule="exact"/>
        <w:rPr>
          <w:sz w:val="20"/>
          <w:szCs w:val="20"/>
          <w:color w:val="auto"/>
        </w:rPr>
      </w:pPr>
    </w:p>
    <w:p>
      <w:pPr>
        <w:ind w:right="180" w:firstLine="571"/>
        <w:spacing w:after="0" w:line="306" w:lineRule="auto"/>
        <w:rPr>
          <w:sz w:val="20"/>
          <w:szCs w:val="20"/>
          <w:color w:val="auto"/>
        </w:rPr>
      </w:pPr>
      <w:r>
        <w:rPr>
          <w:rFonts w:ascii="Arial" w:cs="Arial" w:eastAsia="Arial" w:hAnsi="Arial"/>
          <w:sz w:val="16"/>
          <w:szCs w:val="16"/>
          <w:color w:val="auto"/>
        </w:rPr>
        <w:t>It is important for you to read and consider all information contained or incorporated by reference in this prospectus supplement and the accompanying prospectus in making your investment decision. You should also read and consider the additional information incorporated by reference in this prospectus supplement and the accompanying prospectus. See “Where You Can Find More Information” in the accompanying prospectus.</w:t>
      </w:r>
    </w:p>
    <w:p>
      <w:pPr>
        <w:spacing w:after="0" w:line="93" w:lineRule="exact"/>
        <w:rPr>
          <w:sz w:val="20"/>
          <w:szCs w:val="20"/>
          <w:color w:val="auto"/>
        </w:rPr>
      </w:pPr>
    </w:p>
    <w:p>
      <w:pPr>
        <w:ind w:right="180" w:firstLine="571"/>
        <w:spacing w:after="0" w:line="268" w:lineRule="auto"/>
        <w:rPr>
          <w:sz w:val="20"/>
          <w:szCs w:val="20"/>
          <w:color w:val="auto"/>
        </w:rPr>
      </w:pPr>
      <w:r>
        <w:rPr>
          <w:rFonts w:ascii="Arial" w:cs="Arial" w:eastAsia="Arial" w:hAnsi="Arial"/>
          <w:sz w:val="18"/>
          <w:szCs w:val="18"/>
          <w:color w:val="auto"/>
        </w:rPr>
        <w:t>References to “we,” “us,” “our” or “ours” refer to Federal Realty Investment Trust and its directly and indirectly owned subsidiaries, unless the context otherwise requires. The term “you” refers to a prospective investor.</w:t>
      </w:r>
    </w:p>
    <w:p>
      <w:pPr>
        <w:spacing w:after="0" w:line="112" w:lineRule="exact"/>
        <w:rPr>
          <w:sz w:val="20"/>
          <w:szCs w:val="20"/>
          <w:color w:val="auto"/>
        </w:rPr>
      </w:pPr>
    </w:p>
    <w:p>
      <w:pPr>
        <w:ind w:right="40" w:firstLine="571"/>
        <w:spacing w:after="0" w:line="291"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 this prospectus supplement, the accompanying prospectus and any related free writing prospectus required to be filed with the SEC. Neither we nor the underwriters have authorized any other person to provide you with additional or different information. If anyone provides you with additional or different information, you should not rely on it. Neither we nor the underwriters are making an offer to sell the common shares in any jurisdiction where the offer or sale is not permitted. You should assume that the information appearing in this prospectus supplement, the accompanying prospectus, any such free writing prospectus and the documents incorporated by reference herein and therein is accurate only as of their respective dates. Our business, financial condition, liquidity, results of operations and prospects may have changed since those dates.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164"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This prospectus supplement, the accompanying prospectus and documents that we incorporate by reference into this prospectus supplement and the accompanying prospectus contain statements that are not based on historical facts, including statements or information with words such as “may,” “will,” “could,” “should,” “plans,” “intends,” “expects,” “believes,” “estimates,” “anticipates,” “continues,” and similar words. These statements constitute forward-looking statements within the meaning of Section 27A of the Securities Act of 1933, as amended, or the Act, Section 21E of the Securities Exchange Act of 1934, as amended, and the Private Securities Litigation Reform Act of 1995. In particular, the risk factors incorporated by reference in this prospectus supplement and the accompanying prospectus describe forward-looking information. The risk factors contained on page 2 of the accompanying prospectus and in our Annual Report on Form 10-K for the year ended December 31, 2008, filed with the SEC on February 26, 2009, as amended on June 25, 2009, describe risks that may affect these statements but are not all-inclusive, particularly with respect to possible future events. Many things can happen that can cause actual results to be different from those we describe. These factors include, but are not limited to:</w:t>
      </w:r>
    </w:p>
    <w:p>
      <w:pPr>
        <w:spacing w:after="0" w:line="25" w:lineRule="exact"/>
        <w:rPr>
          <w:sz w:val="20"/>
          <w:szCs w:val="20"/>
          <w:color w:val="auto"/>
        </w:rPr>
      </w:pPr>
    </w:p>
    <w:p>
      <w:pPr>
        <w:ind w:left="900" w:right="48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our tenants may not pay rent, may vacate early or may file for bankruptcy, or that we may be unable to renew leases or re-let space at favorable rents as leases expire;</w:t>
      </w:r>
    </w:p>
    <w:p>
      <w:pPr>
        <w:spacing w:after="0" w:line="37"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any redevelopment or renovation project that we do pursue may not perform as anticipated;</w:t>
      </w:r>
    </w:p>
    <w:p>
      <w:pPr>
        <w:spacing w:after="0" w:line="37"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the number of properties we acquire for our own account, and therefore the amount of capital we invest in acquisitions, may be impacted by our real estate partnership;</w:t>
      </w:r>
    </w:p>
    <w:p>
      <w:pPr>
        <w:spacing w:after="0" w:line="37"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1"/>
          <w:numId w:val="2"/>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103" w:lineRule="exact"/>
        <w:rPr>
          <w:rFonts w:ascii="Arial" w:cs="Arial" w:eastAsia="Arial" w:hAnsi="Arial"/>
          <w:sz w:val="18"/>
          <w:szCs w:val="18"/>
          <w:color w:val="auto"/>
        </w:rPr>
      </w:pPr>
    </w:p>
    <w:p>
      <w:pPr>
        <w:ind w:left="1360" w:right="40" w:hanging="447"/>
        <w:spacing w:after="0" w:line="268" w:lineRule="auto"/>
        <w:tabs>
          <w:tab w:leader="none" w:pos="1360" w:val="left"/>
        </w:tabs>
        <w:numPr>
          <w:ilvl w:val="1"/>
          <w:numId w:val="2"/>
        </w:numPr>
        <w:rPr>
          <w:rFonts w:ascii="Arial" w:cs="Arial" w:eastAsia="Arial" w:hAnsi="Arial"/>
          <w:sz w:val="18"/>
          <w:szCs w:val="18"/>
          <w:color w:val="auto"/>
        </w:rPr>
      </w:pPr>
      <w:r>
        <w:rPr>
          <w:rFonts w:ascii="Arial" w:cs="Arial" w:eastAsia="Arial" w:hAnsi="Arial"/>
          <w:sz w:val="18"/>
          <w:szCs w:val="18"/>
          <w:color w:val="auto"/>
        </w:rPr>
        <w:t>completion of anticipated or ongoing property redevelopments or renovations may cost more, take more time to complete, or fail to perform as expected,</w:t>
      </w:r>
    </w:p>
    <w:p>
      <w:pPr>
        <w:spacing w:after="0" w:line="37" w:lineRule="exact"/>
        <w:rPr>
          <w:rFonts w:ascii="Arial" w:cs="Arial" w:eastAsia="Arial" w:hAnsi="Arial"/>
          <w:sz w:val="18"/>
          <w:szCs w:val="18"/>
          <w:color w:val="auto"/>
        </w:rPr>
      </w:pPr>
    </w:p>
    <w:p>
      <w:pPr>
        <w:ind w:left="1360" w:hanging="447"/>
        <w:spacing w:after="0"/>
        <w:tabs>
          <w:tab w:leader="none" w:pos="1360" w:val="left"/>
        </w:tabs>
        <w:numPr>
          <w:ilvl w:val="1"/>
          <w:numId w:val="2"/>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1"/>
          <w:numId w:val="2"/>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1"/>
          <w:numId w:val="2"/>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1"/>
          <w:numId w:val="2"/>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103"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103" w:lineRule="exact"/>
        <w:rPr>
          <w:rFonts w:ascii="Arial" w:cs="Arial" w:eastAsia="Arial" w:hAnsi="Arial"/>
          <w:sz w:val="18"/>
          <w:szCs w:val="18"/>
          <w:color w:val="auto"/>
        </w:rPr>
      </w:pPr>
    </w:p>
    <w:p>
      <w:pPr>
        <w:ind w:left="900" w:right="300" w:hanging="325"/>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that are acceptable to us, our ability to meet existing financial covenants and the limitations imposed on our operations by those covenants, and the possibility of increases in interest rates that would result in increased interest expense; and</w:t>
      </w:r>
    </w:p>
    <w:p>
      <w:pPr>
        <w:spacing w:after="0" w:line="45"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27"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Given these uncertainties, readers are cautioned not to place undue reliance on these forward-looking statements or those contained in or incorporated by reference into this prospectus supplement and the accompanying prospectus. Except as may be required by law, we make no promise to update any of the forward-looking statements whether as a result of new information, future events or otherwise.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PROSPECTUS SUPPLEMENT SUMMARY</w:t>
      </w:r>
    </w:p>
    <w:p>
      <w:pPr>
        <w:spacing w:after="0" w:line="164" w:lineRule="exact"/>
        <w:rPr>
          <w:sz w:val="20"/>
          <w:szCs w:val="20"/>
          <w:color w:val="auto"/>
        </w:rPr>
      </w:pPr>
    </w:p>
    <w:p>
      <w:pPr>
        <w:ind w:right="20" w:firstLine="571"/>
        <w:spacing w:after="0" w:line="370" w:lineRule="auto"/>
        <w:rPr>
          <w:sz w:val="20"/>
          <w:szCs w:val="20"/>
          <w:color w:val="auto"/>
        </w:rPr>
      </w:pPr>
      <w:r>
        <w:rPr>
          <w:rFonts w:ascii="Arial" w:cs="Arial" w:eastAsia="Arial" w:hAnsi="Arial"/>
          <w:sz w:val="15"/>
          <w:szCs w:val="15"/>
          <w:i w:val="1"/>
          <w:iCs w:val="1"/>
          <w:color w:val="auto"/>
        </w:rPr>
        <w:t>The following is only a summary. It should be read together with the more detailed information included elsewhere in this prospectus supplement and the accompanying prospectus. In addition, important information is incorporated by reference into this prospectus supplement and the accompanying prospectus.</w:t>
      </w:r>
    </w:p>
    <w:p>
      <w:pPr>
        <w:spacing w:after="0" w:line="4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Trust</w:t>
      </w:r>
    </w:p>
    <w:p>
      <w:pPr>
        <w:spacing w:after="0" w:line="164" w:lineRule="exact"/>
        <w:rPr>
          <w:sz w:val="20"/>
          <w:szCs w:val="20"/>
          <w:color w:val="auto"/>
        </w:rPr>
      </w:pPr>
    </w:p>
    <w:p>
      <w:pPr>
        <w:ind w:right="20" w:firstLine="571"/>
        <w:spacing w:after="0" w:line="253" w:lineRule="auto"/>
        <w:rPr>
          <w:sz w:val="20"/>
          <w:szCs w:val="20"/>
          <w:color w:val="auto"/>
        </w:rPr>
      </w:pPr>
      <w:r>
        <w:rPr>
          <w:rFonts w:ascii="Arial" w:cs="Arial" w:eastAsia="Arial" w:hAnsi="Arial"/>
          <w:sz w:val="18"/>
          <w:szCs w:val="18"/>
          <w:color w:val="auto"/>
        </w:rPr>
        <w:t>Federal Realty Investment Trust is an equity real estate investment trust specializing in the ownership, management and redevelopment of high-quality retail and mixed-use properties located primarily in densely populated and affluent communities in strategically selected metropolitan markets in the Northeast, Mid-Atlantic and California. As of June 30, 2009, we owned or had a majority interest in community and neighborhood shopping centers and mixed-use properties which are operated as 84 predominantly retail real estate projects comprising approximately 18.2 million square feet. In total, the real estate properties were 94.0% leased and 93.2% occupied at June 30, 2009. A joint venture in which we own a 30% interest owned seven retail real estate projects totaling approximately 1.0 million square feet as of June 30, 2009. In total, the joint venture properties in which we own an interest were 96.2% leased and occupied at June 30, 2009.</w:t>
      </w:r>
    </w:p>
    <w:p>
      <w:pPr>
        <w:spacing w:after="0" w:line="134" w:lineRule="exact"/>
        <w:rPr>
          <w:sz w:val="20"/>
          <w:szCs w:val="20"/>
          <w:color w:val="auto"/>
        </w:rPr>
      </w:pPr>
    </w:p>
    <w:p>
      <w:pPr>
        <w:ind w:right="180" w:firstLine="571"/>
        <w:spacing w:after="0" w:line="256" w:lineRule="auto"/>
        <w:rPr>
          <w:sz w:val="20"/>
          <w:szCs w:val="20"/>
          <w:color w:val="auto"/>
        </w:rPr>
      </w:pPr>
      <w:r>
        <w:rPr>
          <w:rFonts w:ascii="Arial" w:cs="Arial" w:eastAsia="Arial" w:hAnsi="Arial"/>
          <w:sz w:val="18"/>
          <w:szCs w:val="18"/>
          <w:color w:val="auto"/>
        </w:rPr>
        <w:t xml:space="preserve">We operate in a manner intended to qualify as a REIT for tax purposes pursuant to provisions of the Internal Revenue Code of 1986, as amended. Our offices are located at 1626 East Jefferson Street, Rockville, Maryland 20852. Our telephone numbers are (301) 998-8100 and (800) 658-8980.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supplement or the accompanying prospectus and is not incorporated herein or therein by reference.</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Recent Developments</w:t>
      </w:r>
    </w:p>
    <w:p>
      <w:pPr>
        <w:spacing w:after="0" w:line="164"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On August 10, 2009, we priced an offering of $150 million of our 5.95% Notes due 2014. We expect to issue these notes on August 13, 2009.</w:t>
      </w:r>
    </w:p>
    <w:p>
      <w:pPr>
        <w:spacing w:after="0" w:line="181"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On August 4, 2009, we announced that our Board of Trustees increased the dividend rate on our common shares, declaring a regular quarterly cash dividend of $0.66 per share, resulting in an indicated annual rate of $2.64 per share, an increase of $0.04 annually or 1.5%. The regular common dividend will be payable on October 15, 2009, to common shareholders of record as of September 23, 2009. This increase represents the 42nd consecutive year that we have increased our common dividend, the longest record of consecutive annual dividend increases in the REIT sector.</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340"/>
          </w:cols>
          <w:pgMar w:left="240" w:top="459" w:right="3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Offering</w:t>
      </w:r>
    </w:p>
    <w:p>
      <w:pPr>
        <w:spacing w:after="0" w:line="164" w:lineRule="exact"/>
        <w:rPr>
          <w:sz w:val="20"/>
          <w:szCs w:val="20"/>
          <w:color w:val="auto"/>
        </w:rPr>
      </w:pPr>
    </w:p>
    <w:p>
      <w:pPr>
        <w:ind w:right="200" w:firstLine="571"/>
        <w:spacing w:after="0" w:line="268" w:lineRule="auto"/>
        <w:rPr>
          <w:sz w:val="20"/>
          <w:szCs w:val="20"/>
          <w:color w:val="auto"/>
        </w:rPr>
      </w:pPr>
      <w:r>
        <w:rPr>
          <w:rFonts w:ascii="Arial" w:cs="Arial" w:eastAsia="Arial" w:hAnsi="Arial"/>
          <w:sz w:val="18"/>
          <w:szCs w:val="18"/>
          <w:i w:val="1"/>
          <w:iCs w:val="1"/>
          <w:color w:val="auto"/>
        </w:rPr>
        <w:t>For a more complete description of the terms of the common shares being offered by this prospectus supplement and the accompanying prospectus, see “Description of Shares of Beneficial Interest” in the accompanying prospectus.</w:t>
      </w:r>
    </w:p>
    <w:p>
      <w:pPr>
        <w:sectPr>
          <w:pgSz w:w="11900" w:h="16838" w:orient="portrait"/>
          <w:cols w:equalWidth="0" w:num="1">
            <w:col w:w="11400"/>
          </w:cols>
          <w:pgMar w:left="240" w:top="459" w:right="259" w:bottom="1440" w:gutter="0" w:footer="0" w:header="0"/>
        </w:sectPr>
      </w:pP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Common shares offered</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color w:val="auto"/>
        </w:rPr>
        <w:t>1,735,000 common shares</w:t>
      </w:r>
    </w:p>
    <w:p>
      <w:pPr>
        <w:spacing w:after="0" w:line="111" w:lineRule="exact"/>
        <w:rPr>
          <w:sz w:val="20"/>
          <w:szCs w:val="20"/>
          <w:color w:val="auto"/>
        </w:rPr>
      </w:pPr>
    </w:p>
    <w:p>
      <w:pPr>
        <w:sectPr>
          <w:pgSz w:w="11900" w:h="16838" w:orient="portrait"/>
          <w:cols w:equalWidth="0" w:num="2">
            <w:col w:w="5340" w:space="720"/>
            <w:col w:w="5340"/>
          </w:cols>
          <w:pgMar w:left="240" w:top="459" w:right="259" w:bottom="1440" w:gutter="0" w:footer="0" w:header="0"/>
          <w:type w:val="continuous"/>
        </w:sectPr>
      </w:pPr>
    </w:p>
    <w:p>
      <w:pPr>
        <w:spacing w:after="0"/>
        <w:rPr>
          <w:sz w:val="20"/>
          <w:szCs w:val="20"/>
          <w:color w:val="auto"/>
        </w:rPr>
      </w:pPr>
      <w:r>
        <w:rPr>
          <w:rFonts w:ascii="Arial" w:cs="Arial" w:eastAsia="Arial" w:hAnsi="Arial"/>
          <w:sz w:val="18"/>
          <w:szCs w:val="18"/>
          <w:color w:val="auto"/>
        </w:rPr>
        <w:t>Common shares to be outstanding after this offering</w:t>
      </w:r>
    </w:p>
    <w:p>
      <w:pPr>
        <w:spacing w:after="0" w:line="185"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60,914,258 common shares (1)</w:t>
      </w:r>
    </w:p>
    <w:p>
      <w:pPr>
        <w:sectPr>
          <w:pgSz w:w="11900" w:h="16838" w:orient="portrait"/>
          <w:cols w:equalWidth="0" w:num="1">
            <w:col w:w="11400"/>
          </w:cols>
          <w:pgMar w:left="240" w:top="459" w:right="259" w:bottom="1440" w:gutter="0" w:footer="0" w:header="0"/>
          <w:type w:val="continuous"/>
        </w:sectPr>
      </w:pP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Public offering price per common share</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color w:val="auto"/>
        </w:rPr>
        <w:t>$57.50</w:t>
      </w:r>
    </w:p>
    <w:p>
      <w:pPr>
        <w:spacing w:after="0" w:line="111" w:lineRule="exact"/>
        <w:rPr>
          <w:sz w:val="20"/>
          <w:szCs w:val="20"/>
          <w:color w:val="auto"/>
        </w:rPr>
      </w:pPr>
    </w:p>
    <w:p>
      <w:pPr>
        <w:sectPr>
          <w:pgSz w:w="11900" w:h="16838" w:orient="portrait"/>
          <w:cols w:equalWidth="0" w:num="2">
            <w:col w:w="5340" w:space="720"/>
            <w:col w:w="534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New York Stock Exchange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FRT</w:t>
      </w:r>
    </w:p>
    <w:p>
      <w:pPr>
        <w:spacing w:after="0" w:line="111" w:lineRule="exact"/>
        <w:rPr>
          <w:sz w:val="20"/>
          <w:szCs w:val="20"/>
          <w:color w:val="auto"/>
        </w:rPr>
      </w:pPr>
    </w:p>
    <w:p>
      <w:pPr>
        <w:sectPr>
          <w:pgSz w:w="11900" w:h="16838" w:orient="portrait"/>
          <w:cols w:equalWidth="0" w:num="2">
            <w:col w:w="5340" w:space="720"/>
            <w:col w:w="5340"/>
          </w:cols>
          <w:pgMar w:left="240" w:top="459" w:right="259" w:bottom="1440" w:gutter="0" w:footer="0" w:header="0"/>
          <w:type w:val="continuous"/>
        </w:sect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ind w:right="20"/>
        <w:spacing w:after="0" w:line="323" w:lineRule="auto"/>
        <w:rPr>
          <w:sz w:val="20"/>
          <w:szCs w:val="20"/>
          <w:color w:val="auto"/>
        </w:rPr>
      </w:pPr>
      <w:r>
        <w:rPr>
          <w:rFonts w:ascii="Arial" w:cs="Arial" w:eastAsia="Arial" w:hAnsi="Arial"/>
          <w:sz w:val="15"/>
          <w:szCs w:val="15"/>
          <w:color w:val="auto"/>
        </w:rPr>
        <w:t>We intend to use the net proceeds from this offering to fund potential acquisition opportunities, fund our redevelopment pipeline, reduce amounts outstanding under our $372 million term loan, and/or for general corporate purposes. See “Use of Proceeds” on page S-3 for more information.</w:t>
      </w:r>
    </w:p>
    <w:p>
      <w:pPr>
        <w:spacing w:after="0" w:line="3" w:lineRule="exact"/>
        <w:rPr>
          <w:sz w:val="20"/>
          <w:szCs w:val="20"/>
          <w:color w:val="auto"/>
        </w:rPr>
      </w:pPr>
    </w:p>
    <w:p>
      <w:pPr>
        <w:sectPr>
          <w:pgSz w:w="11900" w:h="16838" w:orient="portrait"/>
          <w:cols w:equalWidth="0" w:num="2">
            <w:col w:w="5340" w:space="720"/>
            <w:col w:w="534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Material federal income tax considerations</w:t>
      </w:r>
    </w:p>
    <w:p>
      <w:pPr>
        <w:spacing w:after="0" w:line="20" w:lineRule="exact"/>
        <w:rPr>
          <w:sz w:val="20"/>
          <w:szCs w:val="20"/>
          <w:color w:val="auto"/>
        </w:rPr>
      </w:pPr>
      <w:r>
        <w:rPr>
          <w:sz w:val="20"/>
          <w:szCs w:val="20"/>
          <w:color w:val="auto"/>
        </w:rPr>
        <w:br w:type="column"/>
      </w:r>
    </w:p>
    <w:p>
      <w:pPr>
        <w:ind w:right="280"/>
        <w:spacing w:after="0" w:line="256" w:lineRule="auto"/>
        <w:rPr>
          <w:sz w:val="20"/>
          <w:szCs w:val="20"/>
          <w:color w:val="auto"/>
        </w:rPr>
      </w:pPr>
      <w:r>
        <w:rPr>
          <w:rFonts w:ascii="Arial" w:cs="Arial" w:eastAsia="Arial" w:hAnsi="Arial"/>
          <w:sz w:val="18"/>
          <w:szCs w:val="18"/>
          <w:color w:val="auto"/>
        </w:rPr>
        <w:t>For a description of the material federal income tax considerations of an investment in our common shares, please review the disclosure in the accompanying prospectus under “Material Federal Income Tax Considerations.”</w:t>
      </w:r>
    </w:p>
    <w:p>
      <w:pPr>
        <w:spacing w:after="0" w:line="49" w:lineRule="exact"/>
        <w:rPr>
          <w:sz w:val="20"/>
          <w:szCs w:val="20"/>
          <w:color w:val="auto"/>
        </w:rPr>
      </w:pPr>
    </w:p>
    <w:p>
      <w:pPr>
        <w:sectPr>
          <w:pgSz w:w="11900" w:h="16838" w:orient="portrait"/>
          <w:cols w:equalWidth="0" w:num="2">
            <w:col w:w="5340" w:space="720"/>
            <w:col w:w="534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1697990</wp:posOffset>
            </wp:positionV>
            <wp:extent cx="7289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0"/>
        <w:spacing w:after="0" w:line="286" w:lineRule="auto"/>
        <w:rPr>
          <w:sz w:val="20"/>
          <w:szCs w:val="20"/>
          <w:color w:val="auto"/>
        </w:rPr>
      </w:pPr>
      <w:r>
        <w:rPr>
          <w:rFonts w:ascii="Arial" w:cs="Arial" w:eastAsia="Arial" w:hAnsi="Arial"/>
          <w:sz w:val="16"/>
          <w:szCs w:val="16"/>
          <w:color w:val="auto"/>
        </w:rPr>
        <w:t>Investing in our common shares involves risks. Please review the risk factors discussed on page 2 of the accompanying prospectus and in our Annual Report on Form 10-K for the year ended December 31, 2008, filed with the SEC on February 26, 2009, as amended on June 25, 2009, and the other information contained or incorporated by reference in this prospectus supplement and the accompanying prospectus for a discussion of factors you should consider before deciding to invest in our common shares. You may obtain a copy of our Annual Report on Form 10-K and the other documents incorporated by reference in this prospectus supplement and the accompanying prospectus by following the procedures described under “Where You Can Find More Information” on page 55 of the accompanying prospectus.</w:t>
      </w:r>
    </w:p>
    <w:p>
      <w:pPr>
        <w:spacing w:after="0" w:line="200" w:lineRule="exact"/>
        <w:rPr>
          <w:sz w:val="20"/>
          <w:szCs w:val="20"/>
          <w:color w:val="auto"/>
        </w:rPr>
      </w:pPr>
    </w:p>
    <w:p>
      <w:pPr>
        <w:sectPr>
          <w:pgSz w:w="11900" w:h="16838" w:orient="portrait"/>
          <w:cols w:equalWidth="0" w:num="2">
            <w:col w:w="5340" w:space="720"/>
            <w:col w:w="5340"/>
          </w:cols>
          <w:pgMar w:left="240" w:top="459" w:right="259" w:bottom="1440" w:gutter="0" w:footer="0" w:header="0"/>
          <w:type w:val="continuous"/>
        </w:sectPr>
      </w:pPr>
    </w:p>
    <w:p>
      <w:pPr>
        <w:spacing w:after="0" w:line="59" w:lineRule="exact"/>
        <w:rPr>
          <w:sz w:val="20"/>
          <w:szCs w:val="20"/>
          <w:color w:val="auto"/>
        </w:rPr>
      </w:pPr>
    </w:p>
    <w:p>
      <w:pPr>
        <w:ind w:left="580" w:hanging="572"/>
        <w:spacing w:after="0" w:line="294"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upon 59,179,258 common shares outstanding as of August 7, 2009. Excludes common shares that we may issue upon (i) exercise of outstanding share options, (ii) conversion of our outstanding 5.417% Series 1 Cumulative Convertible Preferred Shares, conversion, exchange or redemption of “downREIT” partnership units, and (iii) exercise of contractual or put rights by current or former joint venture and other business partners. The number of common shares to be outstanding after this offering assumes that the underwriters’ over-allotment option is not exercised. If the over-allotment option is exercised in full, we will issue and sell an additional 260,250 common shares.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400"/>
          </w:cols>
          <w:pgMar w:left="240" w:top="459" w:right="25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The net proceeds to us from the sale of the common shares offered by this prospectus supplement are estimated to be approximately $95.6 million after deducting the underwriting discount and other estimated expenses of this offering payable by us. We intend to use these net proceeds to fund potential acquisition opportunities, fund our redevelopment pipeline, reduce amounts outstanding under our $372 million term loan, and/or for general corporate purposes. Our $372 million term loan bears interest at LIBOR, subject to a 1.50% floor, plus 300 basis points and matures on July 27, 2011. Affiliates of certain of the underwriters are lenders under our term loan and will receive a pro rata portion of any proceeds used to reduce amounts outstanding under the term loan.</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64" w:lineRule="exact"/>
        <w:rPr>
          <w:sz w:val="20"/>
          <w:szCs w:val="20"/>
          <w:color w:val="auto"/>
        </w:rPr>
      </w:pPr>
    </w:p>
    <w:p>
      <w:pPr>
        <w:ind w:right="60" w:firstLine="571"/>
        <w:spacing w:after="0" w:line="298" w:lineRule="auto"/>
        <w:rPr>
          <w:sz w:val="20"/>
          <w:szCs w:val="20"/>
          <w:color w:val="auto"/>
        </w:rPr>
      </w:pPr>
      <w:r>
        <w:rPr>
          <w:rFonts w:ascii="Arial" w:cs="Arial" w:eastAsia="Arial" w:hAnsi="Arial"/>
          <w:sz w:val="16"/>
          <w:szCs w:val="16"/>
          <w:color w:val="auto"/>
        </w:rPr>
        <w:t>We intend to offer the common shares through the underwriters. Wells Fargo Securities, LLC and J.P. Morgan Securities Inc. are acting as joint book-running managers and representatives of the underwriters named below. Subject to the terms and conditions stated in an underwriting agreement and a related pricing agreement, each dated the date of this prospectus supplement, each underwriter named below has severally agreed to purchase, and we have agreed to sell to that underwriter, the number of common shares listed opposite its name below.</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9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4"/>
              </w:rPr>
              <w:t>Number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9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of Common</w:t>
            </w:r>
          </w:p>
        </w:tc>
        <w:tc>
          <w:tcPr>
            <w:tcW w:w="0" w:type="dxa"/>
            <w:vAlign w:val="bottom"/>
          </w:tcPr>
          <w:p>
            <w:pPr>
              <w:spacing w:after="0"/>
              <w:rPr>
                <w:sz w:val="1"/>
                <w:szCs w:val="1"/>
                <w:color w:val="auto"/>
              </w:rPr>
            </w:pPr>
          </w:p>
        </w:tc>
      </w:tr>
      <w:tr>
        <w:trPr>
          <w:trHeight w:val="229"/>
        </w:trPr>
        <w:tc>
          <w:tcPr>
            <w:tcW w:w="10500" w:type="dxa"/>
            <w:vAlign w:val="bottom"/>
            <w:gridSpan w:val="3"/>
          </w:tcPr>
          <w:p>
            <w:pPr>
              <w:spacing w:after="0"/>
              <w:rPr>
                <w:sz w:val="20"/>
                <w:szCs w:val="20"/>
                <w:color w:val="auto"/>
              </w:rPr>
            </w:pPr>
            <w:r>
              <w:rPr>
                <w:rFonts w:ascii="Arial" w:cs="Arial" w:eastAsia="Arial" w:hAnsi="Arial"/>
                <w:sz w:val="18"/>
                <w:szCs w:val="18"/>
                <w:b w:val="1"/>
                <w:bCs w:val="1"/>
                <w:color w:val="auto"/>
              </w:rPr>
              <w:t>Underwriter</w:t>
            </w:r>
          </w:p>
        </w:tc>
        <w:tc>
          <w:tcPr>
            <w:tcW w:w="9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6"/>
              </w:rPr>
              <w:t>Shares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10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624,600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gridSpan w:val="2"/>
          </w:tcPr>
          <w:p>
            <w:pPr>
              <w:spacing w:after="0"/>
              <w:rPr>
                <w:sz w:val="20"/>
                <w:szCs w:val="20"/>
                <w:color w:val="auto"/>
              </w:rPr>
            </w:pPr>
            <w:r>
              <w:rPr>
                <w:rFonts w:ascii="Arial" w:cs="Arial" w:eastAsia="Arial" w:hAnsi="Arial"/>
                <w:sz w:val="18"/>
                <w:szCs w:val="18"/>
                <w:color w:val="auto"/>
              </w:rPr>
              <w:t>J.P. Morgan Securities Inc.</w:t>
            </w:r>
          </w:p>
        </w:tc>
        <w:tc>
          <w:tcPr>
            <w:tcW w:w="920" w:type="dxa"/>
            <w:vAlign w:val="bottom"/>
          </w:tcPr>
          <w:p>
            <w:pPr>
              <w:jc w:val="right"/>
              <w:spacing w:after="0"/>
              <w:rPr>
                <w:sz w:val="20"/>
                <w:szCs w:val="20"/>
                <w:color w:val="auto"/>
              </w:rPr>
            </w:pPr>
            <w:r>
              <w:rPr>
                <w:rFonts w:ascii="Arial" w:cs="Arial" w:eastAsia="Arial" w:hAnsi="Arial"/>
                <w:sz w:val="18"/>
                <w:szCs w:val="18"/>
                <w:color w:val="auto"/>
              </w:rPr>
              <w:t>537,850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RBC Capital Markets Corporation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gridSpan w:val="2"/>
          </w:tcPr>
          <w:p>
            <w:pPr>
              <w:spacing w:after="0"/>
              <w:rPr>
                <w:sz w:val="20"/>
                <w:szCs w:val="20"/>
                <w:color w:val="auto"/>
              </w:rPr>
            </w:pPr>
            <w:r>
              <w:rPr>
                <w:rFonts w:ascii="Arial" w:cs="Arial" w:eastAsia="Arial" w:hAnsi="Arial"/>
                <w:sz w:val="18"/>
                <w:szCs w:val="18"/>
                <w:color w:val="auto"/>
              </w:rPr>
              <w:t>Raymond James &amp; Associates, Inc.</w:t>
            </w:r>
          </w:p>
        </w:tc>
        <w:tc>
          <w:tcPr>
            <w:tcW w:w="920" w:type="dxa"/>
            <w:vAlign w:val="bottom"/>
          </w:tcPr>
          <w:p>
            <w:pPr>
              <w:jc w:val="right"/>
              <w:spacing w:after="0"/>
              <w:rPr>
                <w:sz w:val="20"/>
                <w:szCs w:val="20"/>
                <w:color w:val="auto"/>
              </w:rPr>
            </w:pPr>
            <w:r>
              <w:rPr>
                <w:rFonts w:ascii="Arial" w:cs="Arial" w:eastAsia="Arial" w:hAnsi="Arial"/>
                <w:sz w:val="18"/>
                <w:szCs w:val="18"/>
                <w:color w:val="auto"/>
              </w:rPr>
              <w:t>104,100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W. Baird &amp; Co. Incorporated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gridSpan w:val="2"/>
          </w:tcPr>
          <w:p>
            <w:pPr>
              <w:spacing w:after="0"/>
              <w:rPr>
                <w:sz w:val="20"/>
                <w:szCs w:val="20"/>
                <w:color w:val="auto"/>
              </w:rPr>
            </w:pPr>
            <w:r>
              <w:rPr>
                <w:rFonts w:ascii="Arial" w:cs="Arial" w:eastAsia="Arial" w:hAnsi="Arial"/>
                <w:sz w:val="18"/>
                <w:szCs w:val="18"/>
                <w:color w:val="auto"/>
              </w:rPr>
              <w:t>Janney Montgomery Scott LLC</w:t>
            </w:r>
          </w:p>
        </w:tc>
        <w:tc>
          <w:tcPr>
            <w:tcW w:w="920" w:type="dxa"/>
            <w:vAlign w:val="bottom"/>
          </w:tcPr>
          <w:p>
            <w:pPr>
              <w:jc w:val="right"/>
              <w:spacing w:after="0"/>
              <w:rPr>
                <w:sz w:val="20"/>
                <w:szCs w:val="20"/>
                <w:color w:val="auto"/>
              </w:rPr>
            </w:pPr>
            <w:r>
              <w:rPr>
                <w:rFonts w:ascii="Arial" w:cs="Arial" w:eastAsia="Arial" w:hAnsi="Arial"/>
                <w:sz w:val="18"/>
                <w:szCs w:val="18"/>
                <w:color w:val="auto"/>
              </w:rPr>
              <w:t>69,400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Keegan &amp; Company, Inc.</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500" w:type="dxa"/>
            <w:vAlign w:val="bottom"/>
            <w:gridSpan w:val="3"/>
          </w:tcPr>
          <w:p>
            <w:pPr>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1,735,000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The underwriters have agreed to purchase all of the common shares shown in the above table if any of those common shares are purchased. If an underwriter defaults, the underwriting agreement provides that the purchase commitments of the nondefaulting underwriters may be increased or the underwriting agreement may be terminated.</w:t>
      </w:r>
    </w:p>
    <w:p>
      <w:pPr>
        <w:spacing w:after="0" w:line="127" w:lineRule="exact"/>
        <w:rPr>
          <w:sz w:val="20"/>
          <w:szCs w:val="20"/>
          <w:color w:val="auto"/>
        </w:rPr>
      </w:pPr>
    </w:p>
    <w:p>
      <w:pPr>
        <w:jc w:val="both"/>
        <w:ind w:right="340" w:firstLine="571"/>
        <w:spacing w:after="0" w:line="259" w:lineRule="auto"/>
        <w:rPr>
          <w:sz w:val="20"/>
          <w:szCs w:val="20"/>
          <w:color w:val="auto"/>
        </w:rPr>
      </w:pPr>
      <w:r>
        <w:rPr>
          <w:rFonts w:ascii="Arial" w:cs="Arial" w:eastAsia="Arial" w:hAnsi="Arial"/>
          <w:sz w:val="18"/>
          <w:szCs w:val="18"/>
          <w:color w:val="auto"/>
        </w:rPr>
        <w:t>The common shares are offered by the underwriters, subject to prior sale, when, as and if issued to and accepted by them, subject to approval of legal matters by counsel for the underwriters and other conditions. The underwriters reserve the right to withdraw, cancel or modify the offer and to reject orders in whole or in part.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83" w:lineRule="exact"/>
        <w:rPr>
          <w:sz w:val="20"/>
          <w:szCs w:val="20"/>
          <w:color w:val="auto"/>
        </w:rPr>
      </w:pPr>
    </w:p>
    <w:p>
      <w:pPr>
        <w:ind w:right="200" w:firstLine="571"/>
        <w:spacing w:after="0" w:line="259" w:lineRule="auto"/>
        <w:rPr>
          <w:sz w:val="20"/>
          <w:szCs w:val="20"/>
          <w:color w:val="auto"/>
        </w:rPr>
      </w:pPr>
      <w:r>
        <w:rPr>
          <w:rFonts w:ascii="Arial" w:cs="Arial" w:eastAsia="Arial" w:hAnsi="Arial"/>
          <w:sz w:val="18"/>
          <w:szCs w:val="18"/>
          <w:color w:val="auto"/>
        </w:rPr>
        <w:t>The underwriters have advised us that they propose to offer the common shares to the public at the initial public offering price on the cover page of this prospectus supplement and to dealers at that price less a concession not in excess of $1.29375 per share. After the initial offering, the public offering price and concession to dealers may be changed.</w:t>
      </w:r>
    </w:p>
    <w:p>
      <w:pPr>
        <w:spacing w:after="0" w:line="127" w:lineRule="exact"/>
        <w:rPr>
          <w:sz w:val="20"/>
          <w:szCs w:val="20"/>
          <w:color w:val="auto"/>
        </w:rPr>
      </w:pPr>
    </w:p>
    <w:p>
      <w:pPr>
        <w:ind w:right="460" w:firstLine="571"/>
        <w:spacing w:after="0" w:line="268" w:lineRule="auto"/>
        <w:rPr>
          <w:sz w:val="20"/>
          <w:szCs w:val="20"/>
          <w:color w:val="auto"/>
        </w:rPr>
      </w:pPr>
      <w:r>
        <w:rPr>
          <w:rFonts w:ascii="Arial" w:cs="Arial" w:eastAsia="Arial" w:hAnsi="Arial"/>
          <w:sz w:val="18"/>
          <w:szCs w:val="18"/>
          <w:color w:val="auto"/>
        </w:rPr>
        <w:t>The following table shows the public offering price, underwriting discount and proceeds, before expenses, to us. The information assumes either no exercise or full exercise by the underwriters of their over-allotment option.</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Without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200"/>
              <w:spacing w:after="0"/>
              <w:rPr>
                <w:sz w:val="20"/>
                <w:szCs w:val="20"/>
                <w:color w:val="auto"/>
              </w:rPr>
            </w:pPr>
            <w:r>
              <w:rPr>
                <w:rFonts w:ascii="Arial" w:cs="Arial" w:eastAsia="Arial" w:hAnsi="Arial"/>
                <w:sz w:val="18"/>
                <w:szCs w:val="18"/>
                <w:b w:val="1"/>
                <w:bCs w:val="1"/>
                <w:color w:val="auto"/>
              </w:rPr>
              <w:t>With</w:t>
            </w:r>
          </w:p>
        </w:tc>
      </w:tr>
      <w:tr>
        <w:trPr>
          <w:trHeight w:val="229"/>
        </w:trPr>
        <w:tc>
          <w:tcPr>
            <w:tcW w:w="39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Per Share</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Option</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Option</w:t>
            </w:r>
          </w:p>
        </w:tc>
        <w:tc>
          <w:tcPr>
            <w:tcW w:w="20" w:type="dxa"/>
            <w:vAlign w:val="bottom"/>
          </w:tcPr>
          <w:p>
            <w:pPr>
              <w:spacing w:after="0"/>
              <w:rPr>
                <w:sz w:val="19"/>
                <w:szCs w:val="19"/>
                <w:color w:val="auto"/>
              </w:rPr>
            </w:pPr>
          </w:p>
        </w:tc>
      </w:tr>
      <w:tr>
        <w:trPr>
          <w:trHeight w:val="211"/>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4140" w:type="dxa"/>
            <w:vAlign w:val="bottom"/>
            <w:gridSpan w:val="2"/>
            <w:shd w:val="clear" w:color="auto" w:fill="CCEEFF"/>
          </w:tcPr>
          <w:p>
            <w:pPr>
              <w:ind w:left="39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99,762,500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114,726,875</w:t>
            </w:r>
          </w:p>
        </w:tc>
        <w:tc>
          <w:tcPr>
            <w:tcW w:w="20" w:type="dxa"/>
            <w:vAlign w:val="bottom"/>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Underwriting discount</w:t>
            </w:r>
          </w:p>
        </w:tc>
        <w:tc>
          <w:tcPr>
            <w:tcW w:w="4140" w:type="dxa"/>
            <w:vAlign w:val="bottom"/>
            <w:gridSpan w:val="2"/>
          </w:tcPr>
          <w:p>
            <w:pPr>
              <w:ind w:left="39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2.30</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3,990,500</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4,589,075</w:t>
            </w:r>
          </w:p>
        </w:tc>
        <w:tc>
          <w:tcPr>
            <w:tcW w:w="2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4140" w:type="dxa"/>
            <w:vAlign w:val="bottom"/>
            <w:gridSpan w:val="2"/>
            <w:shd w:val="clear" w:color="auto" w:fill="CCEEFF"/>
          </w:tcPr>
          <w:p>
            <w:pPr>
              <w:ind w:left="39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55.20</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95,772,000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110,137,800</w:t>
            </w:r>
          </w:p>
        </w:tc>
        <w:tc>
          <w:tcPr>
            <w:tcW w:w="20" w:type="dxa"/>
            <w:vAlign w:val="bottom"/>
          </w:tcPr>
          <w:p>
            <w:pPr>
              <w:spacing w:after="0"/>
              <w:rPr>
                <w:sz w:val="18"/>
                <w:szCs w:val="18"/>
                <w:color w:val="auto"/>
              </w:rPr>
            </w:pPr>
          </w:p>
        </w:tc>
      </w:tr>
      <w:tr>
        <w:trPr>
          <w:trHeight w:val="363"/>
        </w:trPr>
        <w:tc>
          <w:tcPr>
            <w:tcW w:w="9180" w:type="dxa"/>
            <w:vAlign w:val="bottom"/>
            <w:gridSpan w:val="6"/>
          </w:tcPr>
          <w:p>
            <w:pPr>
              <w:ind w:left="580"/>
              <w:spacing w:after="0"/>
              <w:rPr>
                <w:sz w:val="20"/>
                <w:szCs w:val="20"/>
                <w:color w:val="auto"/>
              </w:rPr>
            </w:pPr>
            <w:r>
              <w:rPr>
                <w:rFonts w:ascii="Arial" w:cs="Arial" w:eastAsia="Arial" w:hAnsi="Arial"/>
                <w:sz w:val="18"/>
                <w:szCs w:val="18"/>
                <w:color w:val="auto"/>
                <w:w w:val="88"/>
              </w:rPr>
              <w:t>We estimate that the expenses of this offering payable by us, excluding the underwriting discount, will be approximately $</w:t>
            </w:r>
          </w:p>
        </w:tc>
        <w:tc>
          <w:tcPr>
            <w:tcW w:w="780" w:type="dxa"/>
            <w:vAlign w:val="bottom"/>
          </w:tcPr>
          <w:p>
            <w:pPr>
              <w:spacing w:after="0"/>
              <w:rPr>
                <w:sz w:val="20"/>
                <w:szCs w:val="20"/>
                <w:color w:val="auto"/>
              </w:rPr>
            </w:pPr>
            <w:r>
              <w:rPr>
                <w:rFonts w:ascii="Arial" w:cs="Arial" w:eastAsia="Arial" w:hAnsi="Arial"/>
                <w:sz w:val="18"/>
                <w:szCs w:val="18"/>
                <w:color w:val="auto"/>
              </w:rPr>
              <w:t>150,000.</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5"/>
        </w:trPr>
        <w:tc>
          <w:tcPr>
            <w:tcW w:w="3940" w:type="dxa"/>
            <w:vAlign w:val="bottom"/>
          </w:tcPr>
          <w:p>
            <w:pPr>
              <w:spacing w:after="0"/>
              <w:rPr>
                <w:sz w:val="24"/>
                <w:szCs w:val="24"/>
                <w:color w:val="auto"/>
              </w:rPr>
            </w:pPr>
          </w:p>
        </w:tc>
        <w:tc>
          <w:tcPr>
            <w:tcW w:w="4140" w:type="dxa"/>
            <w:vAlign w:val="bottom"/>
            <w:gridSpan w:val="2"/>
          </w:tcPr>
          <w:p>
            <w:pPr>
              <w:ind w:left="1660"/>
              <w:spacing w:after="0"/>
              <w:rPr>
                <w:sz w:val="20"/>
                <w:szCs w:val="20"/>
                <w:color w:val="auto"/>
              </w:rPr>
            </w:pPr>
            <w:r>
              <w:rPr>
                <w:rFonts w:ascii="Arial" w:cs="Arial" w:eastAsia="Arial" w:hAnsi="Arial"/>
                <w:sz w:val="18"/>
                <w:szCs w:val="18"/>
                <w:color w:val="auto"/>
              </w:rPr>
              <w:t>S-4</w:t>
            </w: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83"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color w:val="auto"/>
        </w:rPr>
        <w:t>We, our chief executive officer and our chief financial officer have agreed that, for a period of 45 days from the date of this prospectus supplement, we and they will not, without the prior written consent of Wells Fargo Securities, LLC and J.P. Morgan Securities Inc., offer, sell, contract to sell, pledge or otherwise dispose of or hedge any of our common shares or any securities convertible into or exercisable, exchangeable or redeemable for our common shares. This lock-up agreement, however, will not prevent us from issuing or granting options to purchase:</w:t>
      </w:r>
    </w:p>
    <w:p>
      <w:pPr>
        <w:spacing w:after="0" w:line="18" w:lineRule="exact"/>
        <w:rPr>
          <w:sz w:val="20"/>
          <w:szCs w:val="20"/>
          <w:color w:val="auto"/>
        </w:rPr>
      </w:pPr>
    </w:p>
    <w:p>
      <w:pPr>
        <w:ind w:left="800" w:hanging="225"/>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common shares in this offering;</w:t>
      </w:r>
    </w:p>
    <w:p>
      <w:pPr>
        <w:spacing w:after="0" w:line="103" w:lineRule="exact"/>
        <w:rPr>
          <w:rFonts w:ascii="Arial" w:cs="Arial" w:eastAsia="Arial" w:hAnsi="Arial"/>
          <w:sz w:val="18"/>
          <w:szCs w:val="18"/>
          <w:color w:val="auto"/>
        </w:rPr>
      </w:pPr>
    </w:p>
    <w:p>
      <w:pPr>
        <w:ind w:left="800" w:right="380" w:hanging="225"/>
        <w:spacing w:after="0" w:line="268"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common shares pursuant to our Dividend Reinvestment and Share Purchase Plan, including as a result of exercises of options granted under these plans;</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common shares pursuant to our employee or trustee benefit plans, including as a result of exercises of options granted under these plans;</w:t>
      </w:r>
    </w:p>
    <w:p>
      <w:pPr>
        <w:spacing w:after="0" w:line="126" w:lineRule="exact"/>
        <w:rPr>
          <w:rFonts w:ascii="Arial" w:cs="Arial" w:eastAsia="Arial" w:hAnsi="Arial"/>
          <w:sz w:val="16"/>
          <w:szCs w:val="16"/>
          <w:color w:val="auto"/>
        </w:rPr>
      </w:pPr>
    </w:p>
    <w:p>
      <w:pPr>
        <w:ind w:left="800" w:hanging="225"/>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common shares upon conversion of our outstanding 5.417% Series 1 Cumulative Convertible Preferred Shares;</w:t>
      </w:r>
    </w:p>
    <w:p>
      <w:pPr>
        <w:spacing w:after="0" w:line="103" w:lineRule="exact"/>
        <w:rPr>
          <w:rFonts w:ascii="Arial" w:cs="Arial" w:eastAsia="Arial" w:hAnsi="Arial"/>
          <w:sz w:val="18"/>
          <w:szCs w:val="18"/>
          <w:color w:val="auto"/>
        </w:rPr>
      </w:pPr>
    </w:p>
    <w:p>
      <w:pPr>
        <w:ind w:left="800" w:hanging="225"/>
        <w:spacing w:after="0" w:line="259"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common shares pursuant to any exercise of contractual rights that exist on the date of this prospectus supplement and that require or permit us to issue common shares to current or former holders of partnership or other interests in certain of our “downREIT” partnerships or other subsidiaries, including as a result of exercises of options granted pursuant to such rights; and</w:t>
      </w:r>
    </w:p>
    <w:p>
      <w:pPr>
        <w:spacing w:after="0" w:line="45" w:lineRule="exact"/>
        <w:rPr>
          <w:rFonts w:ascii="Arial" w:cs="Arial" w:eastAsia="Arial" w:hAnsi="Arial"/>
          <w:sz w:val="18"/>
          <w:szCs w:val="18"/>
          <w:color w:val="auto"/>
        </w:rPr>
      </w:pPr>
    </w:p>
    <w:p>
      <w:pPr>
        <w:ind w:left="800" w:right="380" w:hanging="225"/>
        <w:spacing w:after="0" w:line="268"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subject to certain conditions, common shares, preferred shares and any other of our securities, including securities convertible into or exercisable, exchangeable or redeemable for common shares, as consideration for the acquisition of real property.</w:t>
      </w:r>
    </w:p>
    <w:p>
      <w:pPr>
        <w:spacing w:after="0" w:line="118"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The lock-up agreements do not prohibit our chief executive officer or chief financial officer from exercising options (as long as they hold the common shares received from such exercises pursuant to the terms of the lock-up agreements) or purchasing common shares under employee or trustee benefit plans, from making gifts of common shares or securities convertible into or exercisable, exchangeable or redeemable for common shares for the benefit of their immediate families or for charitable purposes as long as the underwriters are provided three business days’ prior written notice and the donee enters into a similar lock-up agreement.</w:t>
      </w:r>
    </w:p>
    <w:p>
      <w:pPr>
        <w:spacing w:after="0" w:line="129" w:lineRule="exact"/>
        <w:rPr>
          <w:sz w:val="20"/>
          <w:szCs w:val="20"/>
          <w:color w:val="auto"/>
        </w:rPr>
      </w:pPr>
    </w:p>
    <w:p>
      <w:pPr>
        <w:ind w:right="100" w:firstLine="571"/>
        <w:spacing w:after="0" w:line="268" w:lineRule="auto"/>
        <w:rPr>
          <w:sz w:val="20"/>
          <w:szCs w:val="20"/>
          <w:color w:val="auto"/>
        </w:rPr>
      </w:pPr>
      <w:r>
        <w:rPr>
          <w:rFonts w:ascii="Arial" w:cs="Arial" w:eastAsia="Arial" w:hAnsi="Arial"/>
          <w:sz w:val="18"/>
          <w:szCs w:val="18"/>
          <w:color w:val="auto"/>
        </w:rPr>
        <w:t>Wells Fargo Securities, LLC and J.P. Morgan Securities Inc. may, in their sole discretion and at any time or from time to time, without notice, release us, our chief executive officer or our chief financial officer from the lock-up agreements.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Over-Allotment Option</w:t>
      </w:r>
    </w:p>
    <w:p>
      <w:pPr>
        <w:spacing w:after="0" w:line="83"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We have granted an option to the underwriters to purchase up to an additional 260,250 common shares at the public offering price less the underwriting discount. The underwriters may exercise this option for 30 days from the date of this prospectus supplement solely to cover any over-allotments. If the underwriters exercise this option, each will be obligated, subject to conditions contained in the underwriting agreement and related pricing agreement, to purchase a number of additional common shares proportionate to that underwriter’s initial amount reflected in the table on the preceding page.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w:t>
      </w:r>
    </w:p>
    <w:p>
      <w:pPr>
        <w:spacing w:after="0" w:line="83" w:lineRule="exact"/>
        <w:rPr>
          <w:sz w:val="20"/>
          <w:szCs w:val="20"/>
          <w:color w:val="auto"/>
        </w:rPr>
      </w:pPr>
    </w:p>
    <w:p>
      <w:pPr>
        <w:ind w:right="80" w:firstLine="571"/>
        <w:spacing w:after="0" w:line="306" w:lineRule="auto"/>
        <w:rPr>
          <w:sz w:val="20"/>
          <w:szCs w:val="20"/>
          <w:color w:val="auto"/>
        </w:rPr>
      </w:pPr>
      <w:r>
        <w:rPr>
          <w:rFonts w:ascii="Arial" w:cs="Arial" w:eastAsia="Arial" w:hAnsi="Arial"/>
          <w:sz w:val="16"/>
          <w:szCs w:val="16"/>
          <w:color w:val="auto"/>
        </w:rPr>
        <w:t>In connection with this offering, the representatives, on behalf of the underwriters, may purchase and sell common shares in the open market. These transactions may include short sales, syndicate covering transactions and stabilizing transactions. Short sales involve syndicate sales of common shares in excess of the number of common shares to be purchased by the underwriters in this offering, which creates a syndicate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short position. “Covered” short sales are sales of common shares made in an amount up to the number of common shares represented by the underwriters’ over-allotment option. In determining the source of common shares to close out the covered syndicate short position, the underwriters will consider, among other things, the price of common shares available for purchase in the open market as compared to the price at which they may purchase common shares through the over-allotment option. Transactions to close out the covered syndicate short position involve either purchases of common shares in the open market after the distribution has been completed or the exercise of the over-allotment option. The underwriters may also make “naked” short sales of common shares in excess of the over-allotment option. The underwriters must close out any naked short position by purchasing common shares in the open market. A naked short position is more likely to be created if the underwriters are concerned that there may be downward pressure on the price of the common shares in the open market after pricing that could adversely affect investors who purchase in this offering. Stabilizing transactions consist of bids for or purchases of common shares in the open market while this offering is in progress.</w:t>
      </w:r>
    </w:p>
    <w:p>
      <w:pPr>
        <w:spacing w:after="0" w:line="106" w:lineRule="exact"/>
        <w:rPr>
          <w:sz w:val="20"/>
          <w:szCs w:val="20"/>
          <w:color w:val="auto"/>
        </w:rPr>
      </w:pPr>
    </w:p>
    <w:p>
      <w:pPr>
        <w:ind w:right="140" w:firstLine="571"/>
        <w:spacing w:after="0" w:line="256" w:lineRule="auto"/>
        <w:rPr>
          <w:sz w:val="20"/>
          <w:szCs w:val="20"/>
          <w:color w:val="auto"/>
        </w:rPr>
      </w:pPr>
      <w:r>
        <w:rPr>
          <w:rFonts w:ascii="Arial" w:cs="Arial" w:eastAsia="Arial" w:hAnsi="Arial"/>
          <w:sz w:val="18"/>
          <w:szCs w:val="18"/>
          <w:color w:val="auto"/>
        </w:rPr>
        <w:t>Any of these activities may have the effect of preventing or retarding a decline in the market price of the common shares. They may also cause the price of the common shares to be higher than the price that would otherwise exist in the open market in the absence of these transactions. The underwriters may conduct these transactions on the New York Stock Exchange or in the over-the-counter market, or otherwise. If the underwriters commence any of these transactions, they may discontinue them at any time.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Outside the United States</w:t>
      </w:r>
    </w:p>
    <w:p>
      <w:pPr>
        <w:spacing w:after="0" w:line="83" w:lineRule="exact"/>
        <w:rPr>
          <w:sz w:val="20"/>
          <w:szCs w:val="20"/>
          <w:color w:val="auto"/>
        </w:rPr>
      </w:pPr>
    </w:p>
    <w:p>
      <w:pPr>
        <w:ind w:right="120" w:firstLine="571"/>
        <w:spacing w:after="0" w:line="294" w:lineRule="auto"/>
        <w:rPr>
          <w:sz w:val="20"/>
          <w:szCs w:val="20"/>
          <w:color w:val="auto"/>
        </w:rPr>
      </w:pPr>
      <w:r>
        <w:rPr>
          <w:rFonts w:ascii="Arial" w:cs="Arial" w:eastAsia="Arial" w:hAnsi="Arial"/>
          <w:sz w:val="16"/>
          <w:szCs w:val="16"/>
          <w:color w:val="auto"/>
        </w:rPr>
        <w:t>No action has been taken in any jurisdiction (except in the United States) that would permit a public offering of the common shares, or the possession, circulation or distribution of this prospectus supplement, the accompanying prospectus or any other material relating to us or the common shares in any jurisdiction where action for that purpose is required. Accordingly, the common shares may not be offered or sold, directly or indirectly, and none of this prospectus supplement, the accompanying prospectus or any other offering material or advertisements in connection with the common shares may be distributed or published, in or from any country or jurisdiction, except in compliance with any applicable rules and regulations of any such country or jurisdiction.</w:t>
      </w:r>
    </w:p>
    <w:p>
      <w:pPr>
        <w:spacing w:after="0" w:line="102" w:lineRule="exact"/>
        <w:rPr>
          <w:sz w:val="20"/>
          <w:szCs w:val="20"/>
          <w:color w:val="auto"/>
        </w:rPr>
      </w:pPr>
    </w:p>
    <w:p>
      <w:pPr>
        <w:ind w:right="20" w:firstLine="571"/>
        <w:spacing w:after="0" w:line="294" w:lineRule="auto"/>
        <w:rPr>
          <w:sz w:val="20"/>
          <w:szCs w:val="20"/>
          <w:color w:val="auto"/>
        </w:rPr>
      </w:pPr>
      <w:r>
        <w:rPr>
          <w:rFonts w:ascii="Arial" w:cs="Arial" w:eastAsia="Arial" w:hAnsi="Arial"/>
          <w:sz w:val="16"/>
          <w:szCs w:val="16"/>
          <w:color w:val="auto"/>
        </w:rPr>
        <w:t>Each of the underwriters may arrange to sell common shares offered hereby in certain jurisdictions outside the United States, either directly or through affiliates, where they are permitted to do so. In that regard, Wells Fargo Securities, LLC may arrange to sell common shares in certain jurisdictions through an affiliate, Wells Fargo Securities International Limited, or WSIL. WSIL is a wholly-owned indirect subsidiary of Wells Fargo &amp; Company and an affiliate of Wells Fargo Securities, LLC. WSIL is a U.K. incorporated investment firm regulated by the Financial Services Authority. Wells Fargo Securities is the trade name for certain corporate and investment banking services of Wells Fargo &amp; Company and its affiliates, including Wells Fargo Securities, LLC and WSIL.</w:t>
      </w:r>
    </w:p>
    <w:p>
      <w:pPr>
        <w:spacing w:after="0" w:line="102"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b w:val="1"/>
          <w:bCs w:val="1"/>
          <w:i w:val="1"/>
          <w:iCs w:val="1"/>
          <w:color w:val="auto"/>
        </w:rPr>
        <w:t xml:space="preserve">European Economic Area. </w:t>
      </w:r>
      <w:r>
        <w:rPr>
          <w:rFonts w:ascii="Arial" w:cs="Arial" w:eastAsia="Arial" w:hAnsi="Arial"/>
          <w:sz w:val="16"/>
          <w:szCs w:val="16"/>
          <w:color w:val="auto"/>
        </w:rPr>
        <w:t>In relation to each member state of the European Economic Area that has implemented the Prospectus Directive, or a relevant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member state, with effect from and including the date on which the Prospectus Directive is implemented in that relevant member state, or the relevant implementation date, an offer of common shares described in this prospectus supplement and the accompanying prospectus may not be made to the public in that relevant member state prior to the publication of a prospectus in relation to the common shares that have been approved by the competent authority in that relevant member state or, where appropriate, approved in another relevant member state and notified to the competent authority in that relevant member state, all in accordance with the Prospectus Directive, except that, with effect from and including the relevant implementation date, an offer of common shares may be offered to the public in that relevant member state at any time:</w:t>
      </w:r>
    </w:p>
    <w:p>
      <w:pPr>
        <w:spacing w:after="0" w:line="24" w:lineRule="exact"/>
        <w:rPr>
          <w:sz w:val="20"/>
          <w:szCs w:val="20"/>
          <w:color w:val="auto"/>
        </w:rPr>
      </w:pPr>
    </w:p>
    <w:p>
      <w:pPr>
        <w:ind w:left="800" w:right="180" w:hanging="225"/>
        <w:spacing w:after="0" w:line="268"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legal entities which are authorized or regulated to operate in the financial markets or, if not so authorized or regulated, whose corporate purpose is solely to invest in securities;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40" w:hanging="225"/>
        <w:spacing w:after="0" w:line="325" w:lineRule="auto"/>
        <w:tabs>
          <w:tab w:leader="none" w:pos="8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any legal entity that has two or more of (a) an average of at least 250 employees during the last financial year; (b) a total balance sheet of more than €43,000,000; and (c) an annual net turnover of more than €50,000,000, as shown in its last annual or consolidated accounts;</w:t>
      </w:r>
    </w:p>
    <w:p>
      <w:pPr>
        <w:spacing w:after="0" w:line="1" w:lineRule="exact"/>
        <w:rPr>
          <w:rFonts w:ascii="Arial" w:cs="Arial" w:eastAsia="Arial" w:hAnsi="Arial"/>
          <w:sz w:val="16"/>
          <w:szCs w:val="16"/>
          <w:color w:val="auto"/>
        </w:rPr>
      </w:pPr>
    </w:p>
    <w:p>
      <w:pPr>
        <w:ind w:left="800" w:right="120" w:hanging="225"/>
        <w:spacing w:after="0" w:line="268"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fewer than 100 natural or legal persons (other than qualified investors as defined in the Prospectus Directive) subject to obtaining the prior consent of the representatives; or</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any other circumstances that do not require the publication of a prospectus pursuant to Article 3 of the Prospectus Directive;</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provided that no such offer of common shares shall require us or any underwriter to publish a prospectus pursuant to Article 3 of the Prospective Directive.</w:t>
      </w:r>
    </w:p>
    <w:p>
      <w:pPr>
        <w:spacing w:after="0" w:line="181" w:lineRule="exact"/>
        <w:rPr>
          <w:sz w:val="20"/>
          <w:szCs w:val="20"/>
          <w:color w:val="auto"/>
        </w:rPr>
      </w:pPr>
    </w:p>
    <w:p>
      <w:pPr>
        <w:ind w:right="80" w:firstLine="571"/>
        <w:spacing w:after="0" w:line="332" w:lineRule="auto"/>
        <w:rPr>
          <w:sz w:val="20"/>
          <w:szCs w:val="20"/>
          <w:color w:val="auto"/>
        </w:rPr>
      </w:pPr>
      <w:r>
        <w:rPr>
          <w:rFonts w:ascii="Arial" w:cs="Arial" w:eastAsia="Arial" w:hAnsi="Arial"/>
          <w:sz w:val="16"/>
          <w:szCs w:val="16"/>
          <w:color w:val="auto"/>
        </w:rPr>
        <w:t>Each purchaser of common shares described in this prospectus supplement and the accompanying prospectus located within a relevant member state will be deemed to have represented, acknowledged and agreed that it is a “qualified investor” within the meaning of Article 2(1)(e) of the Prospectus Directive.</w:t>
      </w:r>
    </w:p>
    <w:p>
      <w:pPr>
        <w:spacing w:after="0" w:line="72" w:lineRule="exact"/>
        <w:rPr>
          <w:sz w:val="20"/>
          <w:szCs w:val="20"/>
          <w:color w:val="auto"/>
        </w:rPr>
      </w:pPr>
    </w:p>
    <w:p>
      <w:pPr>
        <w:ind w:right="140" w:firstLine="571"/>
        <w:spacing w:after="0" w:line="298" w:lineRule="auto"/>
        <w:rPr>
          <w:sz w:val="20"/>
          <w:szCs w:val="20"/>
          <w:color w:val="auto"/>
        </w:rPr>
      </w:pPr>
      <w:r>
        <w:rPr>
          <w:rFonts w:ascii="Arial" w:cs="Arial" w:eastAsia="Arial" w:hAnsi="Arial"/>
          <w:sz w:val="16"/>
          <w:szCs w:val="16"/>
          <w:color w:val="auto"/>
        </w:rPr>
        <w:t>For purposes of this provision, the expression an “offer to the public” in any relevant member state means the communication in any form and by any means of sufficient information on the terms of the offer and the securities to be offered so as to enable an investor to decide to purchase or subscribe the securities, as the expression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99" w:lineRule="exact"/>
        <w:rPr>
          <w:sz w:val="20"/>
          <w:szCs w:val="20"/>
          <w:color w:val="auto"/>
        </w:rPr>
      </w:pPr>
    </w:p>
    <w:p>
      <w:pPr>
        <w:ind w:right="20" w:firstLine="571"/>
        <w:spacing w:after="0" w:line="255" w:lineRule="auto"/>
        <w:rPr>
          <w:sz w:val="20"/>
          <w:szCs w:val="20"/>
          <w:color w:val="auto"/>
        </w:rPr>
      </w:pPr>
      <w:r>
        <w:rPr>
          <w:rFonts w:ascii="Arial" w:cs="Arial" w:eastAsia="Arial" w:hAnsi="Arial"/>
          <w:sz w:val="18"/>
          <w:szCs w:val="18"/>
          <w:b w:val="1"/>
          <w:bCs w:val="1"/>
          <w:i w:val="1"/>
          <w:iCs w:val="1"/>
          <w:color w:val="auto"/>
        </w:rPr>
        <w:t xml:space="preserve">United Kingdom. </w:t>
      </w:r>
      <w:r>
        <w:rPr>
          <w:rFonts w:ascii="Arial" w:cs="Arial" w:eastAsia="Arial" w:hAnsi="Arial"/>
          <w:sz w:val="18"/>
          <w:szCs w:val="18"/>
          <w:color w:val="auto"/>
        </w:rPr>
        <w:t>In addition, each underwriter: (a) has only communicated or caused to be communicated and will only communicate or cause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communicated any invitation or inducement to engage in investment activity (within the meaning of Section 21 of the Financial Services and Markets Act 2000, or the FSMA) received by it in connection with the issue or sale of common shares in circumstances in which Section 21(1) of the FSMA does not apply to us, and (b) has complied and will comply with all applicable provisions of the FSMA with respect to anything done by it in relation to the common shares in, from or otherwise involving the United Kingdom.</w:t>
      </w:r>
    </w:p>
    <w:p>
      <w:pPr>
        <w:spacing w:after="0" w:line="129"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Without limitation to the other restrictions referred to herein, this prospectus supplement and the accompanying prospectus are directed only at (1) persons outside the United Kingdom; (2) persons having professional experience in matters relating to investments who fall within the definition of “investment professionals” in Article 19(5) of the Financial Services and Markets Act 2000 (Financial Promotion) Order 2005; or (3) high net worth bodies corporate, unincorporated associations and partnerships and trustees of high value trusts as described in Article 49(2) of the Financial Services and Markets Act 2000 (Financial Promotion) Order 2005. Without limitation to the other restrictions referred to herein, any investment or investment activity to which this prospectus supplement and the accompanying prospectus relates is available only to, and will be engaged in only with, such persons, and persons within the United Kingdom who receive this communication (other than persons who fall within (2) or (3) above) should not rely or act upon this communication.</w:t>
      </w:r>
    </w:p>
    <w:p>
      <w:pPr>
        <w:spacing w:after="0" w:line="105"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b w:val="1"/>
          <w:bCs w:val="1"/>
          <w:i w:val="1"/>
          <w:iCs w:val="1"/>
          <w:color w:val="auto"/>
        </w:rPr>
        <w:t xml:space="preserve">France. </w:t>
      </w:r>
      <w:r>
        <w:rPr>
          <w:rFonts w:ascii="Arial" w:cs="Arial" w:eastAsia="Arial" w:hAnsi="Arial"/>
          <w:sz w:val="16"/>
          <w:szCs w:val="16"/>
          <w:color w:val="auto"/>
        </w:rPr>
        <w:t>This prospectus supplement and the accompanying prospectus (including any amendment, supplement or replacement thereto) have not been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prepared in connection with the offering of our securities that has been approved by the Autorité des marchés financiers or by the competent authority of another State that is a contracting party to the Agreement on the European Economic Area and notified to the Autorité des marchés financiers; no security has been offered or sold or will be offered or sold, directly or indirectly, to the public in France except to permitted investors, or Permitted Investors, consisting of persons licensed to provide the investment service of portfolio management for the account of third parties, qualified investors (investisseurs qualifiés) acting for their own account and/or corporate investors meeting one of the four criteria provided in article D. 341-1 of the French Code Monétaire et Financier and belonging to a limited circle of investors (cercle restreint d’investisseurs) acting for their own account, with “qualified investors” and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“limited circle of investors” having the meaning ascribed to them in Article L. 411-2, D. 411-1, D. 411-2, D. 734-1, D. 744-1, D. 754-1 and D. 764-1 of the French Code Monétaire et Financier; neither this prospectus supplement, the accompanying prospectus nor any other materials related to the offer or information contained herein or therein relating to our securities has been released, issued or distributed to the public in France except to Permitted Investors; and the direct or indirect resale to the public in France of any securities acquired by any Permitted Investors may be made only as provided by articles L. 411-1, L. 411-2, L. 412-1 and L. 621-8 to L. 621-8-3 of the French Code Monétaire et Financier and applicable regulations thereunder.</w:t>
      </w:r>
    </w:p>
    <w:p>
      <w:pPr>
        <w:spacing w:after="0" w:line="102" w:lineRule="exact"/>
        <w:rPr>
          <w:sz w:val="20"/>
          <w:szCs w:val="20"/>
          <w:color w:val="auto"/>
        </w:rPr>
      </w:pPr>
    </w:p>
    <w:p>
      <w:pPr>
        <w:ind w:right="100" w:firstLine="571"/>
        <w:spacing w:after="0" w:line="286" w:lineRule="auto"/>
        <w:rPr>
          <w:sz w:val="20"/>
          <w:szCs w:val="20"/>
          <w:color w:val="auto"/>
        </w:rPr>
      </w:pPr>
      <w:r>
        <w:rPr>
          <w:rFonts w:ascii="Arial" w:cs="Arial" w:eastAsia="Arial" w:hAnsi="Arial"/>
          <w:sz w:val="16"/>
          <w:szCs w:val="16"/>
          <w:b w:val="1"/>
          <w:bCs w:val="1"/>
          <w:i w:val="1"/>
          <w:iCs w:val="1"/>
          <w:color w:val="auto"/>
        </w:rPr>
        <w:t xml:space="preserve">Switzerland. </w:t>
      </w:r>
      <w:r>
        <w:rPr>
          <w:rFonts w:ascii="Arial" w:cs="Arial" w:eastAsia="Arial" w:hAnsi="Arial"/>
          <w:sz w:val="16"/>
          <w:szCs w:val="16"/>
          <w:color w:val="auto"/>
        </w:rPr>
        <w:t>Our securities may not and will not be publicly offered, distributed or re-distributed on a professional basis in or from Switzerland,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neither this prospectus supplement, the accompanying prospectus nor any other solicitation for investments in our securities may be communicated or distributed in Switzerland in any way that could constitute a public offering within the meaning of articles 652a or 1156 of the Swiss Federal Code of Obligations or of Article 2 of the Federal Act on Investment Funds of March 18, 1994. This prospectus supplement and the accompanying prospectus may not be copied, reproduced, distributed or passed on to others without the representatives’ prior written consent. This prospectus supplement and the accompanying prospectus are not a prospectus within the meaning of Articles 1156 and 652a of the Swiss Code of Obligations or a listing prospectus according to article 32 of the Listing Rules of the Swiss exchange and may not comply with the information standards required thereunder. We will not apply for a listing of our securities on any Swiss stock exchange or other Swiss regulated market and this prospectus supplement and the accompanying prospectus may not comply with the information required under the relevant listing rules. The securities have not been and will not be approved by any Swiss regulatory authority. The securities have not been and will not be registered with or supervised by the Swiss Federal Banking Commission, and have not been and will not be authorized under the Federal Act on Investment Funds of March 18, 1994. The investor protection afforded to acquirers of investment fund certificates by the Federal Act on Investment Funds of March 18, 1994 does not extend to acquirers of our securities.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83"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The underwriters have performed investment banking, and other commercial services for us from time to time for which they have received customary fees and expenses. The underwriters may, from time to time, engage in transactions with and perform services for us in the ordinary course of their business. Affiliates of certain of the underwriters are lenders under our $372 million term loan maturing on July 27, 2011 and will receive a pro rata portion of any proceeds used to reduce amounts outstanding under the term loan.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on the New York Stock Exchange</w:t>
      </w:r>
    </w:p>
    <w:p>
      <w:pPr>
        <w:spacing w:after="0" w:line="8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common shares are listed on the New York Stock Exchange under the symbol “FRT.”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Prospectus</w:t>
      </w:r>
    </w:p>
    <w:p>
      <w:pPr>
        <w:spacing w:after="0" w:line="83"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A copy of this prospectus supplement and the accompanying prospectus may be made available in electronic format on the websites maintained by one or more of the underwriters. Other than this prospectus supplement in electronic format, the information on any underwriter’s website is not part of this prospectus supplement.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Indemnity</w:t>
      </w:r>
    </w:p>
    <w:p>
      <w:pPr>
        <w:spacing w:after="0" w:line="83" w:lineRule="exact"/>
        <w:rPr>
          <w:sz w:val="20"/>
          <w:szCs w:val="20"/>
          <w:color w:val="auto"/>
        </w:rPr>
      </w:pPr>
    </w:p>
    <w:p>
      <w:pPr>
        <w:ind w:right="120" w:firstLine="571"/>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Act, or to contribute to payments the underwriters may be required to make because of any of those liabilities.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right="200" w:firstLine="571"/>
        <w:spacing w:after="0" w:line="268"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incorporated by reference in this prospectus supplement and elsewhere in the registration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statement have been so incorporated by reference in reliance upon the reports of Grant Thornton LLP, independent registered public accountants, upon the authority of said firm as experts in accounting and auditing in giving said reports.</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 xml:space="preserve">The legality of the common shares offered by this prospectus supplement will be passed upon for us by Pillsbury Winthrop Shaw Pittman LLP, Washington, DC. In addition, the descriptions of material U.S. federal income tax considerations contained in the accompanying prospectus under “Material Federal Income Tax Considerations” are, to the extent that they constitute matters of law, summaries of legal matters or legal conclusions, based upon the opinion of Pillsbury Winthrop Shaw Pittman LLP, Washington, DC. Sidley Austin </w:t>
      </w:r>
      <w:r>
        <w:rPr>
          <w:rFonts w:ascii="Arial" w:cs="Arial" w:eastAsia="Arial" w:hAnsi="Arial"/>
          <w:sz w:val="13"/>
          <w:szCs w:val="13"/>
          <w:color w:val="auto"/>
        </w:rPr>
        <w:t>LLP</w:t>
      </w:r>
      <w:r>
        <w:rPr>
          <w:rFonts w:ascii="Arial" w:cs="Arial" w:eastAsia="Arial" w:hAnsi="Arial"/>
          <w:sz w:val="16"/>
          <w:szCs w:val="16"/>
          <w:color w:val="auto"/>
        </w:rPr>
        <w:t>, New York, New York, will act as counsel to the underwriters.</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00"/>
        <w:spacing w:after="0"/>
        <w:rPr>
          <w:sz w:val="20"/>
          <w:szCs w:val="20"/>
          <w:color w:val="auto"/>
        </w:rPr>
      </w:pPr>
      <w:r>
        <w:rPr>
          <w:rFonts w:ascii="Arial" w:cs="Arial" w:eastAsia="Arial" w:hAnsi="Arial"/>
          <w:sz w:val="22"/>
          <w:szCs w:val="22"/>
          <w:b w:val="1"/>
          <w:bCs w:val="1"/>
          <w:color w:val="auto"/>
        </w:rPr>
        <w:t>Debt Securities, Common Shares, Preferred Shares, Depositary Shares and Warrants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from time to time offer, in one or more series, separately or together, the following:</w:t>
      </w:r>
    </w:p>
    <w:p>
      <w:pPr>
        <w:spacing w:after="0" w:line="90"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debt securities, which may be either senior debt securities or subordinated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common shares of beneficial interest (and rights to acquire common shares that are attached to, or trade with, our common shares);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preferred shares of beneficial interest;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preferred shares of beneficial interest represented by depositary receipts;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warrants to purchase our common and preferred shares.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shares are listed on the New York Stock Exchange under the symbol “FRT.”</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will offer our securities in amounts, at prices and on terms to be determined at the time we offer such securities. When we sell a particular series of securities, we prepare a prospectus supplement describing the offering and the terms of that series of securities. Such terms may include limitations on direct or beneficial ownership and restrictions on transfer of our securities being offered that we believe are appropriate to preserve our status as a real estate investment trust, or REIT, for federal income tax purposes.</w:t>
      </w:r>
    </w:p>
    <w:p>
      <w:pPr>
        <w:spacing w:after="0" w:line="14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applicable prospectus supplement will also contain information, where applicable, about certain United States federal income tax considerations relating to the securities covered by such prospectus supplement.</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offer our securities directly, through agents we may designate from time to time, or to or through underwriters or dealers.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 None of our securities may be sold without delivery of the applicable prospectus supplement describing the method and terms of the offering of such class or series of the securities.</w:t>
      </w:r>
    </w:p>
    <w:p>
      <w:pPr>
        <w:spacing w:after="0" w:line="107" w:lineRule="exact"/>
        <w:rPr>
          <w:sz w:val="20"/>
          <w:szCs w:val="20"/>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securities involves risks. See “</w:t>
      </w:r>
      <w:hyperlink w:anchor="page18">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on page 2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72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133350</wp:posOffset>
            </wp:positionV>
            <wp:extent cx="15176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date of this prospectus is June 16, 2009.</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0" w:type="dxa"/>
            <w:vAlign w:val="bottom"/>
            <w:gridSpan w:val="2"/>
          </w:tcPr>
          <w:p>
            <w:pPr>
              <w:ind w:left="164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140" w:type="dxa"/>
            <w:vAlign w:val="bottom"/>
            <w:gridSpan w:val="12"/>
            <w:vMerge w:val="restart"/>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About this Prospectus</w:t>
              </w:r>
            </w:hyperlink>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11140" w:type="dxa"/>
            <w:vAlign w:val="bottom"/>
            <w:gridSpan w:val="12"/>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18">
              <w:r>
                <w:rPr>
                  <w:rFonts w:ascii="Arial" w:cs="Arial" w:eastAsia="Arial" w:hAnsi="Arial"/>
                  <w:sz w:val="18"/>
                  <w:szCs w:val="18"/>
                  <w:color w:val="0000EE"/>
                  <w:w w:val="87"/>
                </w:rPr>
                <w:t>Risk Factors</w:t>
              </w:r>
            </w:hyperlink>
          </w:p>
        </w:tc>
        <w:tc>
          <w:tcPr>
            <w:tcW w:w="640" w:type="dxa"/>
            <w:vAlign w:val="bottom"/>
            <w:tcBorders>
              <w:top w:val="single" w:sz="8" w:color="0000EE"/>
            </w:tcBorders>
            <w:gridSpan w:val="4"/>
          </w:tcPr>
          <w:p>
            <w:pPr>
              <w:spacing w:after="0"/>
              <w:rPr>
                <w:sz w:val="17"/>
                <w:szCs w:val="17"/>
                <w:color w:val="auto"/>
              </w:rPr>
            </w:pPr>
          </w:p>
        </w:tc>
        <w:tc>
          <w:tcPr>
            <w:tcW w:w="9600" w:type="dxa"/>
            <w:vAlign w:val="bottom"/>
            <w:gridSpan w:val="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18">
              <w:r>
                <w:rPr>
                  <w:rFonts w:ascii="Arial" w:cs="Arial" w:eastAsia="Arial" w:hAnsi="Arial"/>
                  <w:sz w:val="18"/>
                  <w:szCs w:val="18"/>
                  <w:color w:val="0000EE"/>
                  <w:w w:val="92"/>
                </w:rPr>
                <w:t>Forward-Looking Information</w:t>
              </w:r>
            </w:hyperlink>
          </w:p>
        </w:tc>
        <w:tc>
          <w:tcPr>
            <w:tcW w:w="9000" w:type="dxa"/>
            <w:vAlign w:val="bottom"/>
            <w:gridSpan w:val="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1140" w:type="dxa"/>
            <w:vAlign w:val="bottom"/>
            <w:gridSpan w:val="12"/>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The Company</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12"/>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Use of Proceeds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20">
              <w:r>
                <w:rPr>
                  <w:rFonts w:ascii="Arial" w:cs="Arial" w:eastAsia="Arial" w:hAnsi="Arial"/>
                  <w:sz w:val="18"/>
                  <w:szCs w:val="18"/>
                  <w:color w:val="0000EE"/>
                  <w:w w:val="87"/>
                </w:rPr>
                <w:t>Ratios of Earnings to Combined Fixed Charges and Preferred Share Dividends</w:t>
              </w:r>
            </w:hyperlink>
          </w:p>
        </w:tc>
        <w:tc>
          <w:tcPr>
            <w:tcW w:w="56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Description of Debt Securities</w:t>
              </w:r>
            </w:hyperlink>
          </w:p>
        </w:tc>
        <w:tc>
          <w:tcPr>
            <w:tcW w:w="9000" w:type="dxa"/>
            <w:vAlign w:val="bottom"/>
            <w:gridSpan w:val="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0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Description of Shares of Beneficial Interest</w:t>
              </w:r>
            </w:hyperlink>
          </w:p>
        </w:tc>
        <w:tc>
          <w:tcPr>
            <w:tcW w:w="808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1140" w:type="dxa"/>
            <w:vAlign w:val="bottom"/>
            <w:gridSpan w:val="12"/>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Material Federal Income Tax Considerations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31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Plan of Distribution</w:t>
              </w:r>
            </w:hyperlink>
          </w:p>
        </w:tc>
        <w:tc>
          <w:tcPr>
            <w:tcW w:w="800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Legal Matters</w:t>
              </w:r>
            </w:hyperlink>
          </w:p>
        </w:tc>
        <w:tc>
          <w:tcPr>
            <w:tcW w:w="974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Experts</w:t>
              </w:r>
            </w:hyperlink>
          </w:p>
        </w:tc>
        <w:tc>
          <w:tcPr>
            <w:tcW w:w="10140" w:type="dxa"/>
            <w:vAlign w:val="bottom"/>
            <w:gridSpan w:val="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834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12"/>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Where You Can Find More Information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either separately or in units, in one or more offerings.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Before purchasing any securities, you should read both this prospectus and the applicable prospectus supplement and any applicable free writing prospectus, together with additional information described under the heading “Where You Can Find More Information.”</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References to “we,” “us,” “our” or “ours” refer to Federal Realty Investment Trust and its directly or indirectly owned subsidiaries, unless the context otherwise requires. The term “you” refers to a prospective investor.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Investing in our securities involves a high degree of risk. Before making an investment decision, please consider the risks described under the caption “Risk Factors” in our Annual Report on Form 10-K for the fiscal year ended December 31, 2008,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INFORMATION</w:t>
      </w:r>
    </w:p>
    <w:p>
      <w:pPr>
        <w:spacing w:after="0" w:line="17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This prospectus contains and incorporates forward-looking statements within the meaning of Section 27A of the Securities Act of 1933, as amended, or the Securities Act, Section 21E of the Securities Exchange Act of 1934, as amended, or the Exchange Act,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 this prospectus and in any prospectus supplement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COMPANY</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are an equity real estate investment trust specializing in the ownership, management and redevelopment of high-quality retail and mixed-use properties located primarily in densely populated and affluent communities in strategically selected metropolitan markets in the Northeast and Mid-Atlantic regions of the United States, as well as in California. As of March 31, 2009, we owned or had a majority interest in community and neighborhood shopping centers and mixed-use projects which are operated as 84 predominantly retail real estate properties comprising approximately 18.1 million square feet.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operate in a manner intended to enable us to qualify as a REIT pursuant to provisions of the Internal Revenue Code of 1986, as amended, or the Code.</w:t>
      </w:r>
    </w:p>
    <w:p>
      <w:pPr>
        <w:spacing w:after="0" w:line="206"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We were founded in 1962 as a real estate investment trust under the laws of the District of Columbia and re-formed as a real estate investment trust in the state of Maryland in 1999. Our principal executive offices are located at 1626 East Jefferson Street, Rockville, Maryland 20852. Our telephone number is</w:t>
      </w:r>
    </w:p>
    <w:p>
      <w:pPr>
        <w:ind w:right="60" w:firstLine="8"/>
        <w:spacing w:after="0" w:line="323" w:lineRule="auto"/>
        <w:tabs>
          <w:tab w:leader="none" w:pos="424"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998-8100. Our website address is </w:t>
      </w:r>
      <w:r>
        <w:rPr>
          <w:rFonts w:ascii="Arial" w:cs="Arial" w:eastAsia="Arial" w:hAnsi="Arial"/>
          <w:sz w:val="16"/>
          <w:szCs w:val="16"/>
          <w:i w:val="1"/>
          <w:iCs w:val="1"/>
          <w:color w:val="auto"/>
        </w:rPr>
        <w:t>www.federalrealty.com</w:t>
      </w:r>
      <w:r>
        <w:rPr>
          <w:rFonts w:ascii="Arial" w:cs="Arial" w:eastAsia="Arial" w:hAnsi="Arial"/>
          <w:sz w:val="16"/>
          <w:szCs w:val="16"/>
          <w:color w:val="auto"/>
        </w:rPr>
        <w:t>. The information contained on our website is not a part of this prospectus and is not incorporated herein by reference.</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459" w:right="3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Unless otherwise specified in the applicable prospectus supplement, we will use the net proceeds from the sale of securities for one or more of the following:</w:t>
      </w:r>
    </w:p>
    <w:p>
      <w:pPr>
        <w:spacing w:after="0" w:line="172"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repayment of debt;</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acquisition of additional properties;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redevelopment of existing properties;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redemption of preferred shares;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working capital and general corporate purposes.</w:t>
      </w:r>
    </w:p>
    <w:p>
      <w:pPr>
        <w:spacing w:after="0" w:line="165"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RATIO OF EARNINGS TO COMBINED FIXED CHARGES AND PREFERRED SHARE DIVIDENDS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historical ratio of earnings to fixed charges and preferred stock dividends for the periods indicated: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For the Three Months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620" w:type="dxa"/>
            <w:vAlign w:val="bottom"/>
          </w:tcPr>
          <w:p>
            <w:pPr>
              <w:spacing w:after="0"/>
              <w:rPr>
                <w:sz w:val="14"/>
                <w:szCs w:val="14"/>
                <w:color w:val="auto"/>
              </w:rPr>
            </w:pPr>
          </w:p>
        </w:tc>
        <w:tc>
          <w:tcPr>
            <w:tcW w:w="1360" w:type="dxa"/>
            <w:vAlign w:val="bottom"/>
            <w:gridSpan w:val="3"/>
          </w:tcPr>
          <w:p>
            <w:pPr>
              <w:jc w:val="right"/>
              <w:ind w:right="102"/>
              <w:spacing w:after="0"/>
              <w:rPr>
                <w:sz w:val="20"/>
                <w:szCs w:val="20"/>
                <w:color w:val="auto"/>
              </w:rPr>
            </w:pPr>
            <w:r>
              <w:rPr>
                <w:rFonts w:ascii="Arial" w:cs="Arial" w:eastAsia="Arial" w:hAnsi="Arial"/>
                <w:sz w:val="14"/>
                <w:szCs w:val="14"/>
                <w:b w:val="1"/>
                <w:bCs w:val="1"/>
                <w:color w:val="auto"/>
              </w:rPr>
              <w:t>Ended March 31,</w:t>
            </w:r>
          </w:p>
        </w:tc>
        <w:tc>
          <w:tcPr>
            <w:tcW w:w="220" w:type="dxa"/>
            <w:vAlign w:val="bottom"/>
          </w:tcPr>
          <w:p>
            <w:pPr>
              <w:spacing w:after="0"/>
              <w:rPr>
                <w:sz w:val="14"/>
                <w:szCs w:val="14"/>
                <w:color w:val="auto"/>
              </w:rPr>
            </w:pPr>
          </w:p>
        </w:tc>
        <w:tc>
          <w:tcPr>
            <w:tcW w:w="2240" w:type="dxa"/>
            <w:vAlign w:val="bottom"/>
            <w:gridSpan w:val="13"/>
          </w:tcPr>
          <w:p>
            <w:pPr>
              <w:ind w:left="100"/>
              <w:spacing w:after="0"/>
              <w:rPr>
                <w:sz w:val="20"/>
                <w:szCs w:val="20"/>
                <w:color w:val="auto"/>
              </w:rPr>
            </w:pPr>
            <w:r>
              <w:rPr>
                <w:rFonts w:ascii="Arial" w:cs="Arial" w:eastAsia="Arial" w:hAnsi="Arial"/>
                <w:sz w:val="14"/>
                <w:szCs w:val="14"/>
                <w:b w:val="1"/>
                <w:bCs w:val="1"/>
                <w:color w:val="auto"/>
                <w:w w:val="91"/>
              </w:rPr>
              <w:t>For the Years Ended December 31,</w:t>
            </w:r>
          </w:p>
        </w:tc>
        <w:tc>
          <w:tcPr>
            <w:tcW w:w="0" w:type="dxa"/>
            <w:vAlign w:val="bottom"/>
          </w:tcPr>
          <w:p>
            <w:pPr>
              <w:spacing w:after="0"/>
              <w:rPr>
                <w:sz w:val="1"/>
                <w:szCs w:val="1"/>
                <w:color w:val="auto"/>
              </w:rPr>
            </w:pPr>
          </w:p>
        </w:tc>
      </w:tr>
      <w:tr>
        <w:trPr>
          <w:trHeight w:val="142"/>
        </w:trPr>
        <w:tc>
          <w:tcPr>
            <w:tcW w:w="7620" w:type="dxa"/>
            <w:vAlign w:val="bottom"/>
          </w:tcPr>
          <w:p>
            <w:pPr>
              <w:spacing w:after="0"/>
              <w:rPr>
                <w:sz w:val="12"/>
                <w:szCs w:val="12"/>
                <w:color w:val="auto"/>
              </w:rPr>
            </w:pPr>
          </w:p>
        </w:tc>
        <w:tc>
          <w:tcPr>
            <w:tcW w:w="58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580" w:type="dxa"/>
            <w:vAlign w:val="bottom"/>
            <w:tcBorders>
              <w:top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2007</w:t>
            </w:r>
          </w:p>
        </w:tc>
        <w:tc>
          <w:tcPr>
            <w:tcW w:w="500" w:type="dxa"/>
            <w:vAlign w:val="bottom"/>
            <w:tcBorders>
              <w:top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2006</w:t>
            </w:r>
          </w:p>
        </w:tc>
        <w:tc>
          <w:tcPr>
            <w:tcW w:w="480" w:type="dxa"/>
            <w:vAlign w:val="bottom"/>
            <w:tcBorders>
              <w:top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2005</w:t>
            </w:r>
          </w:p>
        </w:tc>
        <w:tc>
          <w:tcPr>
            <w:tcW w:w="3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20" w:type="dxa"/>
            <w:vAlign w:val="bottom"/>
          </w:tcPr>
          <w:p>
            <w:pPr>
              <w:spacing w:after="0"/>
              <w:rPr>
                <w:sz w:val="20"/>
                <w:szCs w:val="20"/>
                <w:color w:val="auto"/>
              </w:rPr>
            </w:pPr>
            <w:r>
              <w:rPr>
                <w:rFonts w:ascii="Arial" w:cs="Arial" w:eastAsia="Arial" w:hAnsi="Arial"/>
                <w:sz w:val="18"/>
                <w:szCs w:val="18"/>
                <w:color w:val="auto"/>
              </w:rPr>
              <w:t>Ratio of earnings to combined fixed charges and preferred stock dividends</w:t>
            </w:r>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1.7</w:t>
            </w:r>
          </w:p>
        </w:tc>
        <w:tc>
          <w:tcPr>
            <w:tcW w:w="500" w:type="dxa"/>
            <w:vAlign w:val="bottom"/>
            <w:gridSpan w:val="3"/>
          </w:tcPr>
          <w:p>
            <w:pPr>
              <w:jc w:val="right"/>
              <w:ind w:right="120"/>
              <w:spacing w:after="0"/>
              <w:rPr>
                <w:sz w:val="20"/>
                <w:szCs w:val="20"/>
                <w:color w:val="auto"/>
              </w:rPr>
            </w:pPr>
            <w:r>
              <w:rPr>
                <w:rFonts w:ascii="Arial" w:cs="Arial" w:eastAsia="Arial" w:hAnsi="Arial"/>
                <w:sz w:val="18"/>
                <w:szCs w:val="18"/>
                <w:color w:val="auto"/>
              </w:rPr>
              <w:t>1.6</w:t>
            </w:r>
          </w:p>
        </w:tc>
        <w:tc>
          <w:tcPr>
            <w:tcW w:w="480" w:type="dxa"/>
            <w:vAlign w:val="bottom"/>
            <w:gridSpan w:val="3"/>
          </w:tcPr>
          <w:p>
            <w:pPr>
              <w:jc w:val="right"/>
              <w:ind w:right="100"/>
              <w:spacing w:after="0"/>
              <w:rPr>
                <w:sz w:val="20"/>
                <w:szCs w:val="20"/>
                <w:color w:val="auto"/>
              </w:rPr>
            </w:pPr>
            <w:r>
              <w:rPr>
                <w:rFonts w:ascii="Arial" w:cs="Arial" w:eastAsia="Arial" w:hAnsi="Arial"/>
                <w:sz w:val="18"/>
                <w:szCs w:val="18"/>
                <w:color w:val="auto"/>
              </w:rPr>
              <w:t>1.7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ratio of earnings to fixed charges is computed by dividing earnings by fixed charges. In computing the ratio of earnings to fixed charges: (a) earnings consist of income from continuing operations before noncontrolling interests plus distributed income of equity investees and fixed charges (excluding capitalized interest) less noncontrolling interests of subsidiaries with no fixed charges; and (b) fixed charges consist of interest expense including amortization of debt discounts and issuance costs (including capitalized interest) and the estimated portion of rents payable by us representing interest.</w:t>
      </w:r>
    </w:p>
    <w:p>
      <w:pPr>
        <w:spacing w:after="0" w:line="11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ratio of earnings to combined fixed charges and preferred stock dividends is computed by dividing earnings by the total of fixed charges and preferred stock dividends. In computing the ratio of earnings to combined fixed charges and preferred stock dividends: (a) earnings consist of income from continuing operations before noncontrolling interests plus distributed income of equity investees and fixed charges (excluding capitalized interest) less noncontrolling interests of subsidiaries with no fixed charges; (b) fixed charges consist of interest expense including amortization of debt discounts and issuance costs (including capitalized interest) and the estimated portion of rents payable by us representing interest; and (c) preferred stock dividends consist of preferred stock dividends and preferred stock redemption costs.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Debt Securities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 debt securities we offer through this prospectus:</w:t>
      </w:r>
    </w:p>
    <w:p>
      <w:pPr>
        <w:spacing w:after="0" w:line="212"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will be our general, direct and unsecured obligations;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may be either senior debt securities or subordinated debt securities.</w:t>
      </w:r>
    </w:p>
    <w:p>
      <w:pPr>
        <w:spacing w:after="0" w:line="171"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incur additional debt, subject to limitations in the agreements governing our credit and other debt facilities and other notes we may have issued.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w:t>
      </w:r>
    </w:p>
    <w:p>
      <w:pPr>
        <w:spacing w:after="0" w:line="212"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debt securities we offer through this prospectus will not limit the amount of other debt that we may incur;</w:t>
      </w:r>
    </w:p>
    <w:p>
      <w:pPr>
        <w:spacing w:after="0" w:line="211"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will not list the debt securities on any securities exchange.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Indentures</w:t>
      </w:r>
    </w:p>
    <w:p>
      <w:pPr>
        <w:spacing w:after="0" w:line="177"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Any debt securities we offer through this prospectus will be issued under one or more indentures, including the senior indenture between us and U.S. Bank National Association, successor to Wachovia Bank National Association, formerly First Union National Bank, as trustee. We have filed with the SEC the senior indenture that is an exhibit to the registration statement that includes this prospectus. The senior indenture describes the general terms of senior debt securities we may issue. The general terms of any subordinated debt securities that we may issue will be included in a subordinated indenture, which will also include additional terms describing the subordination provisions of these securities. The senior indenture is subject to the Trust Indenture Act of 1939, as amended.</w:t>
      </w:r>
    </w:p>
    <w:p>
      <w:pPr>
        <w:spacing w:after="0" w:line="10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Unless we say otherwise in a prospectus supplement, each indenture does not or will not include all the terms of debt securities we may issue through this prospectus. If we issue debt securities through this prospectus, our Board of Trustees, or any committee thereof, will establish the additional terms for each series of debt securities. The additional terms will be either established pursuant to, and set forth in, a supplemental indenture, or established pursuant to a resolution of our Board of Trustees, or any committee thereof, and set forth in an officer’s certificate. Each indenture describes or will describe the additional terms that may be established and we summarize the additional terms that may be established under “— Additional Terms of Debt Securities,” below.</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We have summarized the provisions of the senior indenture and any subordinated indenture that we may enter into below. The summary is not complete. You should read the senior indenture and any other indenture that we may enter into for provisions that may be important to you. The extent, if any, to which the provisions of the base senior indenture or any other base indenture that we may enter into apply to particular debt securities will be described in the prospectus supplement relating to those securities. You should read the prospectus supplement for more information regarding any particular issuance of debt securities.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Terms of Debt Securities</w:t>
      </w:r>
    </w:p>
    <w:p>
      <w:pPr>
        <w:spacing w:after="0" w:line="17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As described above, the terms of a particular series of debt securities we offer through this prospectus will be established by our Board of Trustees, or any committee thereof, when we issue the series. We will describe the terms of the series in a prospectus supplement. Unless we say otherwise in a prospectus supplement, each indenture provides or will provide that the terms that may be established include the following:</w:t>
      </w:r>
    </w:p>
    <w:p>
      <w:pPr>
        <w:spacing w:after="0" w:line="147"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Title.  </w:t>
      </w:r>
      <w:r>
        <w:rPr>
          <w:rFonts w:ascii="Arial" w:cs="Arial" w:eastAsia="Arial" w:hAnsi="Arial"/>
          <w:sz w:val="18"/>
          <w:szCs w:val="18"/>
          <w:color w:val="auto"/>
        </w:rPr>
        <w:t>The title of the debt securities offered.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Amount.  </w:t>
      </w:r>
      <w:r>
        <w:rPr>
          <w:rFonts w:ascii="Arial" w:cs="Arial" w:eastAsia="Arial" w:hAnsi="Arial"/>
          <w:sz w:val="18"/>
          <w:szCs w:val="18"/>
          <w:color w:val="auto"/>
        </w:rPr>
        <w:t>Any limit upon the total principal amount of the series of debt securities offered.</w:t>
      </w:r>
    </w:p>
    <w:p>
      <w:pPr>
        <w:spacing w:after="0" w:line="211"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Maturity. </w:t>
      </w:r>
      <w:r>
        <w:rPr>
          <w:rFonts w:ascii="Arial" w:cs="Arial" w:eastAsia="Arial" w:hAnsi="Arial"/>
          <w:sz w:val="18"/>
          <w:szCs w:val="18"/>
          <w:color w:val="auto"/>
        </w:rPr>
        <w:t>The date or dates on which the principal of and premium, if any, on the offered debt securities will mature or the method of determining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date or dates.</w:t>
      </w:r>
    </w:p>
    <w:p>
      <w:pPr>
        <w:spacing w:after="0" w:line="172"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Rate. </w:t>
      </w:r>
      <w:r>
        <w:rPr>
          <w:rFonts w:ascii="Arial" w:cs="Arial" w:eastAsia="Arial" w:hAnsi="Arial"/>
          <w:sz w:val="18"/>
          <w:szCs w:val="18"/>
          <w:color w:val="auto"/>
        </w:rPr>
        <w:t>The rate or rates (which may be fixed or variable) at which the offered debt securities will bear interest, if any, or the method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calculating such rate or rates.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Accrual.  </w:t>
      </w:r>
      <w:r>
        <w:rPr>
          <w:rFonts w:ascii="Arial" w:cs="Arial" w:eastAsia="Arial" w:hAnsi="Arial"/>
          <w:sz w:val="18"/>
          <w:szCs w:val="18"/>
          <w:color w:val="auto"/>
        </w:rPr>
        <w:t>The date or dates from which interest will accrue or the method by which such date or dates will be determined.</w:t>
      </w:r>
    </w:p>
    <w:p>
      <w:pPr>
        <w:spacing w:after="0" w:line="211" w:lineRule="exact"/>
        <w:rPr>
          <w:rFonts w:ascii="Arial" w:cs="Arial" w:eastAsia="Arial" w:hAnsi="Arial"/>
          <w:sz w:val="18"/>
          <w:szCs w:val="18"/>
          <w:color w:val="auto"/>
        </w:rPr>
      </w:pPr>
    </w:p>
    <w:p>
      <w:pPr>
        <w:ind w:left="900" w:right="60" w:hanging="446"/>
        <w:spacing w:after="0" w:line="33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Interest Payment Dates. </w:t>
      </w:r>
      <w:r>
        <w:rPr>
          <w:rFonts w:ascii="Arial" w:cs="Arial" w:eastAsia="Arial" w:hAnsi="Arial"/>
          <w:sz w:val="16"/>
          <w:szCs w:val="16"/>
          <w:color w:val="auto"/>
        </w:rPr>
        <w:t>The date or dates on which interest will be payable and the record date or dates to determine the persons who will receive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payment, and the basis upon which interest shall be calculated if other than that of a 360-day year of twelve 30-day months.</w:t>
      </w:r>
    </w:p>
    <w:p>
      <w:pPr>
        <w:spacing w:after="0" w:line="125"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Place of Payment. </w:t>
      </w:r>
      <w:r>
        <w:rPr>
          <w:rFonts w:ascii="Arial" w:cs="Arial" w:eastAsia="Arial" w:hAnsi="Arial"/>
          <w:sz w:val="18"/>
          <w:szCs w:val="18"/>
          <w:color w:val="auto"/>
        </w:rPr>
        <w:t>The place or places where principal of, premium, if any, and interest, on the offered debt securities will be payable or at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offered debt securities may be surrendered for registration of transfer or exchange.</w:t>
      </w:r>
    </w:p>
    <w:p>
      <w:pPr>
        <w:spacing w:after="0" w:line="172"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Optional Redemption. </w:t>
      </w:r>
      <w:r>
        <w:rPr>
          <w:rFonts w:ascii="Arial" w:cs="Arial" w:eastAsia="Arial" w:hAnsi="Arial"/>
          <w:sz w:val="18"/>
          <w:szCs w:val="18"/>
          <w:color w:val="auto"/>
        </w:rPr>
        <w:t>The period or periods within which, the price or prices at which, the currency or currencies (if other than in U.S. dollars),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currency unit or units, in which, and the other terms and conditions upon which, the offered debt securities may be redeemed, in whole or in part, at our option, if we have that option.</w:t>
      </w:r>
    </w:p>
    <w:p>
      <w:pPr>
        <w:spacing w:after="0" w:line="180" w:lineRule="exact"/>
        <w:rPr>
          <w:rFonts w:ascii="Arial" w:cs="Arial" w:eastAsia="Arial" w:hAnsi="Arial"/>
          <w:sz w:val="18"/>
          <w:szCs w:val="18"/>
          <w:color w:val="auto"/>
        </w:rPr>
      </w:pPr>
    </w:p>
    <w:p>
      <w:pPr>
        <w:ind w:left="900" w:right="20" w:hanging="446"/>
        <w:spacing w:after="0" w:line="298"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Mandatory Redemption. </w:t>
      </w:r>
      <w:r>
        <w:rPr>
          <w:rFonts w:ascii="Arial" w:cs="Arial" w:eastAsia="Arial" w:hAnsi="Arial"/>
          <w:sz w:val="16"/>
          <w:szCs w:val="16"/>
          <w:color w:val="auto"/>
        </w:rPr>
        <w:t>The obligation, if any, we have to redeem or repurchase the offered debt securities pursuant to any sinking fund or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provisions or upon the happening of a specified event or 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The denominations in which the offered debt securities are authorized to be issued.</w:t>
      </w:r>
    </w:p>
    <w:p>
      <w:pPr>
        <w:spacing w:after="0" w:line="211"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Currency. </w:t>
      </w:r>
      <w:r>
        <w:rPr>
          <w:rFonts w:ascii="Arial" w:cs="Arial" w:eastAsia="Arial" w:hAnsi="Arial"/>
          <w:sz w:val="18"/>
          <w:szCs w:val="18"/>
          <w:color w:val="auto"/>
        </w:rPr>
        <w:t>The currency or currency unit in which the offered debt securities may be denominated and/or the currency or currencies,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unit or units, in which principal of, premium, if any, and interest, if any, on the offered debt securities will be payable and whether we or the holders of</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380"/>
        <w:spacing w:after="0" w:line="268" w:lineRule="auto"/>
        <w:rPr>
          <w:sz w:val="20"/>
          <w:szCs w:val="20"/>
          <w:color w:val="auto"/>
        </w:rPr>
      </w:pPr>
      <w:r>
        <w:rPr>
          <w:rFonts w:ascii="Arial" w:cs="Arial" w:eastAsia="Arial" w:hAnsi="Arial"/>
          <w:sz w:val="18"/>
          <w:szCs w:val="18"/>
          <w:color w:val="auto"/>
        </w:rPr>
        <w:t>the offered debt securities may elect to receive payments in respect of the offered debt securities in a currency or currency unit other than that in which the offered debt securities are stated to be payable.</w:t>
      </w:r>
    </w:p>
    <w:p>
      <w:pPr>
        <w:spacing w:after="0" w:line="186" w:lineRule="exact"/>
        <w:rPr>
          <w:sz w:val="20"/>
          <w:szCs w:val="20"/>
          <w:color w:val="auto"/>
        </w:rPr>
      </w:pPr>
    </w:p>
    <w:p>
      <w:pPr>
        <w:ind w:left="900" w:right="8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Indexed Principal. </w:t>
      </w:r>
      <w:r>
        <w:rPr>
          <w:rFonts w:ascii="Arial" w:cs="Arial" w:eastAsia="Arial" w:hAnsi="Arial"/>
          <w:sz w:val="18"/>
          <w:szCs w:val="18"/>
          <w:color w:val="auto"/>
        </w:rPr>
        <w:t>If the amount of principal of, or premium, if any, or interest on, the offered debt securities may be determined with reference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index or pursuant to a formula or other method, the manner in which such amounts will be determined.</w:t>
      </w:r>
    </w:p>
    <w:p>
      <w:pPr>
        <w:spacing w:after="0" w:line="172"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on Acceleration. </w:t>
      </w:r>
      <w:r>
        <w:rPr>
          <w:rFonts w:ascii="Arial" w:cs="Arial" w:eastAsia="Arial" w:hAnsi="Arial"/>
          <w:sz w:val="18"/>
          <w:szCs w:val="18"/>
          <w:color w:val="auto"/>
        </w:rPr>
        <w:t>If other than the principal amount, the amount which will be payable upon declaration of the acceleration of the maturity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the method by which such portion shall be determined.</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Special Rights.  </w:t>
      </w:r>
      <w:r>
        <w:rPr>
          <w:rFonts w:ascii="Arial" w:cs="Arial" w:eastAsia="Arial" w:hAnsi="Arial"/>
          <w:sz w:val="16"/>
          <w:szCs w:val="16"/>
          <w:color w:val="auto"/>
        </w:rPr>
        <w:t>Provisions, if any, granting special rights to the holders of the offered debt securities if certain specified events occur.</w:t>
      </w:r>
    </w:p>
    <w:p>
      <w:pPr>
        <w:spacing w:after="0" w:line="234" w:lineRule="exact"/>
        <w:rPr>
          <w:rFonts w:ascii="Arial" w:cs="Arial" w:eastAsia="Arial" w:hAnsi="Arial"/>
          <w:sz w:val="16"/>
          <w:szCs w:val="16"/>
          <w:color w:val="auto"/>
        </w:rPr>
      </w:pPr>
    </w:p>
    <w:p>
      <w:pPr>
        <w:ind w:left="900" w:right="4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Modifications to Indentures. </w:t>
      </w:r>
      <w:r>
        <w:rPr>
          <w:rFonts w:ascii="Arial" w:cs="Arial" w:eastAsia="Arial" w:hAnsi="Arial"/>
          <w:sz w:val="18"/>
          <w:szCs w:val="18"/>
          <w:color w:val="auto"/>
        </w:rPr>
        <w:t>Any addition to, or modification or deletion of, any event of default or any of the covenants specified in the indenture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the offered debt securities.</w:t>
      </w:r>
    </w:p>
    <w:p>
      <w:pPr>
        <w:spacing w:after="0" w:line="172"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“Gross-Up.” </w:t>
      </w:r>
      <w:r>
        <w:rPr>
          <w:rFonts w:ascii="Arial" w:cs="Arial" w:eastAsia="Arial" w:hAnsi="Arial"/>
          <w:sz w:val="18"/>
          <w:szCs w:val="18"/>
          <w:color w:val="auto"/>
        </w:rPr>
        <w:t>The circumstances, if any, under which we will pay additional amounts on the offered debt securities held by non-U.S. persons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taxes, assessments or similar charges.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Whether the offered debt securities will be issued in registered or bearer form or both.</w:t>
      </w:r>
    </w:p>
    <w:p>
      <w:pPr>
        <w:spacing w:after="0" w:line="211"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Dates of Certificates. </w:t>
      </w:r>
      <w:r>
        <w:rPr>
          <w:rFonts w:ascii="Arial" w:cs="Arial" w:eastAsia="Arial" w:hAnsi="Arial"/>
          <w:sz w:val="18"/>
          <w:szCs w:val="18"/>
          <w:color w:val="auto"/>
        </w:rPr>
        <w:t>The date as of which any offered debt securities in bearer form and any temporary global security representing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are dated, if other than the original issuance date of the offered debt securities.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Forms.  </w:t>
      </w:r>
      <w:r>
        <w:rPr>
          <w:rFonts w:ascii="Arial" w:cs="Arial" w:eastAsia="Arial" w:hAnsi="Arial"/>
          <w:sz w:val="18"/>
          <w:szCs w:val="18"/>
          <w:color w:val="auto"/>
        </w:rPr>
        <w:t>The forms of the securities and interest coupons, if any, of the series.</w:t>
      </w:r>
    </w:p>
    <w:p>
      <w:pPr>
        <w:spacing w:after="0" w:line="211" w:lineRule="exact"/>
        <w:rPr>
          <w:rFonts w:ascii="Arial" w:cs="Arial" w:eastAsia="Arial" w:hAnsi="Arial"/>
          <w:sz w:val="18"/>
          <w:szCs w:val="18"/>
          <w:color w:val="auto"/>
        </w:rPr>
      </w:pPr>
    </w:p>
    <w:p>
      <w:pPr>
        <w:ind w:left="900" w:right="46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Registrar and Paying Agent. </w:t>
      </w:r>
      <w:r>
        <w:rPr>
          <w:rFonts w:ascii="Arial" w:cs="Arial" w:eastAsia="Arial" w:hAnsi="Arial"/>
          <w:sz w:val="18"/>
          <w:szCs w:val="18"/>
          <w:color w:val="auto"/>
        </w:rPr>
        <w:t>If other than the trustee under the applicable indenture, the identity of the registrar and any paying agent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offered debt securities.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Defeasance.  </w:t>
      </w:r>
      <w:r>
        <w:rPr>
          <w:rFonts w:ascii="Arial" w:cs="Arial" w:eastAsia="Arial" w:hAnsi="Arial"/>
          <w:sz w:val="18"/>
          <w:szCs w:val="18"/>
          <w:color w:val="auto"/>
        </w:rPr>
        <w:t>Any means of defeasance or covenant defeasance that may be specified for the offered debt securities.</w:t>
      </w:r>
    </w:p>
    <w:p>
      <w:pPr>
        <w:spacing w:after="0" w:line="211"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 Securities. </w:t>
      </w:r>
      <w:r>
        <w:rPr>
          <w:rFonts w:ascii="Arial" w:cs="Arial" w:eastAsia="Arial" w:hAnsi="Arial"/>
          <w:sz w:val="18"/>
          <w:szCs w:val="18"/>
          <w:color w:val="auto"/>
        </w:rPr>
        <w:t>Whether the offered debt securities are to be issued in whole or in part in the form of one or more temporary or permanent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global 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183"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Documentation. </w:t>
      </w:r>
      <w:r>
        <w:rPr>
          <w:rFonts w:ascii="Arial" w:cs="Arial" w:eastAsia="Arial" w:hAnsi="Arial"/>
          <w:sz w:val="18"/>
          <w:szCs w:val="18"/>
          <w:color w:val="auto"/>
        </w:rPr>
        <w:t>If the offered debt securities may be issued or delivered, or any installment of principal or interest may be paid, only upon receipt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certain certificates or other documents or satisfaction of other conditions in addition to those specified in the applicable indenture, the form of those certificates, documents or conditions.</w:t>
      </w:r>
    </w:p>
    <w:p>
      <w:pPr>
        <w:spacing w:after="0" w:line="180" w:lineRule="exact"/>
        <w:rPr>
          <w:rFonts w:ascii="Arial" w:cs="Arial" w:eastAsia="Arial" w:hAnsi="Arial"/>
          <w:sz w:val="18"/>
          <w:szCs w:val="18"/>
          <w:color w:val="auto"/>
        </w:rPr>
      </w:pPr>
    </w:p>
    <w:p>
      <w:pPr>
        <w:ind w:left="900" w:right="560" w:hanging="446"/>
        <w:spacing w:after="0" w:line="33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Payees. </w:t>
      </w:r>
      <w:r>
        <w:rPr>
          <w:rFonts w:ascii="Arial" w:cs="Arial" w:eastAsia="Arial" w:hAnsi="Arial"/>
          <w:sz w:val="16"/>
          <w:szCs w:val="16"/>
          <w:color w:val="auto"/>
        </w:rPr>
        <w:t>If other than as provided in the applicable indenture, the person to whom any interest on any registered security of the series will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payable and the manner in which, or the person to whom, any interest on any bearer securities of the series will be payable.</w:t>
      </w:r>
    </w:p>
    <w:p>
      <w:pPr>
        <w:spacing w:after="0" w:line="125" w:lineRule="exact"/>
        <w:rPr>
          <w:rFonts w:ascii="Arial" w:cs="Arial" w:eastAsia="Arial" w:hAnsi="Arial"/>
          <w:sz w:val="16"/>
          <w:szCs w:val="16"/>
          <w:color w:val="auto"/>
        </w:rPr>
      </w:pPr>
    </w:p>
    <w:p>
      <w:pPr>
        <w:ind w:left="900" w:right="440" w:hanging="446"/>
        <w:spacing w:after="0" w:line="33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Definitions. </w:t>
      </w:r>
      <w:r>
        <w:rPr>
          <w:rFonts w:ascii="Arial" w:cs="Arial" w:eastAsia="Arial" w:hAnsi="Arial"/>
          <w:sz w:val="16"/>
          <w:szCs w:val="16"/>
          <w:color w:val="auto"/>
        </w:rPr>
        <w:t>Any definitions for the offered debt securities of that series that are different from or in addition to the definitions included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indenture, including, without limitation, the definition of “unrestricted subsidiary” to be used for such series.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20" w:hanging="446"/>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Subordination. </w:t>
      </w:r>
      <w:r>
        <w:rPr>
          <w:rFonts w:ascii="Arial" w:cs="Arial" w:eastAsia="Arial" w:hAnsi="Arial"/>
          <w:sz w:val="16"/>
          <w:szCs w:val="16"/>
          <w:color w:val="auto"/>
        </w:rPr>
        <w:t>In the case of any subordinated indenture that we may enter into, the relative degree to which the offered debt securities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to or junior to other debt securities, whether currently outstanding or to be offered in the future, and to other debt, in right of payment.</w:t>
      </w:r>
    </w:p>
    <w:p>
      <w:pPr>
        <w:spacing w:after="0" w:line="125" w:lineRule="exact"/>
        <w:rPr>
          <w:rFonts w:ascii="Arial" w:cs="Arial" w:eastAsia="Arial" w:hAnsi="Arial"/>
          <w:sz w:val="16"/>
          <w:szCs w:val="16"/>
          <w:color w:val="auto"/>
        </w:rPr>
      </w:pPr>
    </w:p>
    <w:p>
      <w:pPr>
        <w:ind w:left="900" w:right="30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Guarantees. </w:t>
      </w:r>
      <w:r>
        <w:rPr>
          <w:rFonts w:ascii="Arial" w:cs="Arial" w:eastAsia="Arial" w:hAnsi="Arial"/>
          <w:sz w:val="18"/>
          <w:szCs w:val="18"/>
          <w:color w:val="auto"/>
        </w:rPr>
        <w:t>Whether the offered debt securities are guaranteed and, if so, the identity of the guarantors and the terms of the offered guarantees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whether and the extent to which the guarantees are subordinated to other debt of the guarantors).</w:t>
      </w:r>
    </w:p>
    <w:p>
      <w:pPr>
        <w:spacing w:after="0" w:line="172" w:lineRule="exact"/>
        <w:rPr>
          <w:rFonts w:ascii="Arial" w:cs="Arial" w:eastAsia="Arial" w:hAnsi="Arial"/>
          <w:sz w:val="18"/>
          <w:szCs w:val="18"/>
          <w:color w:val="auto"/>
        </w:rPr>
      </w:pPr>
    </w:p>
    <w:p>
      <w:pPr>
        <w:ind w:left="900" w:right="140" w:hanging="446"/>
        <w:spacing w:after="0" w:line="306"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Conversion. </w:t>
      </w:r>
      <w:r>
        <w:rPr>
          <w:rFonts w:ascii="Arial" w:cs="Arial" w:eastAsia="Arial" w:hAnsi="Arial"/>
          <w:sz w:val="16"/>
          <w:szCs w:val="16"/>
          <w:color w:val="auto"/>
        </w:rPr>
        <w:t>The terms, if any, upon which the offered debt securities may be converted or exchanged into or for our common shares, preferred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or other securities or property, including, without limitation, the initial conversion price or rate, the conversion period, any adjustment of the applicable conversion price and any requirements relative to the reservation of such shares for purposes of conversion.</w:t>
      </w:r>
    </w:p>
    <w:p>
      <w:pPr>
        <w:spacing w:after="0" w:line="147" w:lineRule="exact"/>
        <w:rPr>
          <w:rFonts w:ascii="Arial" w:cs="Arial" w:eastAsia="Arial" w:hAnsi="Arial"/>
          <w:sz w:val="16"/>
          <w:szCs w:val="16"/>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Restrictions.  </w:t>
      </w:r>
      <w:r>
        <w:rPr>
          <w:rFonts w:ascii="Arial" w:cs="Arial" w:eastAsia="Arial" w:hAnsi="Arial"/>
          <w:sz w:val="18"/>
          <w:szCs w:val="18"/>
          <w:color w:val="auto"/>
        </w:rPr>
        <w:t>Any restrictions on the registration, transfer or exchange of the offered debt securities.</w:t>
      </w:r>
    </w:p>
    <w:p>
      <w:pPr>
        <w:spacing w:after="0" w:line="211"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Terms. </w:t>
      </w:r>
      <w:r>
        <w:rPr>
          <w:rFonts w:ascii="Arial" w:cs="Arial" w:eastAsia="Arial" w:hAnsi="Arial"/>
          <w:sz w:val="16"/>
          <w:szCs w:val="16"/>
          <w:color w:val="auto"/>
        </w:rPr>
        <w:t>Any other terms not inconsistent with the terms of the applicable indenture pertaining to the offered debt securities or which may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or advisable under U.S. laws or regulations or advisable, as we determine, in connection with marketing of securities of the series.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Securities and Related Matters</w:t>
      </w:r>
    </w:p>
    <w:p>
      <w:pPr>
        <w:spacing w:after="0" w:line="177" w:lineRule="exact"/>
        <w:rPr>
          <w:sz w:val="20"/>
          <w:szCs w:val="20"/>
          <w:color w:val="auto"/>
        </w:rPr>
      </w:pPr>
    </w:p>
    <w:p>
      <w:pPr>
        <w:ind w:left="460"/>
        <w:spacing w:after="0"/>
        <w:tabs>
          <w:tab w:leader="none" w:pos="2620" w:val="left"/>
        </w:tabs>
        <w:rPr>
          <w:sz w:val="20"/>
          <w:szCs w:val="20"/>
          <w:color w:val="auto"/>
        </w:rPr>
      </w:pPr>
      <w:r>
        <w:rPr>
          <w:rFonts w:ascii="Arial" w:cs="Arial" w:eastAsia="Arial" w:hAnsi="Arial"/>
          <w:sz w:val="18"/>
          <w:szCs w:val="18"/>
          <w:b w:val="1"/>
          <w:bCs w:val="1"/>
          <w:i w:val="1"/>
          <w:iCs w:val="1"/>
          <w:color w:val="auto"/>
        </w:rPr>
        <w:t>Registered or Bearer Form.</w:t>
      </w:r>
      <w:r>
        <w:rPr>
          <w:sz w:val="20"/>
          <w:szCs w:val="20"/>
          <w:color w:val="auto"/>
        </w:rPr>
        <w:tab/>
      </w:r>
      <w:r>
        <w:rPr>
          <w:rFonts w:ascii="Arial" w:cs="Arial" w:eastAsia="Arial" w:hAnsi="Arial"/>
          <w:sz w:val="15"/>
          <w:szCs w:val="15"/>
          <w:color w:val="auto"/>
        </w:rPr>
        <w:t>Debt securities may be offered in either registered or bearer form.</w:t>
      </w:r>
    </w:p>
    <w:p>
      <w:pPr>
        <w:spacing w:after="0" w:line="212" w:lineRule="exact"/>
        <w:rPr>
          <w:sz w:val="20"/>
          <w:szCs w:val="20"/>
          <w:color w:val="auto"/>
        </w:rPr>
      </w:pPr>
    </w:p>
    <w:p>
      <w:pPr>
        <w:ind w:left="900" w:right="60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the debt securities are in registered form, we may treat the person named in the register as the owner of the debt securities for all purposes, including payment, exchange and transfer.</w:t>
      </w:r>
    </w:p>
    <w:p>
      <w:pPr>
        <w:spacing w:after="0" w:line="172" w:lineRule="exact"/>
        <w:rPr>
          <w:rFonts w:ascii="Arial" w:cs="Arial" w:eastAsia="Arial" w:hAnsi="Arial"/>
          <w:sz w:val="18"/>
          <w:szCs w:val="18"/>
          <w:color w:val="auto"/>
        </w:rPr>
      </w:pPr>
    </w:p>
    <w:p>
      <w:pPr>
        <w:ind w:left="900" w:hanging="446"/>
        <w:spacing w:after="0" w:line="306"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considerations relating to the offered debt securities in a prospectus supplement.</w:t>
      </w:r>
    </w:p>
    <w:p>
      <w:pPr>
        <w:spacing w:after="0" w:line="107"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6"/>
          <w:szCs w:val="16"/>
          <w:b w:val="1"/>
          <w:bCs w:val="1"/>
          <w:i w:val="1"/>
          <w:iCs w:val="1"/>
          <w:color w:val="auto"/>
        </w:rPr>
        <w:t>Denominations.</w:t>
      </w:r>
      <w:r>
        <w:rPr>
          <w:sz w:val="20"/>
          <w:szCs w:val="20"/>
          <w:color w:val="auto"/>
        </w:rPr>
        <w:tab/>
      </w:r>
      <w:r>
        <w:rPr>
          <w:rFonts w:ascii="Arial" w:cs="Arial" w:eastAsia="Arial" w:hAnsi="Arial"/>
          <w:sz w:val="16"/>
          <w:szCs w:val="16"/>
          <w:color w:val="auto"/>
        </w:rPr>
        <w:t>Unless we say otherwise in a prospectus supplement, we will issue debt securities in denominations of:</w:t>
      </w:r>
    </w:p>
    <w:p>
      <w:pPr>
        <w:spacing w:after="0" w:line="235"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U.S. $1,000 (or multiples of $1,000) if we issue the debt securities in registered form;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U.S. $5,000 (or multiples of $5,000) if we issue debt securities in bearer form.</w:t>
      </w:r>
    </w:p>
    <w:p>
      <w:pPr>
        <w:spacing w:after="0" w:line="171" w:lineRule="exact"/>
        <w:rPr>
          <w:sz w:val="20"/>
          <w:szCs w:val="20"/>
          <w:color w:val="auto"/>
        </w:rPr>
      </w:pPr>
    </w:p>
    <w:p>
      <w:pPr>
        <w:ind w:left="460"/>
        <w:spacing w:after="0"/>
        <w:tabs>
          <w:tab w:leader="none" w:pos="3840" w:val="left"/>
        </w:tabs>
        <w:rPr>
          <w:sz w:val="20"/>
          <w:szCs w:val="20"/>
          <w:color w:val="auto"/>
        </w:rPr>
      </w:pPr>
      <w:r>
        <w:rPr>
          <w:rFonts w:ascii="Arial" w:cs="Arial" w:eastAsia="Arial" w:hAnsi="Arial"/>
          <w:sz w:val="18"/>
          <w:szCs w:val="18"/>
          <w:b w:val="1"/>
          <w:bCs w:val="1"/>
          <w:i w:val="1"/>
          <w:iCs w:val="1"/>
          <w:color w:val="auto"/>
        </w:rPr>
        <w:t>Payment Currencies and Indexed Securities.</w:t>
      </w:r>
      <w:r>
        <w:rPr>
          <w:sz w:val="20"/>
          <w:szCs w:val="20"/>
          <w:color w:val="auto"/>
        </w:rPr>
        <w:tab/>
      </w:r>
      <w:r>
        <w:rPr>
          <w:rFonts w:ascii="Arial" w:cs="Arial" w:eastAsia="Arial" w:hAnsi="Arial"/>
          <w:sz w:val="16"/>
          <w:szCs w:val="16"/>
          <w:color w:val="auto"/>
        </w:rPr>
        <w:t>We may offer debt securities for which:</w:t>
      </w:r>
    </w:p>
    <w:p>
      <w:pPr>
        <w:spacing w:after="0" w:line="212"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purchase price is payable in a currency other than U.S. dollars;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securities are denominated in a currency other than U.S. dollars;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principal or interest of, or any other amount due on, the offered debt securities in a currency other than U.S. dollars.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other currency may be a currency unit composed of various currencies. Payments on debt securities may also be based on an index.</w:t>
      </w:r>
    </w:p>
    <w:p>
      <w:pPr>
        <w:spacing w:after="0" w:line="18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b w:val="1"/>
          <w:bCs w:val="1"/>
          <w:i w:val="1"/>
          <w:iCs w:val="1"/>
          <w:color w:val="auto"/>
        </w:rPr>
        <w:t xml:space="preserve">Payment, Transfer and Exchange. </w:t>
      </w:r>
      <w:r>
        <w:rPr>
          <w:rFonts w:ascii="Arial" w:cs="Arial" w:eastAsia="Arial" w:hAnsi="Arial"/>
          <w:sz w:val="16"/>
          <w:szCs w:val="16"/>
          <w:color w:val="auto"/>
        </w:rPr>
        <w:t>Unless we say otherwise in a prospectus supplement, the office for paying principal, interest and other amounts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debt securities is U.S. Bank National Association, 214 North Tryon Street, 27</w:t>
      </w:r>
      <w:r>
        <w:rPr>
          <w:rFonts w:ascii="Arial" w:cs="Arial" w:eastAsia="Arial" w:hAnsi="Arial"/>
          <w:sz w:val="10"/>
          <w:szCs w:val="10"/>
          <w:color w:val="auto"/>
        </w:rPr>
        <w:t>th</w:t>
      </w:r>
      <w:r>
        <w:rPr>
          <w:rFonts w:ascii="Arial" w:cs="Arial" w:eastAsia="Arial" w:hAnsi="Arial"/>
          <w:sz w:val="16"/>
          <w:szCs w:val="16"/>
          <w:color w:val="auto"/>
        </w:rPr>
        <w:t xml:space="preserve"> Floor, Charlotte, North Carolina 28202. We will notify you of any change in the office’s location. At our option, however, we may make any interest payments on debt securities issued in registered form by:</w:t>
      </w:r>
    </w:p>
    <w:p>
      <w:pPr>
        <w:spacing w:after="0" w:line="188"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mailing checks to you at the address as it appears in the applicable register for the series of debt securities;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wire transfer of immediately available funds to an account you maintain located in the United States.</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Unless we say otherwise in a prospectus supplement, we will pay interest to the person whose name is in the register at the close of business on the regular record date for such interest.</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Unless we say otherwise in a prospectus supplement, payment of interest on bearer securities may be made by transfer to an account you maintain with a bank located outside the United States.</w:t>
      </w:r>
    </w:p>
    <w:p>
      <w:pPr>
        <w:spacing w:after="0" w:line="132"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Unless we say otherwise in a prospectus supplement, you may transfer or exchange debt securities issued in registered form at an office or agency that we designate. You may transfer or exchange debt securities without service charge, although we may require you to pay any related tax or other governmental charge.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issue debt securities of a series in the form of one or more fully registered global securities. Each registered global security will:</w:t>
      </w:r>
    </w:p>
    <w:p>
      <w:pPr>
        <w:spacing w:after="0" w:line="212"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registered in the name of a depositary or a nominee for the depositary;</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deposited with the depositary or nominee or a custodian therefor;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bear a legend regarding the restrictions on exchanges and registration of transfer and any such other appropriate matters.</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Global securities may be issued in either registered or bearer form and in either temporary or permanent form. The specific terms and procedures, including the specific terms of the depositary arrangement, with respect to any portion of a series of debt securities will be described in a prospectus supplement.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Unless we say otherwise in a prospectus supplement, each indenture contains or will contain the following covenants. Any additional material covenants applicable to any series of debt securities will be set forth in a prospectus supplement.</w:t>
      </w:r>
    </w:p>
    <w:p>
      <w:pPr>
        <w:spacing w:after="0" w:line="13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Existence. </w:t>
      </w:r>
      <w:r>
        <w:rPr>
          <w:rFonts w:ascii="Arial" w:cs="Arial" w:eastAsia="Arial" w:hAnsi="Arial"/>
          <w:sz w:val="16"/>
          <w:szCs w:val="16"/>
          <w:color w:val="auto"/>
        </w:rPr>
        <w:t>Except as permitted under “Consolidation, Merger or Sale of Assets,” we will do or cause to be done all things necessary to preserve and keep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10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Maintenance of Properties. </w:t>
      </w:r>
      <w:r>
        <w:rPr>
          <w:rFonts w:ascii="Arial" w:cs="Arial" w:eastAsia="Arial" w:hAnsi="Arial"/>
          <w:sz w:val="16"/>
          <w:szCs w:val="16"/>
          <w:color w:val="auto"/>
        </w:rPr>
        <w:t>We will cause all of our material properties used or useful in the conduct of our business to be maintained and kept in good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tabs>
          <w:tab w:leader="none" w:pos="3280" w:val="left"/>
        </w:tabs>
        <w:rPr>
          <w:sz w:val="20"/>
          <w:szCs w:val="20"/>
          <w:color w:val="auto"/>
        </w:rPr>
      </w:pPr>
      <w:r>
        <w:rPr>
          <w:rFonts w:ascii="Arial" w:cs="Arial" w:eastAsia="Arial" w:hAnsi="Arial"/>
          <w:sz w:val="18"/>
          <w:szCs w:val="18"/>
          <w:b w:val="1"/>
          <w:bCs w:val="1"/>
          <w:i w:val="1"/>
          <w:iCs w:val="1"/>
          <w:color w:val="auto"/>
        </w:rPr>
        <w:t>Payment of Taxes and Other Claims.</w:t>
      </w:r>
      <w:r>
        <w:rPr>
          <w:sz w:val="20"/>
          <w:szCs w:val="20"/>
          <w:color w:val="auto"/>
        </w:rPr>
        <w:tab/>
      </w:r>
      <w:r>
        <w:rPr>
          <w:rFonts w:ascii="Arial" w:cs="Arial" w:eastAsia="Arial" w:hAnsi="Arial"/>
          <w:sz w:val="15"/>
          <w:szCs w:val="15"/>
          <w:color w:val="auto"/>
        </w:rPr>
        <w:t>We will pay or discharge or cause to be paid or discharged, before they shall become delinquent:</w:t>
      </w:r>
    </w:p>
    <w:p>
      <w:pPr>
        <w:spacing w:after="0" w:line="212"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taxes, assessments and governmental charges levied or imposed upon us or upon our income, profits or property,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lawful claims for labor, materials and supplies which, if unpaid, might by law become a lien upon our property;</w:t>
      </w:r>
    </w:p>
    <w:p>
      <w:pPr>
        <w:spacing w:after="0" w:line="17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32"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b w:val="1"/>
          <w:bCs w:val="1"/>
          <w:i w:val="1"/>
          <w:iCs w:val="1"/>
          <w:color w:val="auto"/>
        </w:rPr>
        <w:t xml:space="preserve">Provision of Financial Information. </w:t>
      </w:r>
      <w:r>
        <w:rPr>
          <w:rFonts w:ascii="Arial" w:cs="Arial" w:eastAsia="Arial" w:hAnsi="Arial"/>
          <w:sz w:val="16"/>
          <w:szCs w:val="16"/>
          <w:color w:val="auto"/>
        </w:rPr>
        <w:t>Whether or not we are subject to Section 13 or 15(d) of the Exchange Act, we will, within 15 days of each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 dates by which we would have been required to file annual reports, quarterly reports and other documents with the SEC if we were so subject:</w:t>
      </w:r>
    </w:p>
    <w:p>
      <w:pPr>
        <w:spacing w:after="0" w:line="126" w:lineRule="exact"/>
        <w:rPr>
          <w:sz w:val="20"/>
          <w:szCs w:val="20"/>
          <w:color w:val="auto"/>
        </w:rPr>
      </w:pPr>
    </w:p>
    <w:p>
      <w:pPr>
        <w:ind w:left="900" w:right="140" w:hanging="446"/>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18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172"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promptly, upon written request and payment of the reasonable cost of duplication and delivery, supply copies of those documents to any prospective holder.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1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may consolidate with, or sell, lease or convey all or substantially all of our assets, or merge with or into any other corporation, association, partnership, company or business trust, each of which we refer to herein as an entity, provided that we satisfy all of the following conditions:</w:t>
      </w:r>
    </w:p>
    <w:p>
      <w:pPr>
        <w:spacing w:after="0" w:line="126"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either</w:t>
      </w:r>
    </w:p>
    <w:p>
      <w:pPr>
        <w:spacing w:after="0" w:line="211" w:lineRule="exact"/>
        <w:rPr>
          <w:rFonts w:ascii="Arial" w:cs="Arial" w:eastAsia="Arial" w:hAnsi="Arial"/>
          <w:sz w:val="18"/>
          <w:szCs w:val="18"/>
          <w:color w:val="auto"/>
        </w:rPr>
      </w:pPr>
    </w:p>
    <w:p>
      <w:pPr>
        <w:ind w:left="1460" w:hanging="547"/>
        <w:spacing w:after="0"/>
        <w:tabs>
          <w:tab w:leader="none" w:pos="14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we must be the continuing entity, or</w:t>
      </w:r>
    </w:p>
    <w:p>
      <w:pPr>
        <w:spacing w:after="0" w:line="211" w:lineRule="exact"/>
        <w:rPr>
          <w:rFonts w:ascii="Arial" w:cs="Arial" w:eastAsia="Arial" w:hAnsi="Arial"/>
          <w:sz w:val="18"/>
          <w:szCs w:val="18"/>
          <w:color w:val="auto"/>
        </w:rPr>
      </w:pPr>
    </w:p>
    <w:p>
      <w:pPr>
        <w:ind w:left="1460" w:right="320" w:hanging="547"/>
        <w:spacing w:after="0" w:line="259" w:lineRule="auto"/>
        <w:tabs>
          <w:tab w:leader="none" w:pos="14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18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transactions, no default or event of default under the debt securities shall have occurred and be continuing; and</w:t>
      </w:r>
    </w:p>
    <w:p>
      <w:pPr>
        <w:spacing w:after="0" w:line="172"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459" w:right="3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Generally. </w:t>
      </w:r>
      <w:r>
        <w:rPr>
          <w:rFonts w:ascii="Arial" w:cs="Arial" w:eastAsia="Arial" w:hAnsi="Arial"/>
          <w:sz w:val="16"/>
          <w:szCs w:val="16"/>
          <w:color w:val="auto"/>
        </w:rPr>
        <w:t>Unless we say otherwise in a prospectus supplement, the payment of principal, premium, if any, and interest on subordinated debt securities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will 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113"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Unless we say otherwise in a prospectus supplement, senior debt will be defined as the principal of and interest on, or substantially similar payments to be made by us in respect of, the following, whether outstanding at the date of execution of any subordinated indenture or thereafter incurred, created or assumed:</w:t>
      </w:r>
    </w:p>
    <w:p>
      <w:pPr>
        <w:spacing w:after="0" w:line="103"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indebtedness for money borrowed or represented by purchase-money obligations;</w:t>
      </w:r>
    </w:p>
    <w:p>
      <w:pPr>
        <w:spacing w:after="0" w:line="211"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indebtedness evidenced by notes, debentures, or bonds, or other securities issued under the provisions of an indenture, fiscal agency agreement or other instrument;</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our obligations as lessee under leases of property whether made as part of any sale and leaseback transaction to which we are a party or otherwise;</w:t>
      </w:r>
    </w:p>
    <w:p>
      <w:pPr>
        <w:spacing w:after="0" w:line="246" w:lineRule="exact"/>
        <w:rPr>
          <w:rFonts w:ascii="Arial" w:cs="Arial" w:eastAsia="Arial" w:hAnsi="Arial"/>
          <w:sz w:val="15"/>
          <w:szCs w:val="15"/>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indebtedness of partnerships and joint ventures which is included in our consolidated financial statements;</w:t>
      </w:r>
    </w:p>
    <w:p>
      <w:pPr>
        <w:spacing w:after="0" w:line="211" w:lineRule="exact"/>
        <w:rPr>
          <w:rFonts w:ascii="Arial" w:cs="Arial" w:eastAsia="Arial" w:hAnsi="Arial"/>
          <w:sz w:val="18"/>
          <w:szCs w:val="18"/>
          <w:color w:val="auto"/>
        </w:rPr>
      </w:pPr>
    </w:p>
    <w:p>
      <w:pPr>
        <w:ind w:left="900" w:right="120" w:hanging="446"/>
        <w:spacing w:after="0" w:line="33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125" w:lineRule="exact"/>
        <w:rPr>
          <w:rFonts w:ascii="Arial" w:cs="Arial" w:eastAsia="Arial" w:hAnsi="Arial"/>
          <w:sz w:val="16"/>
          <w:szCs w:val="16"/>
          <w:color w:val="auto"/>
        </w:rPr>
      </w:pPr>
    </w:p>
    <w:p>
      <w:pPr>
        <w:ind w:left="900" w:right="34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binding commitment to fund any real estate investment or to fund any investment in any entity making a real estate investment, in each case other than</w:t>
      </w:r>
    </w:p>
    <w:p>
      <w:pPr>
        <w:spacing w:after="0" w:line="172" w:lineRule="exact"/>
        <w:rPr>
          <w:rFonts w:ascii="Arial" w:cs="Arial" w:eastAsia="Arial" w:hAnsi="Arial"/>
          <w:sz w:val="18"/>
          <w:szCs w:val="18"/>
          <w:color w:val="auto"/>
        </w:rPr>
      </w:pPr>
    </w:p>
    <w:p>
      <w:pPr>
        <w:jc w:val="both"/>
        <w:ind w:left="1460" w:right="40" w:hanging="547"/>
        <w:spacing w:after="0" w:line="306" w:lineRule="auto"/>
        <w:tabs>
          <w:tab w:leader="none" w:pos="14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147" w:lineRule="exact"/>
        <w:rPr>
          <w:rFonts w:ascii="Arial" w:cs="Arial" w:eastAsia="Arial" w:hAnsi="Arial"/>
          <w:sz w:val="16"/>
          <w:szCs w:val="16"/>
          <w:color w:val="auto"/>
        </w:rPr>
      </w:pPr>
    </w:p>
    <w:p>
      <w:pPr>
        <w:ind w:left="1460" w:right="300" w:hanging="547"/>
        <w:spacing w:after="0" w:line="268" w:lineRule="auto"/>
        <w:tabs>
          <w:tab w:leader="none" w:pos="14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172" w:lineRule="exact"/>
        <w:rPr>
          <w:rFonts w:ascii="Arial" w:cs="Arial" w:eastAsia="Arial" w:hAnsi="Arial"/>
          <w:sz w:val="18"/>
          <w:szCs w:val="18"/>
          <w:color w:val="auto"/>
        </w:rPr>
      </w:pPr>
    </w:p>
    <w:p>
      <w:pPr>
        <w:ind w:left="1460" w:hanging="547"/>
        <w:spacing w:after="0"/>
        <w:tabs>
          <w:tab w:leader="none" w:pos="14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subordinated debt securities.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Unless we say otherwise in a prospectus supplement, there will be no restrictions in any subordinated indenture upon the creation of additional senior debt.</w:t>
      </w:r>
    </w:p>
    <w:p>
      <w:pPr>
        <w:spacing w:after="0" w:line="20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Payment Blockage for Payment Defaults. </w:t>
      </w:r>
      <w:r>
        <w:rPr>
          <w:rFonts w:ascii="Arial" w:cs="Arial" w:eastAsia="Arial" w:hAnsi="Arial"/>
          <w:sz w:val="18"/>
          <w:szCs w:val="18"/>
          <w:color w:val="auto"/>
        </w:rPr>
        <w:t>Unless we say otherwise in a prospectus supplement, if we have defaulted in the payment of any senior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may not:</w:t>
      </w:r>
    </w:p>
    <w:p>
      <w:pPr>
        <w:spacing w:after="0" w:line="172"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 any principal, premium, if any, or interest on subordinated debt securities; or</w:t>
      </w:r>
    </w:p>
    <w:p>
      <w:pPr>
        <w:spacing w:after="0" w:line="211" w:lineRule="exact"/>
        <w:rPr>
          <w:rFonts w:ascii="Arial" w:cs="Arial" w:eastAsia="Arial" w:hAnsi="Arial"/>
          <w:sz w:val="18"/>
          <w:szCs w:val="18"/>
          <w:color w:val="auto"/>
        </w:rPr>
      </w:pPr>
    </w:p>
    <w:p>
      <w:pPr>
        <w:ind w:left="5620" w:right="4780" w:hanging="5166"/>
        <w:spacing w:after="0" w:line="525" w:lineRule="auto"/>
        <w:tabs>
          <w:tab w:leader="none" w:pos="89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purchase, redeem, defease, or otherwise acquire any subordinated debt securities. 11</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This prohibition will not affect any payment we have already made to defease debt securities, as described under “— Defeasance or Covenant Defeasance of Indentures,” below.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must resume payment on our subordinated debt securities, and make any payments we have missed, when one of the following has occurred:</w:t>
      </w:r>
    </w:p>
    <w:p>
      <w:pPr>
        <w:spacing w:after="0" w:line="235"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senior debt has been discharged or paid in full;</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holders of senior debt have waived payment;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payment default has otherwise been cured or ceased to exist.</w:t>
      </w:r>
    </w:p>
    <w:p>
      <w:pPr>
        <w:spacing w:after="0" w:line="171"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Payment Blockage for Non-Payment Defaults. </w:t>
      </w:r>
      <w:r>
        <w:rPr>
          <w:rFonts w:ascii="Arial" w:cs="Arial" w:eastAsia="Arial" w:hAnsi="Arial"/>
          <w:sz w:val="18"/>
          <w:szCs w:val="18"/>
          <w:color w:val="auto"/>
        </w:rPr>
        <w:t>Unless we say otherwise in a prospectus supplement, we will also be prohibited from paying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or distributing any assets if:</w:t>
      </w:r>
    </w:p>
    <w:p>
      <w:pPr>
        <w:spacing w:after="0" w:line="172"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have defaulted on senior debt in a way that does not involve a failure to pay amounts but accelerates payment;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and the trustee for the subordinated debt securities have received written notice of this default.</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Unless we say otherwise in a prospectus supplement, we will be required to suspend payments and distributions on our subordinated debt securities starting when we receive notice of the applicable default. We may resume payments on our subordinated debt securities, and make any payments we have missed, upon the earliest of:</w:t>
      </w:r>
    </w:p>
    <w:p>
      <w:pPr>
        <w:spacing w:after="0" w:line="181"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date that is 179 days after receipt of notice (unless we have previously been required to pay all amounts owing on the applicable senior debt);</w:t>
      </w:r>
    </w:p>
    <w:p>
      <w:pPr>
        <w:spacing w:after="0" w:line="234" w:lineRule="exact"/>
        <w:rPr>
          <w:rFonts w:ascii="Arial" w:cs="Arial" w:eastAsia="Arial" w:hAnsi="Arial"/>
          <w:sz w:val="16"/>
          <w:szCs w:val="16"/>
          <w:color w:val="auto"/>
        </w:rPr>
      </w:pPr>
    </w:p>
    <w:p>
      <w:pPr>
        <w:ind w:left="900" w:hanging="446"/>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date the default and all other similar defaults as to which notice has been given shall have been cured, waived or shall have ceased to exist;</w:t>
      </w:r>
    </w:p>
    <w:p>
      <w:pPr>
        <w:spacing w:after="0" w:line="234" w:lineRule="exact"/>
        <w:rPr>
          <w:rFonts w:ascii="Arial" w:cs="Arial" w:eastAsia="Arial" w:hAnsi="Arial"/>
          <w:sz w:val="16"/>
          <w:szCs w:val="16"/>
          <w:color w:val="auto"/>
        </w:rPr>
      </w:pPr>
    </w:p>
    <w:p>
      <w:pPr>
        <w:ind w:left="900" w:hanging="446"/>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date the applicable senior debt (and all other senior debt as to which notice has been given) shall have been discharged or paid in full; and</w:t>
      </w:r>
    </w:p>
    <w:p>
      <w:pPr>
        <w:spacing w:after="0" w:line="234" w:lineRule="exact"/>
        <w:rPr>
          <w:rFonts w:ascii="Arial" w:cs="Arial" w:eastAsia="Arial" w:hAnsi="Arial"/>
          <w:sz w:val="16"/>
          <w:szCs w:val="16"/>
          <w:color w:val="auto"/>
        </w:rPr>
      </w:pPr>
    </w:p>
    <w:p>
      <w:pPr>
        <w:ind w:left="900" w:right="4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3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Provisions</w:t>
      </w:r>
    </w:p>
    <w:p>
      <w:pPr>
        <w:spacing w:after="0" w:line="177"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Unless we say otherwise in a prospectus supplement, each of the following is an event of default as to any of our senior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subordinated debt securities:</w:t>
      </w:r>
    </w:p>
    <w:p>
      <w:pPr>
        <w:spacing w:after="0" w:line="132" w:lineRule="exact"/>
        <w:rPr>
          <w:sz w:val="20"/>
          <w:szCs w:val="20"/>
          <w:color w:val="auto"/>
        </w:rPr>
      </w:pPr>
    </w:p>
    <w:p>
      <w:pPr>
        <w:ind w:left="460" w:right="20" w:firstLine="443"/>
        <w:spacing w:after="0" w:line="268" w:lineRule="auto"/>
        <w:tabs>
          <w:tab w:leader="none" w:pos="1196"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firstLine="443"/>
        <w:spacing w:after="0" w:line="268" w:lineRule="auto"/>
        <w:tabs>
          <w:tab w:leader="none" w:pos="1196"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131" w:lineRule="exact"/>
        <w:rPr>
          <w:rFonts w:ascii="Arial" w:cs="Arial" w:eastAsia="Arial" w:hAnsi="Arial"/>
          <w:sz w:val="18"/>
          <w:szCs w:val="18"/>
          <w:color w:val="auto"/>
        </w:rPr>
      </w:pPr>
    </w:p>
    <w:p>
      <w:pPr>
        <w:ind w:left="1200" w:hanging="297"/>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171" w:lineRule="exact"/>
        <w:rPr>
          <w:rFonts w:ascii="Arial" w:cs="Arial" w:eastAsia="Arial" w:hAnsi="Arial"/>
          <w:sz w:val="18"/>
          <w:szCs w:val="18"/>
          <w:color w:val="auto"/>
        </w:rPr>
      </w:pPr>
    </w:p>
    <w:p>
      <w:pPr>
        <w:ind w:left="460" w:firstLine="443"/>
        <w:spacing w:after="0" w:line="259" w:lineRule="auto"/>
        <w:tabs>
          <w:tab w:leader="none" w:pos="1196"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140" w:lineRule="exact"/>
        <w:rPr>
          <w:rFonts w:ascii="Arial" w:cs="Arial" w:eastAsia="Arial" w:hAnsi="Arial"/>
          <w:sz w:val="18"/>
          <w:szCs w:val="18"/>
          <w:color w:val="auto"/>
        </w:rPr>
      </w:pPr>
    </w:p>
    <w:p>
      <w:pPr>
        <w:ind w:left="1720" w:hanging="379"/>
        <w:spacing w:after="0"/>
        <w:tabs>
          <w:tab w:leader="none" w:pos="17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171" w:lineRule="exact"/>
        <w:rPr>
          <w:rFonts w:ascii="Arial" w:cs="Arial" w:eastAsia="Arial" w:hAnsi="Arial"/>
          <w:sz w:val="18"/>
          <w:szCs w:val="18"/>
          <w:color w:val="auto"/>
        </w:rPr>
      </w:pPr>
    </w:p>
    <w:p>
      <w:pPr>
        <w:ind w:left="1720" w:hanging="379"/>
        <w:spacing w:after="0"/>
        <w:tabs>
          <w:tab w:leader="none" w:pos="17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to us and the trustee by the holders of at least 25% in aggregate principal amount of the outstanding debt securities of the series.</w:t>
      </w:r>
    </w:p>
    <w:p>
      <w:pPr>
        <w:spacing w:after="0" w:line="194" w:lineRule="exact"/>
        <w:rPr>
          <w:rFonts w:ascii="Arial" w:cs="Arial" w:eastAsia="Arial" w:hAnsi="Arial"/>
          <w:sz w:val="16"/>
          <w:szCs w:val="16"/>
          <w:color w:val="auto"/>
        </w:rPr>
      </w:pPr>
    </w:p>
    <w:p>
      <w:pPr>
        <w:ind w:left="460" w:right="60" w:firstLine="443"/>
        <w:spacing w:after="0" w:line="289" w:lineRule="auto"/>
        <w:tabs>
          <w:tab w:leader="none" w:pos="1202"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118" w:lineRule="exact"/>
        <w:rPr>
          <w:rFonts w:ascii="Arial" w:cs="Arial" w:eastAsia="Arial" w:hAnsi="Arial"/>
          <w:sz w:val="16"/>
          <w:szCs w:val="16"/>
          <w:color w:val="auto"/>
        </w:rPr>
      </w:pPr>
    </w:p>
    <w:p>
      <w:pPr>
        <w:ind w:left="1200" w:hanging="297"/>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171" w:lineRule="exact"/>
        <w:rPr>
          <w:rFonts w:ascii="Arial" w:cs="Arial" w:eastAsia="Arial" w:hAnsi="Arial"/>
          <w:sz w:val="18"/>
          <w:szCs w:val="18"/>
          <w:color w:val="auto"/>
        </w:rPr>
      </w:pPr>
    </w:p>
    <w:p>
      <w:pPr>
        <w:ind w:left="1720" w:hanging="379"/>
        <w:spacing w:after="0"/>
        <w:tabs>
          <w:tab w:leader="none" w:pos="17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171" w:lineRule="exact"/>
        <w:rPr>
          <w:rFonts w:ascii="Arial" w:cs="Arial" w:eastAsia="Arial" w:hAnsi="Arial"/>
          <w:sz w:val="18"/>
          <w:szCs w:val="18"/>
          <w:color w:val="auto"/>
        </w:rPr>
      </w:pPr>
    </w:p>
    <w:p>
      <w:pPr>
        <w:ind w:left="1720" w:hanging="379"/>
        <w:spacing w:after="0"/>
        <w:tabs>
          <w:tab w:leader="none" w:pos="17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appoints a receiver in respect of us or any of our significant subsidiaries or for all or substantially all of the property of any of us; or</w:t>
      </w:r>
    </w:p>
    <w:p>
      <w:pPr>
        <w:spacing w:after="0" w:line="194" w:lineRule="exact"/>
        <w:rPr>
          <w:rFonts w:ascii="Arial" w:cs="Arial" w:eastAsia="Arial" w:hAnsi="Arial"/>
          <w:sz w:val="16"/>
          <w:szCs w:val="16"/>
          <w:color w:val="auto"/>
        </w:rPr>
      </w:pPr>
    </w:p>
    <w:p>
      <w:pPr>
        <w:ind w:left="1720" w:hanging="379"/>
        <w:spacing w:after="0"/>
        <w:tabs>
          <w:tab w:leader="none" w:pos="17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orders our liquidation or the liquidation of any of our significant subsidiaries,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the order or decree remains unstayed and in effect for 90 days.</w:t>
      </w:r>
    </w:p>
    <w:p>
      <w:pPr>
        <w:spacing w:after="0" w:line="171" w:lineRule="exact"/>
        <w:rPr>
          <w:sz w:val="20"/>
          <w:szCs w:val="20"/>
          <w:color w:val="auto"/>
        </w:rPr>
      </w:pPr>
    </w:p>
    <w:p>
      <w:pPr>
        <w:ind w:left="1200" w:hanging="297"/>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or any of our significant subsidiaries do any of the following:</w:t>
      </w:r>
    </w:p>
    <w:p>
      <w:pPr>
        <w:spacing w:after="0" w:line="171" w:lineRule="exact"/>
        <w:rPr>
          <w:rFonts w:ascii="Arial" w:cs="Arial" w:eastAsia="Arial" w:hAnsi="Arial"/>
          <w:sz w:val="18"/>
          <w:szCs w:val="18"/>
          <w:color w:val="auto"/>
        </w:rPr>
      </w:pPr>
    </w:p>
    <w:p>
      <w:pPr>
        <w:ind w:left="1720" w:hanging="379"/>
        <w:spacing w:after="0"/>
        <w:tabs>
          <w:tab w:leader="none" w:pos="17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171" w:lineRule="exact"/>
        <w:rPr>
          <w:rFonts w:ascii="Arial" w:cs="Arial" w:eastAsia="Arial" w:hAnsi="Arial"/>
          <w:sz w:val="18"/>
          <w:szCs w:val="18"/>
          <w:color w:val="auto"/>
        </w:rPr>
      </w:pPr>
    </w:p>
    <w:p>
      <w:pPr>
        <w:ind w:left="920" w:right="740" w:firstLine="421"/>
        <w:spacing w:after="0" w:line="268" w:lineRule="auto"/>
        <w:tabs>
          <w:tab w:leader="none" w:pos="17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131" w:lineRule="exact"/>
        <w:rPr>
          <w:rFonts w:ascii="Arial" w:cs="Arial" w:eastAsia="Arial" w:hAnsi="Arial"/>
          <w:sz w:val="18"/>
          <w:szCs w:val="18"/>
          <w:color w:val="auto"/>
        </w:rPr>
      </w:pPr>
    </w:p>
    <w:p>
      <w:pPr>
        <w:ind w:left="920" w:right="480" w:firstLine="421"/>
        <w:spacing w:after="0" w:line="268" w:lineRule="auto"/>
        <w:tabs>
          <w:tab w:leader="none" w:pos="171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consent to the appointment of a receiver in respect of us or any of our significant subsidiaries for all or substantially all of our or its property; or</w:t>
      </w:r>
    </w:p>
    <w:p>
      <w:pPr>
        <w:spacing w:after="0" w:line="131" w:lineRule="exact"/>
        <w:rPr>
          <w:rFonts w:ascii="Arial" w:cs="Arial" w:eastAsia="Arial" w:hAnsi="Arial"/>
          <w:sz w:val="18"/>
          <w:szCs w:val="18"/>
          <w:color w:val="auto"/>
        </w:rPr>
      </w:pPr>
    </w:p>
    <w:p>
      <w:pPr>
        <w:ind w:left="1720" w:hanging="379"/>
        <w:spacing w:after="0"/>
        <w:tabs>
          <w:tab w:leader="none" w:pos="17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spacing w:after="0"/>
        <w:tabs>
          <w:tab w:leader="none" w:pos="118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5"/>
          <w:szCs w:val="15"/>
          <w:color w:val="auto"/>
        </w:rPr>
        <w:t>Any other event of default provided with respect to the debt securities of that series.</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Waiver of Default. </w:t>
      </w:r>
      <w:r>
        <w:rPr>
          <w:rFonts w:ascii="Arial" w:cs="Arial" w:eastAsia="Arial" w:hAnsi="Arial"/>
          <w:sz w:val="18"/>
          <w:szCs w:val="18"/>
          <w:color w:val="auto"/>
        </w:rPr>
        <w:t>Unless we say otherwise in a prospectus supplement, holders of not less than a majority of the debt securities of a series may waive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past default except for:</w:t>
      </w:r>
    </w:p>
    <w:p>
      <w:pPr>
        <w:spacing w:after="0" w:line="172"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payment default;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default on any provision that requires the consent of all holders to modify.</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Acceleration of Payment. </w:t>
      </w:r>
      <w:r>
        <w:rPr>
          <w:rFonts w:ascii="Arial" w:cs="Arial" w:eastAsia="Arial" w:hAnsi="Arial"/>
          <w:sz w:val="16"/>
          <w:szCs w:val="16"/>
          <w:color w:val="auto"/>
        </w:rPr>
        <w:t>Unless we say otherwise in a prospectus supplement, each indenture provides or will provide that if an event of default occurs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continues, the trustee or the holders of not less than 25% in aggregate principal amount of the debt securities of the applicable series outstanding may declare all unpaid principal of, premium, if any, and accrued interest on, all the debt securities of the applicable series to be due and payable immediately by a notice given in writing to us (and to the trustee if given by the holders of the debt securities of the applicable series). The trustee may, then, at its discretion, proceed to protect and enforce the rights of the holders of the applicable debt securities by appropriate judicial proceeding.</w:t>
      </w:r>
    </w:p>
    <w:p>
      <w:pPr>
        <w:spacing w:after="0" w:line="11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Waiver of Acceleration. </w:t>
      </w:r>
      <w:r>
        <w:rPr>
          <w:rFonts w:ascii="Arial" w:cs="Arial" w:eastAsia="Arial" w:hAnsi="Arial"/>
          <w:sz w:val="16"/>
          <w:szCs w:val="16"/>
          <w:color w:val="auto"/>
        </w:rPr>
        <w:t>Unless we say otherwise in a prospectus supplement, each indenture provides or will provide that, after a declaration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acceleration, but before a 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147"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have paid, or deposited with the trustee a sum sufficient to pay:</w:t>
      </w:r>
    </w:p>
    <w:p>
      <w:pPr>
        <w:spacing w:after="0" w:line="211" w:lineRule="exact"/>
        <w:rPr>
          <w:rFonts w:ascii="Arial" w:cs="Arial" w:eastAsia="Arial" w:hAnsi="Arial"/>
          <w:sz w:val="18"/>
          <w:szCs w:val="18"/>
          <w:color w:val="auto"/>
        </w:rPr>
      </w:pPr>
    </w:p>
    <w:p>
      <w:pPr>
        <w:ind w:left="1460" w:hanging="547"/>
        <w:spacing w:after="0"/>
        <w:tabs>
          <w:tab w:leader="none" w:pos="14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overdue interest and any additional amounts payable on all outstanding debt securities of the applicable series and any related coupons,</w:t>
      </w:r>
    </w:p>
    <w:p>
      <w:pPr>
        <w:spacing w:after="0" w:line="234" w:lineRule="exact"/>
        <w:rPr>
          <w:rFonts w:ascii="Arial" w:cs="Arial" w:eastAsia="Arial" w:hAnsi="Arial"/>
          <w:sz w:val="16"/>
          <w:szCs w:val="16"/>
          <w:color w:val="auto"/>
        </w:rPr>
      </w:pPr>
    </w:p>
    <w:p>
      <w:pPr>
        <w:ind w:left="1460" w:right="40" w:hanging="547"/>
        <w:spacing w:after="0" w:line="268" w:lineRule="auto"/>
        <w:tabs>
          <w:tab w:leader="none" w:pos="14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principal of and premium, if any, on any debt securities of the applicable series which have become due other than by such declaration of acceleration, plus interest thereon at the rate borne by the debt securities,</w:t>
      </w:r>
    </w:p>
    <w:p>
      <w:pPr>
        <w:spacing w:after="0" w:line="172" w:lineRule="exact"/>
        <w:rPr>
          <w:rFonts w:ascii="Arial" w:cs="Arial" w:eastAsia="Arial" w:hAnsi="Arial"/>
          <w:sz w:val="18"/>
          <w:szCs w:val="18"/>
          <w:color w:val="auto"/>
        </w:rPr>
      </w:pPr>
    </w:p>
    <w:p>
      <w:pPr>
        <w:ind w:left="1460" w:hanging="547"/>
        <w:spacing w:after="0"/>
        <w:tabs>
          <w:tab w:leader="none" w:pos="14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to the extent that payment of such interest is lawful, interest upon overdue interest at the rate borne by the debt securities, and</w:t>
      </w:r>
    </w:p>
    <w:p>
      <w:pPr>
        <w:spacing w:after="0" w:line="234" w:lineRule="exact"/>
        <w:rPr>
          <w:rFonts w:ascii="Arial" w:cs="Arial" w:eastAsia="Arial" w:hAnsi="Arial"/>
          <w:sz w:val="16"/>
          <w:szCs w:val="16"/>
          <w:color w:val="auto"/>
        </w:rPr>
      </w:pPr>
    </w:p>
    <w:p>
      <w:pPr>
        <w:ind w:left="1460" w:right="100" w:hanging="547"/>
        <w:spacing w:after="0" w:line="268" w:lineRule="auto"/>
        <w:tabs>
          <w:tab w:leader="none" w:pos="14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sums paid or advanced by the trustee under the indenture and the reasonable compensation, expenses, disbursements and advances of the trustee, its agents and counsel; and</w:t>
      </w:r>
    </w:p>
    <w:p>
      <w:pPr>
        <w:spacing w:after="0" w:line="172"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principal of the debt securities which have become due solely by such declaration of acceleration, have been cured or waived.</w:t>
      </w:r>
    </w:p>
    <w:p>
      <w:pPr>
        <w:spacing w:after="0" w:line="132"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Notices of Default. </w:t>
      </w:r>
      <w:r>
        <w:rPr>
          <w:rFonts w:ascii="Arial" w:cs="Arial" w:eastAsia="Arial" w:hAnsi="Arial"/>
          <w:sz w:val="16"/>
          <w:szCs w:val="16"/>
          <w:color w:val="auto"/>
        </w:rPr>
        <w:t>Unless we say otherwise in a prospectus supplement, we are required to deliver to the trustee, on or before a date not more than 120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days after the end of each fiscal year, a certificate of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 however, that the trustee may withhold notice to the holders of any series of debt securities of any default with respect to such series (except a default in the payment of the principal of, and premium, if any, or interest on or any additional amounts with respect to any debt security of such series or in the payment of any sinking fund installment in respect of any debt security of such series) if the trustee considers such withholding to be in the interest of the holders.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b w:val="1"/>
          <w:bCs w:val="1"/>
          <w:i w:val="1"/>
          <w:iCs w:val="1"/>
          <w:color w:val="auto"/>
        </w:rPr>
        <w:t xml:space="preserve">Limitation on Suits. </w:t>
      </w:r>
      <w:r>
        <w:rPr>
          <w:rFonts w:ascii="Arial" w:cs="Arial" w:eastAsia="Arial" w:hAnsi="Arial"/>
          <w:sz w:val="15"/>
          <w:szCs w:val="15"/>
          <w:color w:val="auto"/>
        </w:rPr>
        <w:t>Unless we say otherwise in a prospectus supplement, each indenture provides or will provide that no holders of debt securities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any series may institute any proceedings, judicial or otherwise, with respect to the indenture or for any remedy thereunder unless the trustee has failed to act for a period of 60 days after it has received a written request to institute proceedings in respect of an event of default from the holders of not less than 25% in aggregate principal amount of the debt securities of the applicable series outstanding together with an offer of indemnity from such holders that is reasonably satisfactory to the trustee and the trustee has received no direction inconsistent with such written request during such 60-day period from the holders of a majority in aggregate principal amount of the debt securities of the applicable series outstanding.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05"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b w:val="1"/>
          <w:bCs w:val="1"/>
          <w:i w:val="1"/>
          <w:iCs w:val="1"/>
          <w:color w:val="auto"/>
        </w:rPr>
        <w:t xml:space="preserve">Obligations of Trustee. </w:t>
      </w:r>
      <w:r>
        <w:rPr>
          <w:rFonts w:ascii="Arial" w:cs="Arial" w:eastAsia="Arial" w:hAnsi="Arial"/>
          <w:sz w:val="16"/>
          <w:szCs w:val="16"/>
          <w:color w:val="auto"/>
        </w:rPr>
        <w:t>Unless we say otherwise in a prospectus supplement, the trustee is under no obligation to exercise any of the rights or powers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10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107" w:lineRule="exact"/>
        <w:rPr>
          <w:sz w:val="20"/>
          <w:szCs w:val="20"/>
          <w:color w:val="auto"/>
        </w:rPr>
      </w:pPr>
    </w:p>
    <w:p>
      <w:pPr>
        <w:jc w:val="both"/>
        <w:ind w:right="280" w:firstLine="456"/>
        <w:spacing w:after="0" w:line="268" w:lineRule="auto"/>
        <w:rPr>
          <w:sz w:val="20"/>
          <w:szCs w:val="20"/>
          <w:color w:val="auto"/>
        </w:rPr>
      </w:pPr>
      <w:r>
        <w:rPr>
          <w:rFonts w:ascii="Arial" w:cs="Arial" w:eastAsia="Arial" w:hAnsi="Arial"/>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or Covenant Defeasance of Indenture</w:t>
      </w:r>
    </w:p>
    <w:p>
      <w:pPr>
        <w:spacing w:after="0" w:line="177"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series of debt securities that is defeased will be deemed to have been discharged, except for:</w:t>
      </w:r>
    </w:p>
    <w:p>
      <w:pPr>
        <w:spacing w:after="0" w:line="181" w:lineRule="exact"/>
        <w:rPr>
          <w:sz w:val="20"/>
          <w:szCs w:val="20"/>
          <w:color w:val="auto"/>
        </w:rPr>
      </w:pPr>
    </w:p>
    <w:p>
      <w:pPr>
        <w:ind w:left="900" w:right="24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172"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125" w:lineRule="exact"/>
        <w:rPr>
          <w:rFonts w:ascii="Arial" w:cs="Arial" w:eastAsia="Arial" w:hAnsi="Arial"/>
          <w:sz w:val="16"/>
          <w:szCs w:val="16"/>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will also be able to free ourselves from certain covenants that are described in an indenture by taking the actions described below. The discharge of obligations using this process is known as “covenant defeasance.” If we defease covenants under debt securities, then certain events (not including non-payment, enforceability of any guarantee, bankruptcy and insolvency events) described under “— Events of Default” will no longer constitute an event of default with respect to the debt securities.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Unless we say otherwise in a prospectus supplement, in order to exercise either defeasance or covenant defeasance as to the outstanding debt securities of 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series:</w:t>
      </w:r>
    </w:p>
    <w:p>
      <w:pPr>
        <w:spacing w:after="0" w:line="205"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must irrevocably deposit with the trustee, in trust, for the benefit of the holders of the debt securities of the applicable series, an amount in</w:t>
      </w:r>
    </w:p>
    <w:p>
      <w:pPr>
        <w:spacing w:after="0" w:line="38" w:lineRule="exact"/>
        <w:rPr>
          <w:rFonts w:ascii="Arial" w:cs="Arial" w:eastAsia="Arial" w:hAnsi="Arial"/>
          <w:sz w:val="16"/>
          <w:szCs w:val="16"/>
          <w:color w:val="auto"/>
        </w:rPr>
      </w:pPr>
    </w:p>
    <w:p>
      <w:pPr>
        <w:ind w:left="900" w:right="100"/>
        <w:spacing w:after="0" w:line="292" w:lineRule="auto"/>
        <w:rPr>
          <w:rFonts w:ascii="Arial" w:cs="Arial" w:eastAsia="Arial" w:hAnsi="Arial"/>
          <w:sz w:val="16"/>
          <w:szCs w:val="16"/>
          <w:color w:val="auto"/>
        </w:rPr>
      </w:pPr>
      <w:r>
        <w:rPr>
          <w:rFonts w:ascii="Arial" w:cs="Arial" w:eastAsia="Arial" w:hAnsi="Arial"/>
          <w:sz w:val="16"/>
          <w:szCs w:val="16"/>
          <w:color w:val="auto"/>
        </w:rPr>
        <w:t>(i) currency, currencies or currency units in which those debt securities are then specified as payable at maturity, (ii) government obligations (as defined in the applicable indenture) or (iii) any combination thereof, as will be sufficient, without consideration of reinvestment of principal and interest, in the opinion of a nationally recognized firm of independent public accountants expressed in a written certification thereof delivered to the trustee, to pay and discharge the principal of, premium, if any, and interest on the debt securities of the applicable series on the stated maturity of such principal or installment of principal or interest and any mandatory sinking fund payments;</w:t>
      </w:r>
    </w:p>
    <w:p>
      <w:pPr>
        <w:spacing w:after="0" w:line="157" w:lineRule="exact"/>
        <w:rPr>
          <w:rFonts w:ascii="Arial" w:cs="Arial" w:eastAsia="Arial" w:hAnsi="Arial"/>
          <w:sz w:val="16"/>
          <w:szCs w:val="16"/>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case of defeasance, we will deliver to the trustee an opinion of counsel confirming that either:</w:t>
      </w:r>
    </w:p>
    <w:p>
      <w:pPr>
        <w:spacing w:after="0" w:line="21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we have received from, or there has been published by, the Internal Revenue Service a ruling, or</w:t>
      </w:r>
    </w:p>
    <w:p>
      <w:pPr>
        <w:spacing w:after="0" w:line="21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since the date of execution of the indenture, there has been a change in the applicable federal income tax law,</w:t>
      </w:r>
    </w:p>
    <w:p>
      <w:pPr>
        <w:spacing w:after="0" w:line="211" w:lineRule="exact"/>
        <w:rPr>
          <w:rFonts w:ascii="Arial" w:cs="Arial" w:eastAsia="Arial" w:hAnsi="Arial"/>
          <w:sz w:val="18"/>
          <w:szCs w:val="18"/>
          <w:color w:val="auto"/>
        </w:rPr>
      </w:pPr>
    </w:p>
    <w:p>
      <w:pPr>
        <w:ind w:left="920" w:right="60"/>
        <w:spacing w:after="0" w:line="259" w:lineRule="auto"/>
        <w:rPr>
          <w:rFonts w:ascii="Arial" w:cs="Arial" w:eastAsia="Arial" w:hAnsi="Arial"/>
          <w:sz w:val="18"/>
          <w:szCs w:val="18"/>
          <w:color w:val="auto"/>
        </w:rPr>
      </w:pPr>
      <w:r>
        <w:rPr>
          <w:rFonts w:ascii="Arial" w:cs="Arial" w:eastAsia="Arial" w:hAnsi="Arial"/>
          <w:sz w:val="18"/>
          <w:szCs w:val="18"/>
          <w:color w:val="auto"/>
        </w:rPr>
        <w:t>the effect of either being that the holders of the outstanding debt securities of the applicable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180" w:lineRule="exact"/>
        <w:rPr>
          <w:rFonts w:ascii="Arial" w:cs="Arial" w:eastAsia="Arial" w:hAnsi="Arial"/>
          <w:sz w:val="18"/>
          <w:szCs w:val="18"/>
          <w:color w:val="auto"/>
        </w:rPr>
      </w:pPr>
    </w:p>
    <w:p>
      <w:pPr>
        <w:ind w:left="900" w:right="140" w:hanging="446"/>
        <w:spacing w:after="0" w:line="256"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case of covenant defeasance, we will deliver to the trustee an opinion of counsel to the effect that the holders of the debt securities of the applicable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83"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 default, event of default or event which with notice or lapse of time or both would become an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18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172"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172" w:lineRule="exact"/>
        <w:rPr>
          <w:rFonts w:ascii="Arial" w:cs="Arial" w:eastAsia="Arial" w:hAnsi="Arial"/>
          <w:sz w:val="18"/>
          <w:szCs w:val="18"/>
          <w:color w:val="auto"/>
        </w:rPr>
      </w:pPr>
    </w:p>
    <w:p>
      <w:pPr>
        <w:ind w:left="900" w:right="260" w:hanging="446"/>
        <w:spacing w:after="0" w:line="306"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registrations under the Investment Company Act have been effected.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Modifications and Amendments</w:t>
      </w:r>
    </w:p>
    <w:p>
      <w:pPr>
        <w:spacing w:after="0" w:line="17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 the consent of the holders of a majority in aggregate principal amount of the outstanding debt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securities of all series affected by the modification or amendment; provided, however, that no modification or amendment may, without the consent of the holder of each outstanding debt security of all series affected by the modification or amendment:</w:t>
      </w:r>
    </w:p>
    <w:p>
      <w:pPr>
        <w:spacing w:after="0" w:line="172"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interest on, any debt security;</w:t>
      </w:r>
    </w:p>
    <w:p>
      <w:pPr>
        <w:spacing w:after="0" w:line="211"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 the principal amount thereof or the rate of interest thereon or any premium payable upon the redemption thereof, or change any obligation of ours to pay additional amounts under the indenture, except as contemplated in the indenture, or reduce the amount of the principal of an original issue discount security that would be due and payable upon a declaration of acceleration of the maturity thereof or the amount thereof provable in bankruptcy;</w:t>
      </w:r>
    </w:p>
    <w:p>
      <w:pPr>
        <w:spacing w:after="0" w:line="183"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adversely affect any right of repayment at the option of the holder of any series of outstanding debt security;</w:t>
      </w:r>
    </w:p>
    <w:p>
      <w:pPr>
        <w:spacing w:after="0" w:line="9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 the place of repayment where, or the currency, currency unit or composite currency in which, the principal or premium, if any, of any debt security or the interest thereon is payable;</w:t>
      </w:r>
    </w:p>
    <w:p>
      <w:pPr>
        <w:spacing w:after="0" w:line="172"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such payment after the stated maturity of the debt security (or in the case of redemption, on or after the redemption date);</w:t>
      </w:r>
    </w:p>
    <w:p>
      <w:pPr>
        <w:spacing w:after="0" w:line="172"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for which the consent of the holders is required for any such supplemental indenture, or for any waiver of compliance with certain provisions of the indenture or certain defaults, or reduce the requirements for quorum or voting as provided in the indenture; or</w:t>
      </w:r>
    </w:p>
    <w:p>
      <w:pPr>
        <w:spacing w:after="0" w:line="180" w:lineRule="exact"/>
        <w:rPr>
          <w:rFonts w:ascii="Arial" w:cs="Arial" w:eastAsia="Arial" w:hAnsi="Arial"/>
          <w:sz w:val="18"/>
          <w:szCs w:val="18"/>
          <w:color w:val="auto"/>
        </w:rPr>
      </w:pPr>
    </w:p>
    <w:p>
      <w:pPr>
        <w:ind w:left="900" w:right="40" w:hanging="446"/>
        <w:spacing w:after="0" w:line="256"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172" w:lineRule="exact"/>
        <w:rPr>
          <w:sz w:val="20"/>
          <w:szCs w:val="20"/>
          <w:color w:val="auto"/>
        </w:rPr>
      </w:pPr>
    </w:p>
    <w:p>
      <w:pPr>
        <w:ind w:left="900" w:right="300" w:hanging="446"/>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evidences the succession of another person to us and the assumption by any such successor of any covenants under the indenture and in the debt securities of any series;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adds to our covenants for the benefit of the holders of all or any series of debt securities or surrenders any of our rights or powers;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adds any additional event of default for the benefit of the holders of all or any series of debt securities;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secures the debt securities of any series;</w:t>
      </w:r>
    </w:p>
    <w:p>
      <w:pPr>
        <w:spacing w:after="0" w:line="211"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 provided that any such action shall not adversely affect the interests of the holders of any series of outstanding debt securities in any material respect;</w:t>
      </w:r>
    </w:p>
    <w:p>
      <w:pPr>
        <w:spacing w:after="0" w:line="183"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or eliminates any provision affecting only debt securities not yet issued;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20"/>
          </w:cols>
          <w:pgMar w:left="240" w:top="459"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establishes the form or terms of debt securities of any series not yet issued;</w:t>
      </w:r>
    </w:p>
    <w:p>
      <w:pPr>
        <w:spacing w:after="0" w:line="211"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evidences and provides for successor trustees or adds or changes any provisions of the indenture to the extent necessary to permit or facilitate the appointment of a separate trustee or trustees for specific series of debt securities;</w:t>
      </w:r>
    </w:p>
    <w:p>
      <w:pPr>
        <w:spacing w:after="0" w:line="172" w:lineRule="exact"/>
        <w:rPr>
          <w:rFonts w:ascii="Arial" w:cs="Arial" w:eastAsia="Arial" w:hAnsi="Arial"/>
          <w:sz w:val="18"/>
          <w:szCs w:val="18"/>
          <w:color w:val="auto"/>
        </w:rPr>
      </w:pPr>
    </w:p>
    <w:p>
      <w:pPr>
        <w:ind w:left="900" w:right="220" w:hanging="446"/>
        <w:spacing w:after="0" w:line="256"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series then outstanding in any material respect; or</w:t>
      </w:r>
    </w:p>
    <w:p>
      <w:pPr>
        <w:spacing w:after="0" w:line="183"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supplements any provision of the indenture to such extent as shall be necessary to permit the facilitation of defeasance and discharge of any series of debt securities; provided, however, that any such action may not adversely affect the interest of holders of debt securities of any series then outstanding in any material respect.</w:t>
      </w:r>
    </w:p>
    <w:p>
      <w:pPr>
        <w:spacing w:after="0" w:line="14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holders of a majority in aggregate principal amount of the debt securities of a series outstanding may waive compliance with certain restrictive covenants and provisions of either indenture with respect to that series.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Issue Discount</w:t>
      </w:r>
    </w:p>
    <w:p>
      <w:pPr>
        <w:spacing w:after="0" w:line="17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any debt security that:</w:t>
      </w:r>
    </w:p>
    <w:p>
      <w:pPr>
        <w:spacing w:after="0" w:line="156"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does not provide for the payment of interest prior to maturity; or</w:t>
      </w:r>
    </w:p>
    <w:p>
      <w:pPr>
        <w:spacing w:after="0" w:line="211"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 issued at a price lower than its face value and provides that upon redemption or acceleration of its stated maturity an amount less than its principal amount shall become due and payable.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Unless we say otherwise in a prospectus supplement, we will send notices to holders of debt securities by mail to the holder’s address as it appears in the register.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say otherwise in a prospectus supplement, each indenture and the debt securities will be governed by the laws of the State of New York.</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459" w:right="3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SHARES OF BENEFICIAL INTEREST</w:t>
      </w:r>
    </w:p>
    <w:p>
      <w:pPr>
        <w:spacing w:after="0" w:line="17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We are a Maryland REIT. Your rights as a shareholder are governed by the Code of Maryland, including Title 8 of the Corporations and Associations Article, or Maryland REIT Law, our declaration of trust, our bylaws and our shareholder rights plan. The following summary of the material terms, rights and preferences of the shares of beneficial interest is not complete and is subject to and qualified in its entirety by reference to the laws of the State of Maryland, including Maryland REIT law, our declaration of trust, bylaws and shareholder rights plan and the articles supplementary with respect to our Series 1 preferred shares.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p>
    <w:p>
      <w:pPr>
        <w:spacing w:after="0" w:line="177" w:lineRule="exact"/>
        <w:rPr>
          <w:sz w:val="20"/>
          <w:szCs w:val="20"/>
          <w:color w:val="auto"/>
        </w:rPr>
      </w:pPr>
    </w:p>
    <w:p>
      <w:pPr>
        <w:jc w:val="both"/>
        <w:ind w:right="340" w:firstLine="456"/>
        <w:spacing w:after="0" w:line="335" w:lineRule="auto"/>
        <w:rPr>
          <w:sz w:val="20"/>
          <w:szCs w:val="20"/>
          <w:color w:val="auto"/>
        </w:rPr>
      </w:pPr>
      <w:r>
        <w:rPr>
          <w:rFonts w:ascii="Arial" w:cs="Arial" w:eastAsia="Arial" w:hAnsi="Arial"/>
          <w:sz w:val="15"/>
          <w:szCs w:val="15"/>
          <w:color w:val="auto"/>
        </w:rPr>
        <w:t>Our declaration of trust allows us to issue up to 100,000,000 common shares of beneficial interest, par value $.01 per share, and 15,000,000 preferred shares of beneficial interest, par value $.01 per share. As of June 11, 2009, we had issued and outstanding 59,156,354 common shares, and 399,896 preferred shares, which are designated as 5.417% Series 1 Cumulative Convertible Preferred Shares, which we refer to as the Series 1 preferred shares.</w:t>
      </w:r>
    </w:p>
    <w:p>
      <w:pPr>
        <w:spacing w:after="0" w:line="8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Authority of the Board of Trustees Relating to Authorization and Classification of Shares. </w:t>
      </w:r>
      <w:r>
        <w:rPr>
          <w:rFonts w:ascii="Arial" w:cs="Arial" w:eastAsia="Arial" w:hAnsi="Arial"/>
          <w:sz w:val="18"/>
          <w:szCs w:val="18"/>
          <w:color w:val="auto"/>
        </w:rPr>
        <w:t>Our declaration of trust allows our Board of Trustees to take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actions without approval by you or any shareholder:</w:t>
      </w:r>
    </w:p>
    <w:p>
      <w:pPr>
        <w:spacing w:after="0" w:line="172" w:lineRule="exact"/>
        <w:rPr>
          <w:sz w:val="20"/>
          <w:szCs w:val="20"/>
          <w:color w:val="auto"/>
        </w:rPr>
      </w:pPr>
    </w:p>
    <w:p>
      <w:pPr>
        <w:ind w:left="900" w:right="560" w:hanging="446"/>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classify or reclassify any authorized but unissued common shares or preferred shares into one or more classes or series of shares of beneficial interest;</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amend the declaration of trust to change the total number of shares of beneficial interest authorized;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amend the declaration of trust to change the authorized number of shares of any class or series of shares of beneficial interest.</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17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1 preferred shares or any other class or series of shares of beneficial interest and the provisions of our declaration of trust regarding 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1 preferred shares and any other shares of beneficial interest having a priority over our common shares in the event of our liquidation, dissolution or winding up. As noted above under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 Authorized Shares,” our outstanding Series 1 preferred shares rank prior to our common shares with respect to the payment of dividends and as to the distribution of assets in the event of our liquidation, dissolution or winding up.</w:t>
      </w:r>
    </w:p>
    <w:p>
      <w:pPr>
        <w:spacing w:after="0" w:line="13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Each outstanding common share owned by a shareholder entitles that holder to one vote on all matters submitted to a vote of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including the election of trustees. The right to vote is subject to the provisions of our declaration of trust regarding the restriction of the transfer of shares of beneficial interest, which we describe under “— Restrictions on Ownership and Transfer,” below. There is no cumulative voting in the election of trustees, which means that, under Maryland law and our bylaws, the holders of a plurality of all of the votes cast at a meeting of shareholders duly called and at which a quorum is present can elect a trustee. The holders of the remaining shares will not be able to elect any trustees.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holder of a common share, you will not have any right to:</w:t>
      </w:r>
    </w:p>
    <w:p>
      <w:pPr>
        <w:spacing w:after="0" w:line="212"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convert your shares into any other security;</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have any funds set aside for future payments;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 us to repurchase your shares;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purchase any of our securities, if other securities are offered for sale, other than as a member of the general public.</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181" w:lineRule="exact"/>
        <w:rPr>
          <w:sz w:val="20"/>
          <w:szCs w:val="20"/>
          <w:color w:val="auto"/>
        </w:rPr>
      </w:pPr>
    </w:p>
    <w:p>
      <w:pPr>
        <w:ind w:left="900" w:right="20" w:hanging="446"/>
        <w:spacing w:after="0" w:line="256"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election of trustees (which requires a plurality of all the votes cast at a meeting of our shareholders at which a quorum is present), provided, however, that if any trustee does not receive a majority of all the votes cast where the number of nominees is the same as the number of trustees to be elected, such trustee shall tender his or her resignation within five business days after certification of the vote and such resignation shall be acted upon by our Board of Trustees within sixty days of such certification;</w:t>
      </w:r>
    </w:p>
    <w:p>
      <w:pPr>
        <w:spacing w:after="0" w:line="183" w:lineRule="exact"/>
        <w:rPr>
          <w:rFonts w:ascii="Arial" w:cs="Arial" w:eastAsia="Arial" w:hAnsi="Arial"/>
          <w:sz w:val="18"/>
          <w:szCs w:val="18"/>
          <w:color w:val="auto"/>
        </w:rPr>
      </w:pPr>
    </w:p>
    <w:p>
      <w:pPr>
        <w:ind w:left="900" w:right="180" w:hanging="446"/>
        <w:spacing w:after="0" w:line="256"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183" w:lineRule="exact"/>
        <w:rPr>
          <w:rFonts w:ascii="Arial" w:cs="Arial" w:eastAsia="Arial" w:hAnsi="Arial"/>
          <w:sz w:val="18"/>
          <w:szCs w:val="18"/>
          <w:color w:val="auto"/>
        </w:rPr>
      </w:pPr>
    </w:p>
    <w:p>
      <w:pPr>
        <w:ind w:left="900" w:right="60" w:hanging="446"/>
        <w:spacing w:after="0" w:line="306"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147" w:lineRule="exact"/>
        <w:rPr>
          <w:rFonts w:ascii="Arial" w:cs="Arial" w:eastAsia="Arial" w:hAnsi="Arial"/>
          <w:sz w:val="16"/>
          <w:szCs w:val="16"/>
          <w:color w:val="auto"/>
        </w:rPr>
      </w:pPr>
    </w:p>
    <w:p>
      <w:pPr>
        <w:ind w:left="900" w:right="260" w:hanging="446"/>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termination, winding up of affairs and liquidation (which requires, after approval by a majority of the entire Board of Trustees, the affirmative vote of two-thirds of all the votes entitled to be cast on the matter);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446"/>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declaration of trust permits the Board of Trustees to revoke our election to be taxed as a REIT under the Code or to determine that compliance with any restriction or limitations on ownership and transfers of shares set forth in the declaration of trust is no longer required in order for us to qualify as a REIT. Our declaration of trust also permits the Board of Trustees to amend the declaration of trust from time to time, without approval by you or the other shareholders, to:</w:t>
      </w:r>
    </w:p>
    <w:p>
      <w:pPr>
        <w:spacing w:after="0" w:line="147"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qualify as a real estate investment trust under Maryland REIT law or the Code;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increase or decrease the authorized aggregate number of shares and number of authorized shares of any class or series.</w:t>
      </w:r>
    </w:p>
    <w:p>
      <w:pPr>
        <w:spacing w:after="0" w:line="17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addition, any provision of our bylaws may be adopted, altered or repealed either by our Board of Trustees, subject to certain limitations contained in our bylaws, without any action by the shareholders or by the shareholders at any meeting of shareholders called for that purpose, by the affirmative vote of holders of not less than a majority of the shares then outstanding and entitled to vote.</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b w:val="1"/>
          <w:bCs w:val="1"/>
          <w:i w:val="1"/>
          <w:iCs w:val="1"/>
          <w:color w:val="auto"/>
        </w:rPr>
        <w:t xml:space="preserve">Preemptive Rights. </w:t>
      </w:r>
      <w:r>
        <w:rPr>
          <w:rFonts w:ascii="Arial" w:cs="Arial" w:eastAsia="Arial" w:hAnsi="Arial"/>
          <w:sz w:val="16"/>
          <w:szCs w:val="16"/>
          <w:color w:val="auto"/>
        </w:rPr>
        <w:t>Under the declaration of trust, no holder of shares of beneficial interest has any preemptive rights to subscribe to any issuance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107" w:lineRule="exact"/>
        <w:rPr>
          <w:sz w:val="20"/>
          <w:szCs w:val="20"/>
          <w:color w:val="auto"/>
        </w:rPr>
      </w:pPr>
    </w:p>
    <w:p>
      <w:pPr>
        <w:ind w:left="460"/>
        <w:spacing w:after="0"/>
        <w:tabs>
          <w:tab w:leader="none" w:pos="2380" w:val="left"/>
        </w:tabs>
        <w:rPr>
          <w:sz w:val="20"/>
          <w:szCs w:val="20"/>
          <w:color w:val="auto"/>
        </w:rPr>
      </w:pPr>
      <w:r>
        <w:rPr>
          <w:rFonts w:ascii="Arial" w:cs="Arial" w:eastAsia="Arial" w:hAnsi="Arial"/>
          <w:sz w:val="18"/>
          <w:szCs w:val="18"/>
          <w:b w:val="1"/>
          <w:bCs w:val="1"/>
          <w:i w:val="1"/>
          <w:iCs w:val="1"/>
          <w:color w:val="auto"/>
        </w:rPr>
        <w:t>Stock Exchange Listing.</w:t>
      </w:r>
      <w:r>
        <w:rPr>
          <w:sz w:val="20"/>
          <w:szCs w:val="20"/>
          <w:color w:val="auto"/>
        </w:rPr>
        <w:tab/>
      </w:r>
      <w:r>
        <w:rPr>
          <w:rFonts w:ascii="Arial" w:cs="Arial" w:eastAsia="Arial" w:hAnsi="Arial"/>
          <w:sz w:val="15"/>
          <w:szCs w:val="15"/>
          <w:color w:val="auto"/>
        </w:rPr>
        <w:t>The common shares are traded on the New York Stock Exchange under the trading symbol “FRT.”</w:t>
      </w:r>
    </w:p>
    <w:p>
      <w:pPr>
        <w:spacing w:after="0" w:line="171" w:lineRule="exact"/>
        <w:rPr>
          <w:sz w:val="20"/>
          <w:szCs w:val="20"/>
          <w:color w:val="auto"/>
        </w:rPr>
      </w:pPr>
    </w:p>
    <w:p>
      <w:pPr>
        <w:ind w:left="460"/>
        <w:spacing w:after="0"/>
        <w:tabs>
          <w:tab w:leader="none" w:pos="2780" w:val="left"/>
        </w:tabs>
        <w:rPr>
          <w:sz w:val="20"/>
          <w:szCs w:val="20"/>
          <w:color w:val="auto"/>
        </w:rPr>
      </w:pPr>
      <w:r>
        <w:rPr>
          <w:rFonts w:ascii="Arial" w:cs="Arial" w:eastAsia="Arial" w:hAnsi="Arial"/>
          <w:sz w:val="18"/>
          <w:szCs w:val="18"/>
          <w:b w:val="1"/>
          <w:bCs w:val="1"/>
          <w:i w:val="1"/>
          <w:iCs w:val="1"/>
          <w:color w:val="auto"/>
        </w:rPr>
        <w:t>Transfer Agent and Registrar.</w:t>
      </w:r>
      <w:r>
        <w:rPr>
          <w:sz w:val="20"/>
          <w:szCs w:val="20"/>
          <w:color w:val="auto"/>
        </w:rPr>
        <w:tab/>
      </w:r>
      <w:r>
        <w:rPr>
          <w:rFonts w:ascii="Arial" w:cs="Arial" w:eastAsia="Arial" w:hAnsi="Arial"/>
          <w:sz w:val="15"/>
          <w:szCs w:val="15"/>
          <w:color w:val="auto"/>
        </w:rPr>
        <w:t>The transfer agent and registrar for the common shares is American Stock Transfer &amp; Trust Company, New York, New</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York.</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1 Preferred Shares</w:t>
      </w:r>
    </w:p>
    <w:p>
      <w:pPr>
        <w:spacing w:after="0" w:line="1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March 2007, we issued 399,896 Series 1 preferred shares and we filed articles supplementary to our declaration of trust setting forth the terms of the Series 1 preferred shares. Below is a brief description of the terms of the Series 1 preferred shares, which is subject to and qualified in its entirety by reference to the articles supplementary.</w:t>
      </w:r>
    </w:p>
    <w:p>
      <w:pPr>
        <w:spacing w:after="0" w:line="140" w:lineRule="exact"/>
        <w:rPr>
          <w:sz w:val="20"/>
          <w:szCs w:val="20"/>
          <w:color w:val="auto"/>
        </w:rPr>
      </w:pPr>
    </w:p>
    <w:p>
      <w:pPr>
        <w:ind w:right="40" w:firstLine="456"/>
        <w:spacing w:after="0" w:line="309" w:lineRule="auto"/>
        <w:rPr>
          <w:sz w:val="20"/>
          <w:szCs w:val="20"/>
          <w:color w:val="auto"/>
        </w:rPr>
      </w:pPr>
      <w:r>
        <w:rPr>
          <w:rFonts w:ascii="Arial" w:cs="Arial" w:eastAsia="Arial" w:hAnsi="Arial"/>
          <w:sz w:val="15"/>
          <w:szCs w:val="15"/>
          <w:b w:val="1"/>
          <w:bCs w:val="1"/>
          <w:i w:val="1"/>
          <w:iCs w:val="1"/>
          <w:color w:val="auto"/>
        </w:rPr>
        <w:t xml:space="preserve">Rank. </w:t>
      </w:r>
      <w:r>
        <w:rPr>
          <w:rFonts w:ascii="Arial" w:cs="Arial" w:eastAsia="Arial" w:hAnsi="Arial"/>
          <w:sz w:val="15"/>
          <w:szCs w:val="15"/>
          <w:color w:val="auto"/>
        </w:rPr>
        <w:t>The Series 1 preferred shares rank prior to the common shares with respect to the payment of dividends and the distribution of assets upon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liquidation, dissolution or winding up. Our declaration of trust provides that, unless full cumulative dividends on all outstanding Series 1 preferred shares and any other class or series of our shares of beneficial interest ranking, as to the payment of dividends and the distribution of assets upon liquidation, dissolution or winding up, on a parity with the Series 1 preferred shares, or Parity Shares, shall have been declared and paid or declared and set apart for payment for all past dividend periods, then no dividends, other than dividends paid solely in common shares, or options, warrants or rights to subscribe for or purchase common shares, or any other shares of beneficial interest which rank junior to the Series 1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Each Series 1 preferred share is entitled to receive, when, as and if authorized by our Board of Trustees out of funds legally available for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purpose, cumulative preferential dividends payable in cash at a rate of 5.417% of the liquidation price of $25, which is equivalent to $1.35425 per annum.</w:t>
      </w:r>
    </w:p>
    <w:p>
      <w:pPr>
        <w:spacing w:after="0" w:line="85"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In the event of our liquidation, dissolution or winding up, the holders of Series 1 preferred shares shall be entitled to receive $25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 share, plus all accrued and unpaid dividends, before any distribution shall be made with respect to the common shares.</w:t>
      </w:r>
    </w:p>
    <w:p>
      <w:pPr>
        <w:spacing w:after="0" w:line="85" w:lineRule="exact"/>
        <w:rPr>
          <w:sz w:val="20"/>
          <w:szCs w:val="20"/>
          <w:color w:val="auto"/>
        </w:rPr>
      </w:pPr>
    </w:p>
    <w:p>
      <w:pPr>
        <w:ind w:left="460"/>
        <w:spacing w:after="0"/>
        <w:tabs>
          <w:tab w:leader="none" w:pos="1640" w:val="left"/>
        </w:tabs>
        <w:rPr>
          <w:sz w:val="20"/>
          <w:szCs w:val="20"/>
          <w:color w:val="auto"/>
        </w:rPr>
      </w:pPr>
      <w:r>
        <w:rPr>
          <w:rFonts w:ascii="Arial" w:cs="Arial" w:eastAsia="Arial" w:hAnsi="Arial"/>
          <w:sz w:val="18"/>
          <w:szCs w:val="18"/>
          <w:b w:val="1"/>
          <w:bCs w:val="1"/>
          <w:i w:val="1"/>
          <w:iCs w:val="1"/>
          <w:color w:val="auto"/>
        </w:rPr>
        <w:t>Voting Rights.</w:t>
      </w:r>
      <w:r>
        <w:rPr>
          <w:sz w:val="20"/>
          <w:szCs w:val="20"/>
          <w:color w:val="auto"/>
        </w:rPr>
        <w:tab/>
      </w:r>
      <w:r>
        <w:rPr>
          <w:rFonts w:ascii="Arial" w:cs="Arial" w:eastAsia="Arial" w:hAnsi="Arial"/>
          <w:sz w:val="15"/>
          <w:szCs w:val="15"/>
          <w:color w:val="auto"/>
        </w:rPr>
        <w:t>The Series 1 preferred shares shall have no voting rights.</w:t>
      </w:r>
    </w:p>
    <w:p>
      <w:pPr>
        <w:spacing w:after="0" w:line="171"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b w:val="1"/>
          <w:bCs w:val="1"/>
          <w:i w:val="1"/>
          <w:iCs w:val="1"/>
          <w:color w:val="auto"/>
        </w:rPr>
        <w:t xml:space="preserve">Conversion Rights. </w:t>
      </w:r>
      <w:r>
        <w:rPr>
          <w:rFonts w:ascii="Arial" w:cs="Arial" w:eastAsia="Arial" w:hAnsi="Arial"/>
          <w:sz w:val="16"/>
          <w:szCs w:val="16"/>
          <w:color w:val="auto"/>
        </w:rPr>
        <w:t>Subject to other applicable provisions within the articles supplementary for the Series 1 preferred shares, from the date of issuance,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Series 1 preferred shares shall be convertible, at the option of each holder, into a number of fully paid and nonassessable common shares determined by dividing (A) the product obtained by multiplying (i) the number of Series 1 preferred shares being converted by (ii) liquidation price; by (B) the option conversion price as in effect immediately prior to the close of business on the option conversion date.</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Series 1 preferred shares is American Stock Transfer &amp; Trust Company, New York,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17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In addition to the Series 1 preferred shares, the terms of which are described above, we may issue one or more series of preferred shares. The following is a general description of the preferred shares that we may offer from time to time. The particular terms of the preferred shares being offered and the extent to which such general provisions may apply will be set forth in the applicable prospectus supplement.</w:t>
      </w:r>
    </w:p>
    <w:p>
      <w:pPr>
        <w:spacing w:after="0" w:line="14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Preferred shares may be offered and sold from time to time, in one or more series, as authorized by the Board of Trustees. The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Trustees 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classes or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20"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b w:val="1"/>
          <w:bCs w:val="1"/>
          <w:i w:val="1"/>
          <w:iCs w:val="1"/>
          <w:color w:val="auto"/>
        </w:rPr>
        <w:t>Terms.</w:t>
      </w:r>
      <w:r>
        <w:rPr>
          <w:sz w:val="20"/>
          <w:szCs w:val="20"/>
          <w:color w:val="auto"/>
        </w:rPr>
        <w:tab/>
      </w:r>
      <w:r>
        <w:rPr>
          <w:rFonts w:ascii="Arial" w:cs="Arial" w:eastAsia="Arial" w:hAnsi="Arial"/>
          <w:sz w:val="16"/>
          <w:szCs w:val="16"/>
          <w:color w:val="auto"/>
        </w:rPr>
        <w:t>You should refer to the prospectus supplement relating to the offering of any preferred shares for specific terms, including the following terms:</w:t>
      </w:r>
    </w:p>
    <w:p>
      <w:pPr>
        <w:spacing w:after="0" w:line="212"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title of those preferred shares;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number of preferred shares offered and the offering price of those preferred shares;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dividend rate(s), period(s), amounts and/or payment date(s) or method(s) of calculation of any of those terms that apply to those preferred shares;</w:t>
      </w:r>
    </w:p>
    <w:p>
      <w:pPr>
        <w:spacing w:after="0" w:line="246" w:lineRule="exact"/>
        <w:rPr>
          <w:rFonts w:ascii="Arial" w:cs="Arial" w:eastAsia="Arial" w:hAnsi="Arial"/>
          <w:sz w:val="15"/>
          <w:szCs w:val="15"/>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date from which dividends on those preferred shares will accumulate, if applicable;</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terms and amount of a sinking fund, if any, for the purchase or redemption of those preferred shares;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redemption rights, including conditions, time(s) and the redemption price(s), if applicable, of those preferred shares;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voting rights, if any, of those preferred shares;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listing of those preferred shares on any securities exchange;</w:t>
      </w:r>
    </w:p>
    <w:p>
      <w:pPr>
        <w:spacing w:after="0" w:line="211"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172"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relative ranking and preference of those preferred shares as to dividend rights and rights upon liquidation, dissolution or the winding up of our affairs;</w:t>
      </w:r>
    </w:p>
    <w:p>
      <w:pPr>
        <w:spacing w:after="0" w:line="172"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those preferred shares;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those preferred shares;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discussion of any additional federal income tax consequences applicable to those preferred shares; and</w:t>
      </w:r>
    </w:p>
    <w:p>
      <w:pPr>
        <w:spacing w:after="0" w:line="211"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limitations on direct or beneficial ownership and restrictions on transfer in addition to those described in “— Restrictions on Ownership and Transfer,” in each case as may be appropriate to preserve our status as a REIT.</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terms of any preferred shares we issue through this prospectus will be set forth in articles supplementary to our declaration of trust. We will file the articles supplementary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for a complete description of all of the terms.</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Rank. </w:t>
      </w:r>
      <w:r>
        <w:rPr>
          <w:rFonts w:ascii="Arial" w:cs="Arial" w:eastAsia="Arial" w:hAnsi="Arial"/>
          <w:sz w:val="18"/>
          <w:szCs w:val="18"/>
          <w:color w:val="auto"/>
        </w:rPr>
        <w:t>Unless we say otherwise in a prospectus supplement, the preferred shares offered through that supplement will, with respect to dividend rights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rights upon our liquidation, dissolution or winding up, rank:</w:t>
      </w:r>
    </w:p>
    <w:p>
      <w:pPr>
        <w:spacing w:after="0" w:line="172"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senior to all classes or series of our common shares, and to all other equity securities ranking junior to those preferred shares;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 a parity with all of our equity securities ranking on a parity with the preferred shares;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junior to all of our equity securities ranking senior to the preferred shares.</w:t>
      </w:r>
    </w:p>
    <w:p>
      <w:pPr>
        <w:spacing w:after="0" w:line="1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For purposes of this description of our preferred shares, the term “equity securities” does not include convertible debt securities that we may offer from time to time.</w:t>
      </w:r>
    </w:p>
    <w:p>
      <w:pPr>
        <w:spacing w:after="0" w:line="132"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Subject to any preferential rights of any outstanding shares or series of shares and to the provisions of our declaration of trust regarding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ownership of shares in excess of the ownership limitation described below under “— Restrictions on Ownership and Transfer,” our preferred shareholders are entitled to receive dividends, when and as authorized by our Board of Trustees, out of legally available funds.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Redemption. </w:t>
      </w:r>
      <w:r>
        <w:rPr>
          <w:rFonts w:ascii="Arial" w:cs="Arial" w:eastAsia="Arial" w:hAnsi="Arial"/>
          <w:sz w:val="18"/>
          <w:szCs w:val="18"/>
          <w:color w:val="auto"/>
        </w:rPr>
        <w:t>If we provide for a redemption right in a prospectus supplement, the preferred shares offered through that supplement will be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mandatory redemption or redemption at our option, in whole or in part, in each case upon the terms, at the times and at the redemption prices set forth in that supplement.</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As to any liquidation preference applicable to preferred shares offered through this prospectus, the applicable supplement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 that, upon the voluntary or involuntary liquidation, dissolution or winding up of our affairs, the holders of those preferred shares shall receive, before any 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stockholders,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340"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8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Unless otherwise indicated in the applicable supplement, holders of preferred shares we issue in the future will not have any voting rights,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as may be required by applicable law or any applicable rules and regulations of the New York Stock Exchange.</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terms and conditions, if any, upon which any series of preferred shares is convertible into common shares will be set forth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prospectus supplement relating to the offering of those preferred shares. These terms typically will include:</w:t>
      </w:r>
    </w:p>
    <w:p>
      <w:pPr>
        <w:spacing w:after="0" w:line="172"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number of common shares into which the preferred shares are convertible;</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conversion price or rate (or manner of calculation thereof);</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conversion period;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provisions as to whether conversion will be at the option of the holders of the preferred shares or at our option;</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events requiring an adjustment of the conversion price;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provisions affecting conversion in the event of the redemption of that series of preferred shares.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We will identify the transfer agent and registrar for any additional series of preferred shares issued through this prospectus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 prospectus supplement.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Depositary Shares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We may issue receipts for depositary shares, each of which will represent a fractional interest of a share of a particular series of preferred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w:t>
      </w:r>
    </w:p>
    <w:p>
      <w:pPr>
        <w:spacing w:after="0" w:line="11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Dividends and Other Provisions. </w:t>
      </w:r>
      <w:r>
        <w:rPr>
          <w:rFonts w:ascii="Arial" w:cs="Arial" w:eastAsia="Arial" w:hAnsi="Arial"/>
          <w:sz w:val="18"/>
          <w:szCs w:val="18"/>
          <w:color w:val="auto"/>
        </w:rPr>
        <w:t>If you are a “record holder” (as defined below) of depositary receipts and we pay a cash dividend or other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Withdrawal of Preferred Shares. </w:t>
      </w:r>
      <w:r>
        <w:rPr>
          <w:rFonts w:ascii="Arial" w:cs="Arial" w:eastAsia="Arial" w:hAnsi="Arial"/>
          <w:sz w:val="18"/>
          <w:szCs w:val="18"/>
          <w:color w:val="auto"/>
        </w:rPr>
        <w:t>If you surrender your depositary receipts, the depositary will be required to deliver certificates to you evidencing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43"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b w:val="1"/>
          <w:bCs w:val="1"/>
          <w:i w:val="1"/>
          <w:iCs w:val="1"/>
          <w:color w:val="auto"/>
        </w:rPr>
        <w:t xml:space="preserve">Redemption of Depositary Shares. </w:t>
      </w:r>
      <w:r>
        <w:rPr>
          <w:rFonts w:ascii="Arial" w:cs="Arial" w:eastAsia="Arial" w:hAnsi="Arial"/>
          <w:sz w:val="18"/>
          <w:szCs w:val="18"/>
          <w:color w:val="auto"/>
        </w:rPr>
        <w:t>If we redeem a series of preferred shares represented by depositary receipts, the depositary will redeem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47"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Voting the Preferred Shares. </w:t>
      </w:r>
      <w:r>
        <w:rPr>
          <w:rFonts w:ascii="Arial" w:cs="Arial" w:eastAsia="Arial" w:hAnsi="Arial"/>
          <w:sz w:val="16"/>
          <w:szCs w:val="16"/>
          <w:color w:val="auto"/>
        </w:rPr>
        <w:t>When the depositary receives notice of any meeting at which the holders of preferred shares are entitled to vote,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depositary will mail information contained in the notice to you as a record holder of the depositary shares relating to the preferred shares. As a record holder of the depositary shares on the record date (which will be the same date as the record date for the preferred shares), you will be entitled 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43"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Liquidation Preference. </w:t>
      </w:r>
      <w:r>
        <w:rPr>
          <w:rFonts w:ascii="Arial" w:cs="Arial" w:eastAsia="Arial" w:hAnsi="Arial"/>
          <w:sz w:val="18"/>
          <w:szCs w:val="18"/>
          <w:color w:val="auto"/>
        </w:rPr>
        <w:t>In the event of our liquidation, dissolution or winding up, whether voluntary or involuntary, you will be entitled, as a record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 of depositary shares, to the fraction of the liquidation preference accorded each applicable preferred share, as has been set forth in a prospectus supplement.</w:t>
      </w:r>
    </w:p>
    <w:p>
      <w:pPr>
        <w:spacing w:after="0" w:line="14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b w:val="1"/>
          <w:bCs w:val="1"/>
          <w:i w:val="1"/>
          <w:iCs w:val="1"/>
          <w:color w:val="auto"/>
        </w:rPr>
        <w:t xml:space="preserve">Conversion of Preferred Shares. </w:t>
      </w:r>
      <w:r>
        <w:rPr>
          <w:rFonts w:ascii="Arial" w:cs="Arial" w:eastAsia="Arial" w:hAnsi="Arial"/>
          <w:sz w:val="16"/>
          <w:szCs w:val="16"/>
          <w:color w:val="auto"/>
        </w:rPr>
        <w:t>Our depositary shares, as such, are not convertible into common shares or any of our other securities or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18"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b w:val="1"/>
          <w:bCs w:val="1"/>
          <w:i w:val="1"/>
          <w:iCs w:val="1"/>
          <w:color w:val="auto"/>
        </w:rPr>
        <w:t xml:space="preserve">Amendment and Termination of the Deposit Agreement. </w:t>
      </w:r>
      <w:r>
        <w:rPr>
          <w:rFonts w:ascii="Arial" w:cs="Arial" w:eastAsia="Arial" w:hAnsi="Arial"/>
          <w:sz w:val="15"/>
          <w:szCs w:val="15"/>
          <w:color w:val="auto"/>
        </w:rPr>
        <w:t>We and the depositary may amend the form of depositary receipt and any provision 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deposit 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129"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redeem all outstanding depositary shares;</w:t>
      </w:r>
    </w:p>
    <w:p>
      <w:pPr>
        <w:spacing w:after="0" w:line="211" w:lineRule="exact"/>
        <w:rPr>
          <w:rFonts w:ascii="Arial" w:cs="Arial" w:eastAsia="Arial" w:hAnsi="Arial"/>
          <w:sz w:val="18"/>
          <w:szCs w:val="18"/>
          <w:color w:val="auto"/>
        </w:rPr>
      </w:pPr>
    </w:p>
    <w:p>
      <w:pPr>
        <w:ind w:left="900" w:right="120" w:hanging="446"/>
        <w:spacing w:after="0" w:line="332"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125"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preferred share to which the depositary shares and agreement relate shall have been converted into shares of beneficial interest not represented by depositary shares.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Resignation and Removal of Depositary. </w:t>
      </w:r>
      <w:r>
        <w:rPr>
          <w:rFonts w:ascii="Arial" w:cs="Arial" w:eastAsia="Arial" w:hAnsi="Arial"/>
          <w:sz w:val="16"/>
          <w:szCs w:val="16"/>
          <w:color w:val="auto"/>
        </w:rPr>
        <w:t>The depositary may resign at any time by delivering a notice to us of its election to do so. Additionally, we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13" w:lineRule="exact"/>
        <w:rPr>
          <w:sz w:val="20"/>
          <w:szCs w:val="20"/>
          <w:color w:val="auto"/>
        </w:rPr>
      </w:pPr>
    </w:p>
    <w:p>
      <w:pPr>
        <w:ind w:right="5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Charges of Depositary. </w:t>
      </w:r>
      <w:r>
        <w:rPr>
          <w:rFonts w:ascii="Arial" w:cs="Arial" w:eastAsia="Arial" w:hAnsi="Arial"/>
          <w:sz w:val="16"/>
          <w:szCs w:val="16"/>
          <w:color w:val="auto"/>
        </w:rPr>
        <w:t>We will pay all transfer and other taxes and governmental charges arising solely from the existence of the depositary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arrangements. 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Miscellaneous. </w:t>
      </w:r>
      <w:r>
        <w:rPr>
          <w:rFonts w:ascii="Arial" w:cs="Arial" w:eastAsia="Arial" w:hAnsi="Arial"/>
          <w:sz w:val="18"/>
          <w:szCs w:val="18"/>
          <w:color w:val="auto"/>
        </w:rPr>
        <w:t>The depositary will forward to you all reports and communications from us that we are required, or otherwise determine, to furnish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the preferred shares. The holders of depositary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receipts shall have the right to inspect the transfer books of the depositary and the list of holders of depositary receipts as provided in the applicable deposit agreement or as required by law.</w:t>
      </w:r>
    </w:p>
    <w:p>
      <w:pPr>
        <w:spacing w:after="0" w:line="13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1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Restrictions on ownership and transfer of shares are important to ensure that we meet certain conditions under the Code to qualify as a REIT. For example, the Code contains the following requirements.</w:t>
      </w:r>
    </w:p>
    <w:p>
      <w:pPr>
        <w:spacing w:after="0" w:line="172" w:lineRule="exact"/>
        <w:rPr>
          <w:sz w:val="20"/>
          <w:szCs w:val="20"/>
          <w:color w:val="auto"/>
        </w:rPr>
      </w:pPr>
    </w:p>
    <w:p>
      <w:pPr>
        <w:ind w:left="900" w:right="60" w:hanging="446"/>
        <w:spacing w:after="0" w:line="306" w:lineRule="auto"/>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147"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172"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REIT’s stock or beneficial interests must be owned by 100 or more persons during at least 335 days of a taxable year of 12 months or during a proportionate part of a shorter taxable year.</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stock. In this prospectus, the term “ownership limitation” is used to describe this provision of our declaration of trust.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transfer of shares will be null and void, and the intended transferee will acquire no rights in such shares if the transfer:</w:t>
      </w:r>
    </w:p>
    <w:p>
      <w:pPr>
        <w:spacing w:after="0" w:line="212"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results in any person owning, directly or indirectly, shares in excess of the ownership limitation;</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results in the shares being owned by fewer than 100 persons (determined without reference to any rules of attribution);</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results in our being “closely held” (within the meaning of Section 856(h) of the Code);</w:t>
      </w:r>
    </w:p>
    <w:p>
      <w:pPr>
        <w:spacing w:after="0" w:line="211" w:lineRule="exact"/>
        <w:rPr>
          <w:rFonts w:ascii="Arial" w:cs="Arial" w:eastAsia="Arial" w:hAnsi="Arial"/>
          <w:sz w:val="18"/>
          <w:szCs w:val="18"/>
          <w:color w:val="auto"/>
        </w:rPr>
      </w:pPr>
    </w:p>
    <w:p>
      <w:pPr>
        <w:ind w:left="900" w:right="800" w:hanging="446"/>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causes us to own, directly or constructively, 10% or more of the ownership interests in a tenant of our real property (within the meaning of Section 856(d)(2)(B) of the Code); or</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otherwise results in our failure to qualify as a REIT.</w:t>
      </w:r>
    </w:p>
    <w:p>
      <w:pPr>
        <w:spacing w:after="0" w:line="165" w:lineRule="exact"/>
        <w:rPr>
          <w:sz w:val="20"/>
          <w:szCs w:val="20"/>
          <w:color w:val="auto"/>
        </w:rPr>
      </w:pPr>
    </w:p>
    <w:p>
      <w:pPr>
        <w:jc w:val="both"/>
        <w:ind w:right="100" w:firstLine="456"/>
        <w:spacing w:after="0" w:line="310" w:lineRule="auto"/>
        <w:rPr>
          <w:sz w:val="20"/>
          <w:szCs w:val="20"/>
          <w:color w:val="auto"/>
        </w:rPr>
      </w:pPr>
      <w:r>
        <w:rPr>
          <w:rFonts w:ascii="Arial" w:cs="Arial" w:eastAsia="Arial" w:hAnsi="Arial"/>
          <w:sz w:val="16"/>
          <w:szCs w:val="16"/>
          <w:b w:val="1"/>
          <w:bCs w:val="1"/>
          <w:i w:val="1"/>
          <w:iCs w:val="1"/>
          <w:color w:val="auto"/>
        </w:rPr>
        <w:t>Automatic Transfer of Shares to Trust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certain exceptions described below, if any purported transfer of shares would violate any of the restrictions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described in the immediately preceding paragraph, then the transfer will be null and void, and those shares will be designated as “shares-in-trust” and transferred automatically to a charitable trust. The transfer to the trust is effective as of the end of the business day before the</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record holder with respect to shares-in-trust must pay the trust any dividends or distributions received by such record holder that are attributable to any shares-in-trust if the record date for those shares-in-trust was on or after the date that such shares became shares-in-trust. Upon sale or other disposition of the shares-in-trust to a permitted transferee, the record holder generally will receive from the trustee, the lesser of:</w:t>
      </w:r>
    </w:p>
    <w:p>
      <w:pPr>
        <w:spacing w:after="0" w:line="147"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price per share, if any, paid by the record holder for the shares;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no amount was paid for such shares (e.g., if such shares were received through a gift or devise),</w:t>
      </w:r>
    </w:p>
    <w:p>
      <w:pPr>
        <w:spacing w:after="0" w:line="211" w:lineRule="exact"/>
        <w:rPr>
          <w:rFonts w:ascii="Arial" w:cs="Arial" w:eastAsia="Arial" w:hAnsi="Arial"/>
          <w:sz w:val="18"/>
          <w:szCs w:val="18"/>
          <w:color w:val="auto"/>
        </w:rPr>
      </w:pPr>
    </w:p>
    <w:p>
      <w:pPr>
        <w:ind w:left="1460" w:right="120" w:hanging="547"/>
        <w:spacing w:after="0" w:line="268" w:lineRule="auto"/>
        <w:tabs>
          <w:tab w:leader="none" w:pos="14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price per share equal to the market price (which is calculated as defined in our declaration of trust) on the date the shares were received, or</w:t>
      </w:r>
    </w:p>
    <w:p>
      <w:pPr>
        <w:spacing w:after="0" w:line="172" w:lineRule="exact"/>
        <w:rPr>
          <w:rFonts w:ascii="Arial" w:cs="Arial" w:eastAsia="Arial" w:hAnsi="Arial"/>
          <w:sz w:val="18"/>
          <w:szCs w:val="18"/>
          <w:color w:val="auto"/>
        </w:rPr>
      </w:pPr>
    </w:p>
    <w:p>
      <w:pPr>
        <w:ind w:left="1460" w:hanging="547"/>
        <w:spacing w:after="0"/>
        <w:tabs>
          <w:tab w:leader="none" w:pos="14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price per share received by the trustee from the sale of such shares-in-trust.</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0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If a shareholder owns more than 5% of the outstanding common shares or preferred shares, then the shareholder must notify us of its share ownership by January 30 of each year.</w:t>
      </w:r>
    </w:p>
    <w:p>
      <w:pPr>
        <w:spacing w:after="0" w:line="132" w:lineRule="exact"/>
        <w:rPr>
          <w:sz w:val="20"/>
          <w:szCs w:val="20"/>
          <w:color w:val="auto"/>
        </w:rPr>
      </w:pPr>
    </w:p>
    <w:p>
      <w:pPr>
        <w:jc w:val="both"/>
        <w:ind w:right="260" w:firstLine="456"/>
        <w:spacing w:after="0" w:line="256" w:lineRule="auto"/>
        <w:rPr>
          <w:sz w:val="20"/>
          <w:szCs w:val="20"/>
          <w:color w:val="auto"/>
        </w:rPr>
      </w:pPr>
      <w:r>
        <w:rPr>
          <w:rFonts w:ascii="Arial" w:cs="Arial" w:eastAsia="Arial" w:hAnsi="Arial"/>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43" w:lineRule="exact"/>
        <w:rPr>
          <w:sz w:val="20"/>
          <w:szCs w:val="20"/>
          <w:color w:val="auto"/>
        </w:rPr>
      </w:pPr>
    </w:p>
    <w:p>
      <w:pPr>
        <w:jc w:val="both"/>
        <w:ind w:right="400" w:firstLine="456"/>
        <w:spacing w:after="0" w:line="306" w:lineRule="auto"/>
        <w:rPr>
          <w:sz w:val="20"/>
          <w:szCs w:val="20"/>
          <w:color w:val="auto"/>
        </w:rPr>
      </w:pPr>
      <w:r>
        <w:rPr>
          <w:rFonts w:ascii="Arial" w:cs="Arial" w:eastAsia="Arial" w:hAnsi="Arial"/>
          <w:sz w:val="16"/>
          <w:szCs w:val="16"/>
          <w:color w:val="auto"/>
        </w:rPr>
        <w:t>The Board of Trustees has agreed to exempt from the ownership limitation Morgan Stanley Investment Management, Inc., or MSIM, for itself and on behalf of its investment advisory clients on whose behalf MSIM owns our common shares. The Board of Trustees approved an exemption for MSIM, which expires on May 3, 2010 and which permits MSIM and its clients, as a group to own up to 12.0% of our outstanding common shares.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7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i w:val="1"/>
          <w:iCs w:val="1"/>
          <w:color w:val="auto"/>
        </w:rPr>
        <w:t>Warrants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may issue warrants for the purchase of common or preferred shares. If we offer warrants, we will describe the terms in a prospectus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 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some of the warrant terms that could be described in a prospectus supplement:</w:t>
      </w:r>
    </w:p>
    <w:p>
      <w:pPr>
        <w:spacing w:after="0" w:line="212"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title of the warrant;</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price or prices at which the warrant will be issued;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designation, number and terms of the preferred shares or common shares that may be purchased on exercise of the warrant;</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date, if any, on and after which the warrant and the related securities will be separately transferable;</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price at which each security purchasable on exercise of the warrant may be purchased;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dates on which the right to purchase the securities purchasable on exercise of the warrant will begin and end;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minimum or maximum number of securities that may be purchased at any one time;</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anti-dilution protection;</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other warrant terms, including terms relating to transferability, exchange or exercise of the warrant.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Maryland Law and our Declaration of Trust and Bylaws</w:t>
      </w:r>
    </w:p>
    <w:p>
      <w:pPr>
        <w:spacing w:after="0" w:line="17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summary of certain provisions of the Maryland General Corporation Law and our declaration of trust and bylaws is not complete. You should read the Maryland General Corporation Law and our declaration of trust and bylaws for more complete information.</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following provisions, together with the ability of the Board of Trustees to increase the number of authorized shares, in the aggregate or by class, and to issue preferred shares without further stockholder action, the transfer restrictions described under “— Restrictions on Ownership and Transfer” and the supermajority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voting rights described under “— Common Shares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 removal of incumbent management, even if these events would offer our shareholders a premium price on their securities or otherwise be favorable to the interests of our shareholders.</w:t>
      </w:r>
    </w:p>
    <w:p>
      <w:pPr>
        <w:spacing w:after="0" w:line="107"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b w:val="1"/>
          <w:bCs w:val="1"/>
          <w:i w:val="1"/>
          <w:iCs w:val="1"/>
          <w:color w:val="auto"/>
        </w:rPr>
        <w:t>Business Combinations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Maryland law, as set forth in the Maryland General Corporation Law, limits our ability to enter into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183"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our outstanding voting shares; or</w:t>
      </w:r>
    </w:p>
    <w:p>
      <w:pPr>
        <w:spacing w:after="0" w:line="211"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of our affiliates that beneficially owned, directly or indirectly, 10% or more of the voting power of our outstanding voting shares at any time within two years immediately prior to the applicable date in question.</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4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We may engage in business combinations with an interested shareholder if at least five years have passed since the person became an interested shareholder, but only if the transaction is:</w:t>
      </w:r>
    </w:p>
    <w:p>
      <w:pPr>
        <w:spacing w:after="0" w:line="172"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recommended by our Board of Trustees;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approved by at least,</w:t>
      </w:r>
    </w:p>
    <w:p>
      <w:pPr>
        <w:spacing w:after="0" w:line="211" w:lineRule="exact"/>
        <w:rPr>
          <w:rFonts w:ascii="Arial" w:cs="Arial" w:eastAsia="Arial" w:hAnsi="Arial"/>
          <w:sz w:val="18"/>
          <w:szCs w:val="18"/>
          <w:color w:val="auto"/>
        </w:rPr>
      </w:pPr>
    </w:p>
    <w:p>
      <w:pPr>
        <w:ind w:left="1460" w:hanging="547"/>
        <w:spacing w:after="0"/>
        <w:tabs>
          <w:tab w:leader="none" w:pos="14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80% of our outstanding shares entitled to vote; and</w:t>
      </w:r>
    </w:p>
    <w:p>
      <w:pPr>
        <w:spacing w:after="0" w:line="211" w:lineRule="exact"/>
        <w:rPr>
          <w:rFonts w:ascii="Arial" w:cs="Arial" w:eastAsia="Arial" w:hAnsi="Arial"/>
          <w:sz w:val="18"/>
          <w:szCs w:val="18"/>
          <w:color w:val="auto"/>
        </w:rPr>
      </w:pPr>
    </w:p>
    <w:p>
      <w:pPr>
        <w:ind w:left="1460" w:hanging="547"/>
        <w:spacing w:after="0"/>
        <w:tabs>
          <w:tab w:leader="none" w:pos="14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two-thirds of our outstanding shares entitled to vote that are not held by the interested shareholder or any of its affiliates.</w:t>
      </w:r>
    </w:p>
    <w:p>
      <w:pPr>
        <w:spacing w:after="0" w:line="171"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26"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b w:val="1"/>
          <w:bCs w:val="1"/>
          <w:i w:val="1"/>
          <w:iCs w:val="1"/>
          <w:color w:val="auto"/>
        </w:rPr>
        <w:t>Control Share Acquisitions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bylaws exempt acquisitions of our shares of beneficial interest by any person from “control share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4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Maryland General Corporation Law provides that “control shares” of a Maryland REIT acquired in a “control share acquisition” have no voting rights unless two-thirds of the shareholders (excluding shares owned by the acquirer and by the officers and trustees who are employees of the Maryland REIT) approve their voting rights.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“Control Shares” are shares that, if added to all other shares previously acquired, would entitle that person to exercise voting power, in electing trustees, within one of the following ranges of voting power:</w:t>
      </w:r>
    </w:p>
    <w:p>
      <w:pPr>
        <w:spacing w:after="0" w:line="172"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40"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01" w:lineRule="exact"/>
        <w:rPr>
          <w:sz w:val="20"/>
          <w:szCs w:val="20"/>
          <w:color w:val="auto"/>
        </w:rPr>
      </w:pPr>
    </w:p>
    <w:p>
      <w:pPr>
        <w:ind w:right="40" w:firstLine="456"/>
        <w:spacing w:after="0" w:line="311" w:lineRule="auto"/>
        <w:rPr>
          <w:sz w:val="20"/>
          <w:szCs w:val="20"/>
          <w:color w:val="auto"/>
        </w:rPr>
      </w:pPr>
      <w:r>
        <w:rPr>
          <w:rFonts w:ascii="Arial" w:cs="Arial" w:eastAsia="Arial" w:hAnsi="Arial"/>
          <w:sz w:val="15"/>
          <w:szCs w:val="15"/>
          <w:b w:val="1"/>
          <w:bCs w:val="1"/>
          <w:i w:val="1"/>
          <w:iCs w:val="1"/>
          <w:color w:val="auto"/>
        </w:rPr>
        <w:t>Rights Plan</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On April 13, 1989, we adopted a shareholder rights plan and declared a dividend distribution of one right for each outstanding common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share to shareholders of record at the close of business on April 24, 1989, with such rights to expire on April 24, 1999. On March 11, 1999, the expiration date of the rights plan was extended ten years and certain other amendments to the terms of the rights plan were adopted. On November 23, 2003, the rights plan was modified to increase the triggering ownership threshold to 20% and to add a provision commonly called a “TIDE” provision requiring that the independent trustees of the Board of Trustees review the rights under the rights plan every three years. On March 16, 2009, the rights plan was further amended to extend the expiration date for an additional three years and to add a provision commonly called a “qualified offer” provision, which is explained below. Except as set forth below, each right, as amended, when exercisable, entitles the registered holder to purchase from us a number of common shares (or fractional shares) having a then-current market value of two times the purchase price, initially equal to $65.00 per share, subject to adjustment upon the occurrence of specified events.</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rights become exercisable upon the distribution date, which shall be the earlier to occur of:</w:t>
      </w:r>
    </w:p>
    <w:p>
      <w:pPr>
        <w:spacing w:after="0" w:line="212" w:lineRule="exact"/>
        <w:rPr>
          <w:sz w:val="20"/>
          <w:szCs w:val="20"/>
          <w:color w:val="auto"/>
        </w:rPr>
      </w:pPr>
    </w:p>
    <w:p>
      <w:pPr>
        <w:ind w:left="900" w:right="80" w:hanging="446"/>
        <w:spacing w:after="0" w:line="259"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public announcement that, without the prior consent of the Board of Trustees, a person or group of affiliated or associated persons has acquired, or obtained the right to acquire, beneficial ownership of 20% or more of our common shares (without regard to the ownership limits contained within our declaration of trust); or</w:t>
      </w:r>
    </w:p>
    <w:p>
      <w:pPr>
        <w:spacing w:after="0" w:line="180" w:lineRule="exact"/>
        <w:rPr>
          <w:rFonts w:ascii="Arial" w:cs="Arial" w:eastAsia="Arial" w:hAnsi="Arial"/>
          <w:sz w:val="18"/>
          <w:szCs w:val="18"/>
          <w:color w:val="auto"/>
        </w:rPr>
      </w:pPr>
    </w:p>
    <w:p>
      <w:pPr>
        <w:ind w:left="900" w:hanging="446"/>
        <w:spacing w:after="0" w:line="332"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ten days following the commencement of (or a public announcement of an intention to make) a tender offer or exchange offer that would result in the beneficial ownership by a person or group of affiliated or associated persons of 20% or more of our common shares.</w:t>
      </w:r>
    </w:p>
    <w:p>
      <w:pPr>
        <w:spacing w:after="0" w:line="85"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Initially, the rights will be attached to, and evidenced by, the common shares certificates representing shares then outstanding, and no separate right certificates will be distributed. Once the rights become exercisable, separate certificates evidencing the rights will be mailed as soon as practicable to holders of record of our common shares as of the close of business on the distribution date, and the separate rights certificates alone will evidence the rights.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general, the rights will expire on the earliest of</w:t>
      </w:r>
    </w:p>
    <w:p>
      <w:pPr>
        <w:spacing w:after="0" w:line="212"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April 24, 2012;</w:t>
      </w:r>
    </w:p>
    <w:p>
      <w:pPr>
        <w:spacing w:after="0" w:line="211"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consummation of a merger transaction with a person or group who acquired common shares pursuant to a transaction approved by the Board of Trustees; or</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redemption by us as described below.</w:t>
      </w:r>
    </w:p>
    <w:p>
      <w:pPr>
        <w:spacing w:after="0" w:line="17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the event that the rights become exercisable, each holder of a right will for a 60-day period thereafter have the right to receive upon exercise and payment of the purchase price (initially $65.00, but subject to adjustment) that number of our common shares (or fractional shares) having a then-current market value of two times the purchase price, subject to the availability of a sufficient number of authorized but unissued common shares. We are entitled (but not required) to deliver, upon exercise of the right, in lieu of common shares, shares of equivalent securities.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the event that, after the first date that the rights become exercisable, we are involved in a merger or other business combination transaction in which our common shares are exchanged or changed, or 50% or more of our assets or earning power are sold (in one transaction or a series of transactions), each holder of a right (other than the person or group triggering the exercise of the rights) shall thereafter have the right to receive, upon the exercise thereof at the then-current purchase price, that number of common shares of the acquiring company (or, in the event there is more than one acquiring company, the acquiring company receiving the greatest portion of the assets or earning power transferred), which at the time of such transaction would have a market value equal to two times the then-current purchase price of the right.</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At any time prior to the earlier to occur of the date the rights become exercisable or the expiration of the rights, we may redeem the rights in whole, but not in part, at a price of $0.01 per right, payable in cash or common shares, which redemption shall be effective upon the authorization of the Board of Trustees. Additionally, after the date the rights become exercisable, we may redeem the then-outstanding rights in whole, but not in part, at a price of $0.01 per right income provided that the redemption is incidental to a merger or other business combination transaction or series of transactions involving us but not involving the person or group triggering the exercise of the rights, or if the redemption occurs after the expiration of a period during which our shareholders may acquire common shares through the exercise of the rights and, at that time, the person or group that triggered the exercise of the rights no longer has beneficial ownership of 20% or more of our common shares.</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the event we receive a qualified offer and we do not redeem the rights, within 90 days thereafter, then, upon request from holders (other than the offeror and its affiliates or associates or any officer or trustee of ours) of at least 10% of the outstanding common shares for the calling of a special meeting, we will hold a special meeting within 60 days after receipt of such a request. If, at such meeting, holders of more than 50% of the outstanding common shares (other than shares of the offeror or its affiliates or associates or any officer or trustee of ours) vote for redemption of the rights, then we will thereafter redeem the rights (or take similar action) as promptly as practicable. If such a meeting is not held on or prior to the 60</w:t>
      </w:r>
      <w:r>
        <w:rPr>
          <w:rFonts w:ascii="Arial" w:cs="Arial" w:eastAsia="Arial" w:hAnsi="Arial"/>
          <w:sz w:val="10"/>
          <w:szCs w:val="10"/>
          <w:color w:val="auto"/>
        </w:rPr>
        <w:t>th</w:t>
      </w:r>
      <w:r>
        <w:rPr>
          <w:rFonts w:ascii="Arial" w:cs="Arial" w:eastAsia="Arial" w:hAnsi="Arial"/>
          <w:sz w:val="16"/>
          <w:szCs w:val="16"/>
          <w:color w:val="auto"/>
        </w:rPr>
        <w:t xml:space="preserve"> day after a qualifying request is received (which period shall be extended if we are exercising reasonable efforts to hold such a meeting and have been prevented by circumstances reasonably beyond our control), we shall promptly thereafter redeem the rights (or take similar action). However, we are not required to hold such a meeting unless the qualified offer at issue has an expiration date which is at least 10 business days after such meeting, and any obligations of us to hold such a meeting or to redeem the rights in connection therewith are null and void in the event any person, entity or group acquires, or obtains the right to acquire, beneficial ownership of 20% or more of our common shares.</w:t>
      </w:r>
    </w:p>
    <w:p>
      <w:pPr>
        <w:spacing w:after="0" w:line="163"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A qualified offer shall mean a tender offer which, among other things, (a) is an all-cash offer for all common shares at a price per share which is at least the higher of (x) $97; or (y) an amount equal to 25% higher than the higher of (1) the average closing price of the common shares over the period of 30 trading days</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immediately preceding commencement of the offer or (2) the average closing price of the common shares over the period of five trading days immediately preceding commencement of the offer, (b) includes a firm financing commitment which, when added to the offeror’s cash, will be sufficient, (c) has a non-waivable condition that the offeror must own, after consummating the offer, at least 50% of the common shares then outstanding (other than common shares already held by such offeror and its affiliates or associates or any trustee or officer of ours), (d) stays open for at least 60 business days (extended for any increase in price) and (e) commits the offeror to buy all other common shares at the same price paid pursuant to the offer.</w:t>
      </w:r>
    </w:p>
    <w:p>
      <w:pPr>
        <w:spacing w:after="0" w:line="1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any event, upon the effective date of the redemption of the rights, the right to exercise the rights will terminate and the only right of the holders of rights will be to receive the price of $0.01 per right.</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Until a right is exercised, the holder thereof, as such, will have no rights as one of our shareholders, including, without limitation, the right to vote or to receive dividends.</w:t>
      </w:r>
    </w:p>
    <w:p>
      <w:pPr>
        <w:spacing w:after="0" w:line="126"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i w:val="1"/>
          <w:iCs w:val="1"/>
          <w:color w:val="auto"/>
        </w:rPr>
        <w:t>Duties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Maryland law, there is a presumption that the act of a trustee satisfies the required standard of care. An act of a trustee relating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or affecting an acquisition or a potential acquisition of control is not subject under Maryland law to a higher duty or greater scrutiny than is applied to any other act of a trustee.</w:t>
      </w:r>
    </w:p>
    <w:p>
      <w:pPr>
        <w:spacing w:after="0" w:line="132"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i w:val="1"/>
          <w:iCs w:val="1"/>
          <w:color w:val="auto"/>
        </w:rPr>
        <w:t>Number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number of trustees may be increased or decreased pursuant to the bylaws, provided that the total number of trustees may not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less than five or more than 10. Under Maryland law and our declaration of trust, trustees are elected for one-year terms.</w:t>
      </w:r>
    </w:p>
    <w:p>
      <w:pPr>
        <w:spacing w:after="0" w:line="120"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i w:val="1"/>
          <w:iCs w:val="1"/>
          <w:color w:val="auto"/>
        </w:rPr>
        <w:t>Removal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declaration of trust, and subject to the rights of any holders of preferred shares, our trustees may remove a trustee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cause, as defined in our declaration of trust, by the vote of all the other trustees or the shareholders may remove a trustee, with or without cause, at any meeting of shareholders called for that purpose, either by:</w:t>
      </w:r>
    </w:p>
    <w:p>
      <w:pPr>
        <w:spacing w:after="0" w:line="179" w:lineRule="exact"/>
        <w:rPr>
          <w:sz w:val="20"/>
          <w:szCs w:val="20"/>
          <w:color w:val="auto"/>
        </w:rPr>
      </w:pPr>
    </w:p>
    <w:p>
      <w:pPr>
        <w:ind w:left="900" w:right="120" w:hanging="446"/>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172"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26"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b w:val="1"/>
          <w:bCs w:val="1"/>
          <w:i w:val="1"/>
          <w:iCs w:val="1"/>
          <w:color w:val="auto"/>
        </w:rPr>
        <w:t>Vacancies on the Board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bylaws provide that, subject to the rights of any holders of preferred shares, any vacancy on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36" w:lineRule="exact"/>
        <w:rPr>
          <w:sz w:val="20"/>
          <w:szCs w:val="20"/>
          <w:color w:val="auto"/>
        </w:rPr>
      </w:pPr>
    </w:p>
    <w:p>
      <w:pPr>
        <w:ind w:right="260" w:firstLine="456"/>
        <w:spacing w:after="0" w:line="301" w:lineRule="auto"/>
        <w:rPr>
          <w:sz w:val="20"/>
          <w:szCs w:val="20"/>
          <w:color w:val="auto"/>
        </w:rPr>
      </w:pPr>
      <w:r>
        <w:rPr>
          <w:rFonts w:ascii="Arial" w:cs="Arial" w:eastAsia="Arial" w:hAnsi="Arial"/>
          <w:sz w:val="16"/>
          <w:szCs w:val="16"/>
          <w:b w:val="1"/>
          <w:bCs w:val="1"/>
          <w:i w:val="1"/>
          <w:iCs w:val="1"/>
          <w:color w:val="auto"/>
        </w:rPr>
        <w:t>Meetings of Shareholders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bylaws provide for an annual meeting of shareholders, to be held in May after delivery of the annual report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to elect individuals to the Board of Trustees and transact such other business as may properly be brought before the meeting. Special meetings of shareholders may be called by our Chairman of the Board of Trustees, Chief Executive Officer, President or by one-third of the Board of Trustees, and shall be called at the request in writing of the holders of 25% of all votes entitled to be cast at the meeting.</w:t>
      </w:r>
    </w:p>
    <w:p>
      <w:pPr>
        <w:spacing w:after="0" w:line="109"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Advance Notice for Shareholder Nominations and Shareholder New Business Proposals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bylaws require advance written notice for shareholders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Arial" w:cs="Arial" w:eastAsia="Arial" w:hAnsi="Arial"/>
          <w:sz w:val="11"/>
          <w:szCs w:val="11"/>
          <w:color w:val="auto"/>
        </w:rPr>
        <w:t>th</w:t>
      </w:r>
      <w:r>
        <w:rPr>
          <w:rFonts w:ascii="Arial" w:cs="Arial" w:eastAsia="Arial" w:hAnsi="Arial"/>
          <w:sz w:val="18"/>
          <w:szCs w:val="18"/>
          <w:color w:val="auto"/>
        </w:rPr>
        <w:t xml:space="preserve"> day prior to the first anniversary of the date of the proxy statement relating to the preceding year’s annual meeting. If the date of the annual meeting is changed by more than 30 days from the date of the preceding year’s meeting or if we did not hold an annual meeting the preceding year, notice must be delivered within a reasonable time before we begin to print and mail our proxy materials.</w:t>
      </w:r>
    </w:p>
    <w:p>
      <w:pPr>
        <w:spacing w:after="0" w:line="18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a special meeting, to nominate a trustee, a shareholder must deliver notice to our Secretary not earlier that the close of business on the 120</w:t>
      </w:r>
      <w:r>
        <w:rPr>
          <w:rFonts w:ascii="Arial" w:cs="Arial" w:eastAsia="Arial" w:hAnsi="Arial"/>
          <w:sz w:val="10"/>
          <w:szCs w:val="10"/>
          <w:color w:val="auto"/>
        </w:rPr>
        <w:t>th</w:t>
      </w:r>
      <w:r>
        <w:rPr>
          <w:rFonts w:ascii="Arial" w:cs="Arial" w:eastAsia="Arial" w:hAnsi="Arial"/>
          <w:sz w:val="16"/>
          <w:szCs w:val="16"/>
          <w:color w:val="auto"/>
        </w:rPr>
        <w:t xml:space="preserve"> day prior to the special meeting and not later than the close of business on the later of the 90</w:t>
      </w:r>
      <w:r>
        <w:rPr>
          <w:rFonts w:ascii="Arial" w:cs="Arial" w:eastAsia="Arial" w:hAnsi="Arial"/>
          <w:sz w:val="10"/>
          <w:szCs w:val="10"/>
          <w:color w:val="auto"/>
        </w:rPr>
        <w:t>th</w:t>
      </w:r>
      <w:r>
        <w:rPr>
          <w:rFonts w:ascii="Arial" w:cs="Arial" w:eastAsia="Arial" w:hAnsi="Arial"/>
          <w:sz w:val="16"/>
          <w:szCs w:val="16"/>
          <w:color w:val="auto"/>
        </w:rPr>
        <w:t xml:space="preserve"> day prior to the special meeting or the 10</w:t>
      </w:r>
      <w:r>
        <w:rPr>
          <w:rFonts w:ascii="Arial" w:cs="Arial" w:eastAsia="Arial" w:hAnsi="Arial"/>
          <w:sz w:val="10"/>
          <w:szCs w:val="10"/>
          <w:color w:val="auto"/>
        </w:rPr>
        <w:t>th</w:t>
      </w:r>
      <w:r>
        <w:rPr>
          <w:rFonts w:ascii="Arial" w:cs="Arial" w:eastAsia="Arial" w:hAnsi="Arial"/>
          <w:sz w:val="16"/>
          <w:szCs w:val="16"/>
          <w:color w:val="auto"/>
        </w:rPr>
        <w:t xml:space="preserve"> day following the date on which public announcement is first made of the special meeting. Nominations for elections to the Board of Trustees may be made at a special meeting by shareholders of record both at the time of giving of notice of the special meeting and at the time of the special meeting and who are entitled to vote at the special meeting and who complied with the notice procedures in our bylaws only (a) pursuant to the notice of special meeting, (b) by or at the direction of the Board of Trustees or (c) if the Board of Trustees has determined that trustees shall be elected at the special meeting.</w:t>
      </w:r>
    </w:p>
    <w:p>
      <w:pPr>
        <w:spacing w:after="0" w:line="161"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56" w:lineRule="exact"/>
        <w:rPr>
          <w:sz w:val="20"/>
          <w:szCs w:val="20"/>
          <w:color w:val="auto"/>
        </w:rPr>
      </w:pPr>
    </w:p>
    <w:p>
      <w:pPr>
        <w:ind w:right="120" w:firstLine="456"/>
        <w:spacing w:after="0" w:line="301" w:lineRule="auto"/>
        <w:rPr>
          <w:sz w:val="20"/>
          <w:szCs w:val="20"/>
          <w:color w:val="auto"/>
        </w:rPr>
      </w:pPr>
      <w:r>
        <w:rPr>
          <w:rFonts w:ascii="Arial" w:cs="Arial" w:eastAsia="Arial" w:hAnsi="Arial"/>
          <w:sz w:val="16"/>
          <w:szCs w:val="16"/>
          <w:b w:val="1"/>
          <w:bCs w:val="1"/>
          <w:i w:val="1"/>
          <w:iCs w:val="1"/>
          <w:color w:val="auto"/>
        </w:rPr>
        <w:t>Shareholder Liability and Indemnification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Maryland law, you will not be personally liable for any obligation of ours solely because you are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 Under our bylaws, our shareholders shall have similar indemnification and expense advancement rights as our trustees and officers.</w:t>
      </w:r>
    </w:p>
    <w:p>
      <w:pPr>
        <w:spacing w:after="0" w:line="109"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101" w:lineRule="exact"/>
        <w:rPr>
          <w:sz w:val="20"/>
          <w:szCs w:val="20"/>
          <w:color w:val="auto"/>
        </w:rPr>
      </w:pPr>
    </w:p>
    <w:p>
      <w:pPr>
        <w:ind w:right="280" w:firstLine="456"/>
        <w:spacing w:after="0" w:line="258" w:lineRule="auto"/>
        <w:rPr>
          <w:sz w:val="20"/>
          <w:szCs w:val="20"/>
          <w:color w:val="auto"/>
        </w:rPr>
      </w:pPr>
      <w:r>
        <w:rPr>
          <w:rFonts w:ascii="Arial" w:cs="Arial" w:eastAsia="Arial" w:hAnsi="Arial"/>
          <w:sz w:val="18"/>
          <w:szCs w:val="18"/>
          <w:b w:val="1"/>
          <w:bCs w:val="1"/>
          <w:i w:val="1"/>
          <w:iCs w:val="1"/>
          <w:color w:val="auto"/>
        </w:rPr>
        <w:t>Limitation of Liability of Trustees and Officers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declaration of trust, to the maximum extent permitted under Maryland law in effect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with respect to liability of trustees and officers of a REIT, provides that no trustee or officer of ours shall be liable to us or to any shareholder for money damages. The Maryland General Corporation Law provides that we may restrict or limit the liability of trustees or officers for money damages except to the extent:</w:t>
      </w:r>
    </w:p>
    <w:p>
      <w:pPr>
        <w:spacing w:after="0" w:line="183"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it is proved that the trustee or officer actually received an improper benefit or profit in money, property or services; or</w:t>
      </w:r>
    </w:p>
    <w:p>
      <w:pPr>
        <w:spacing w:after="0" w:line="211"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judgment or other final adjudication adverse to the person is entered in a proceeding based on a finding that the person’s action, or failure to act, was material to the cause of action adjudicated and was the result of active and deliberate dishonesty.</w:t>
      </w:r>
    </w:p>
    <w:p>
      <w:pPr>
        <w:spacing w:after="0" w:line="13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Our declaration of trust provides that neither amendment nor repeal or any provision of our declaration of trust, nor adoption of any other provision, shall apply to or affect in any respect the applicability of such limitation of liability with respect to any act or failure to act which occurred prior to such amendment, repeal or adoption.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Indemnification of Directors and Officers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declaration of trust permits us to indemnify and advance expenses to, to the maximum extent permitted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Maryland law in effect from time to time, any individual who is a present or former trustee or officer of ours or to any individual who, while a trustee of ours, serves or has served as a director, officer, partner, trustee, employee or agent of another REIT, corporation partnership, joint venture, trust, employee benefit plan or any other enterprise, in connection with any claim or liability to which such person may become subject or which such person may incur by reason of such status.</w:t>
      </w:r>
    </w:p>
    <w:p>
      <w:pPr>
        <w:spacing w:after="0" w:line="145"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Our bylaws require us to indemnify: (a) any trustee, officer or former trustee or officer, including any individual who, while a trustee or officer at our express request, serves or served for another REIT, corporation, partnership, limited liability company, joint venture, trust, employee benefit plan or any other enterprise as a director, officer, shareholder, manager, member, partner or trustee of such entity, who has been successful, on the merits or otherwise, in the defense of a proceeding to which he or she was made a party by reason of service in such capacity, against reasonable expenses incurred by him or her in connection with the proceeding; and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deliberative dishonesty; (ii) he or she actually received an improper personal benefit in money, property or services; or</w:t>
      </w:r>
    </w:p>
    <w:p>
      <w:pPr>
        <w:ind w:firstLine="8"/>
        <w:spacing w:after="0" w:line="290" w:lineRule="auto"/>
        <w:tabs>
          <w:tab w:leader="none" w:pos="307"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 the case of a criminal proceeding, he or she had reasonable cause to believe that his or her act or omission was unlawful. In addition, our bylaws require us, without requiring a preliminary determination of the ultimate entitlement to indemnification, to pay or reimburse expenses incurred by a trustee, officer or former trustee or officer made a party to a proceeding by reason of such status, provided that we have received from any such trustee or officer an affirmation and written undertaking as required by our bylaws. Our bylaws provide that neither amendment nor repeal or any provision of our bylaws, nor adoption of any other provision, shall apply to or affect in any respect the applicability of such indemnification and expense advancement rights with respect to any act or failure to act which occurred prior to such amendment, repeal or adoption.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FEDERAL INCOME TAX CONSIDERATIONS</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following sections summarize the material federal income tax issues that you may consider relevant relating to our taxation as a REIT under the Code, and the ownership and disposition of our common, preferred, and depositary shares. If we offer one or more additional series of common shares or preferred shares, debt securities, depositary shares, warrants to purchase debt or equity securities, or rights to purchase our common shares, the prospectus supplement would include information about certain additional material U.S. federal income tax considerations to holders of any of the offered securities.</w:t>
      </w:r>
    </w:p>
    <w:p>
      <w:pPr>
        <w:spacing w:after="0" w:line="11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Because this section is a summary, it does not address all of the tax issues that may be important to you. For example, this discussion addresses only shares held as capital assets.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persons subject to the alternative minimum tax, persons that are, or that hold their shares through, partnerships or other pass-through entities, U.S. shareholders whose functional currency is not the U.S. dollar, persons that hold shares as part of a straddle, hedge, conversion, synthetic security or constructive sale transaction for U.S. federal income tax purposes, or non-U.S. individuals and foreign corporations (except to the extent discussed in “— Taxation of Non-U.S. Shareholders” below). This summary does not address any aspect of state, local or foreign taxation or any U.S. federal tax other than the income tax and, only to the extent specifically provided herein, certain excise taxes potentially applicable to REITs.</w:t>
      </w:r>
    </w:p>
    <w:p>
      <w:pPr>
        <w:spacing w:after="0" w:line="120"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This summary is based upon the provisions of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85"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We urge you to consult your own tax advisor regarding the specific federal, state, local, foreign and other tax consequences to you of purchasing, owning and disposing of our securities, our election to be taxed as a REIT and the effect of potential changes in applicable tax laws.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Company</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elected to be taxed as a REIT under the federal income tax laws when we filed our 1962 tax return. We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4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the opinion of our tax counsel, Pillsbury Winthrop Shaw Pittman LLP, (i) we qualified as a REIT under Sections 856 through 859 of the Code with respect to our taxable years ended through December 31, 2008;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business, properties and operations. We may not, however, have met or continue to meet such requirements. You should be aware that opinions of counsel are not binding on the Internal Revenue Service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qualification tests. For a discussion of the tax treatment of us and our shareholders if we fail to qualify as a REIT, see “— Requirements for REIT Qualification — Failure to Qualify.”</w:t>
      </w:r>
    </w:p>
    <w:p>
      <w:pPr>
        <w:spacing w:after="0" w:line="132"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181" w:lineRule="exact"/>
        <w:rPr>
          <w:sz w:val="20"/>
          <w:szCs w:val="20"/>
          <w:color w:val="auto"/>
        </w:rPr>
      </w:pPr>
    </w:p>
    <w:p>
      <w:pPr>
        <w:ind w:left="900" w:right="560" w:hanging="446"/>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we may be subject to the “alternative minimum tax” on any items of tax preference that we do not distribute or allocate to our shareholders;</w:t>
      </w:r>
    </w:p>
    <w:p>
      <w:pPr>
        <w:spacing w:after="0" w:line="234" w:lineRule="exact"/>
        <w:rPr>
          <w:rFonts w:ascii="Arial" w:cs="Arial" w:eastAsia="Arial" w:hAnsi="Arial"/>
          <w:sz w:val="16"/>
          <w:szCs w:val="16"/>
          <w:color w:val="auto"/>
        </w:rPr>
      </w:pPr>
    </w:p>
    <w:p>
      <w:pPr>
        <w:ind w:left="900" w:right="40" w:hanging="446"/>
        <w:spacing w:after="0" w:line="332" w:lineRule="auto"/>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we will pay income tax at the highest corporate rate on (i) net income from the sale or other disposition of property acquired through foreclosure that we hold primarily for sale to customers in the ordinary course of business and (ii) other non-qualifying income from foreclosure property;</w:t>
      </w:r>
    </w:p>
    <w:p>
      <w:pPr>
        <w:spacing w:after="0" w:line="125"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if we fail to satisfy the 75% gross income test or the 95% gross income test (as described below under “— Requirements for REIT Qualification</w:t>
      </w:r>
    </w:p>
    <w:p>
      <w:pPr>
        <w:spacing w:after="0" w:line="38" w:lineRule="exact"/>
        <w:rPr>
          <w:rFonts w:ascii="Arial" w:cs="Arial" w:eastAsia="Arial" w:hAnsi="Arial"/>
          <w:sz w:val="16"/>
          <w:szCs w:val="16"/>
          <w:color w:val="auto"/>
        </w:rPr>
      </w:pPr>
    </w:p>
    <w:p>
      <w:pPr>
        <w:ind w:left="900" w:right="20"/>
        <w:spacing w:after="0" w:line="255" w:lineRule="auto"/>
        <w:rPr>
          <w:rFonts w:ascii="Arial" w:cs="Arial" w:eastAsia="Arial" w:hAnsi="Arial"/>
          <w:sz w:val="16"/>
          <w:szCs w:val="16"/>
          <w:color w:val="auto"/>
        </w:rPr>
      </w:pPr>
      <w:r>
        <w:rPr>
          <w:rFonts w:ascii="Arial" w:cs="Arial" w:eastAsia="Arial" w:hAnsi="Arial"/>
          <w:sz w:val="18"/>
          <w:szCs w:val="18"/>
          <w:color w:val="auto"/>
        </w:rPr>
        <w:t>—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184" w:lineRule="exact"/>
        <w:rPr>
          <w:rFonts w:ascii="Arial" w:cs="Arial" w:eastAsia="Arial" w:hAnsi="Arial"/>
          <w:sz w:val="16"/>
          <w:szCs w:val="16"/>
          <w:color w:val="auto"/>
        </w:rPr>
      </w:pPr>
    </w:p>
    <w:p>
      <w:pPr>
        <w:ind w:left="900" w:hanging="446"/>
        <w:spacing w:after="0" w:line="256"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183" w:lineRule="exact"/>
        <w:rPr>
          <w:rFonts w:ascii="Arial" w:cs="Arial" w:eastAsia="Arial" w:hAnsi="Arial"/>
          <w:sz w:val="18"/>
          <w:szCs w:val="18"/>
          <w:color w:val="auto"/>
        </w:rPr>
      </w:pPr>
    </w:p>
    <w:p>
      <w:pPr>
        <w:jc w:val="both"/>
        <w:ind w:left="900" w:right="20" w:hanging="446"/>
        <w:spacing w:after="0" w:line="259"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18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4% excise tax on the excess of such required distribution over the amount we actually distributed;</w:t>
      </w:r>
    </w:p>
    <w:p>
      <w:pPr>
        <w:spacing w:after="0" w:line="18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211"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we recognize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gain on the sale or disposition of such asset during the 10-year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REIT Qualification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212"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211"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172" w:lineRule="exact"/>
        <w:rPr>
          <w:rFonts w:ascii="Arial" w:cs="Arial" w:eastAsia="Arial" w:hAnsi="Arial"/>
          <w:sz w:val="18"/>
          <w:szCs w:val="18"/>
          <w:color w:val="auto"/>
        </w:rPr>
      </w:pPr>
    </w:p>
    <w:p>
      <w:pPr>
        <w:ind w:left="460" w:right="680" w:hanging="452"/>
        <w:spacing w:after="0" w:line="268"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172" w:lineRule="exact"/>
        <w:rPr>
          <w:rFonts w:ascii="Arial" w:cs="Arial" w:eastAsia="Arial" w:hAnsi="Arial"/>
          <w:sz w:val="18"/>
          <w:szCs w:val="18"/>
          <w:color w:val="auto"/>
        </w:rPr>
      </w:pPr>
    </w:p>
    <w:p>
      <w:pPr>
        <w:ind w:left="460" w:right="360" w:hanging="452"/>
        <w:spacing w:after="0" w:line="268"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Treasury; and</w:t>
      </w:r>
    </w:p>
    <w:p>
      <w:pPr>
        <w:spacing w:after="0" w:line="172" w:lineRule="exact"/>
        <w:rPr>
          <w:rFonts w:ascii="Arial" w:cs="Arial" w:eastAsia="Arial" w:hAnsi="Arial"/>
          <w:sz w:val="18"/>
          <w:szCs w:val="18"/>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w:t>
      </w:r>
    </w:p>
    <w:p>
      <w:pPr>
        <w:spacing w:after="0" w:line="171"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“Description of Shares of Beneficial Ownership–Restrictions on Ownership and Transfer.”</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our direct corporate subsidiaries are qualified REIT subsidiaries, except for those that are taxable REIT subsidiaries. Accordingly, our qualified REIT subsidiaries are not subject to federal corporate income taxation, though they may be subject to state and local taxation.</w:t>
      </w:r>
    </w:p>
    <w:p>
      <w:pPr>
        <w:spacing w:after="0" w:line="12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A REIT is treated as owning its proportionate share of the assets of any partnership in which it is a partner and as earning its allocable share of the gross income of the partnership for purposes of the applicable REIT qualification tests. Thus, our proportionate share of the assets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 Our proportionate share is generally determined, for these purposes, based on our percentage interest in partnership equity capital.</w:t>
      </w:r>
    </w:p>
    <w:p>
      <w:pPr>
        <w:spacing w:after="0" w:line="110" w:lineRule="exact"/>
        <w:rPr>
          <w:sz w:val="20"/>
          <w:szCs w:val="20"/>
          <w:color w:val="auto"/>
        </w:rPr>
      </w:pPr>
    </w:p>
    <w:p>
      <w:pPr>
        <w:ind w:left="460"/>
        <w:spacing w:after="0"/>
        <w:tabs>
          <w:tab w:leader="none" w:pos="1600" w:val="left"/>
        </w:tabs>
        <w:rPr>
          <w:sz w:val="20"/>
          <w:szCs w:val="20"/>
          <w:color w:val="auto"/>
        </w:rPr>
      </w:pPr>
      <w:r>
        <w:rPr>
          <w:rFonts w:ascii="Arial" w:cs="Arial" w:eastAsia="Arial" w:hAnsi="Arial"/>
          <w:sz w:val="18"/>
          <w:szCs w:val="18"/>
          <w:b w:val="1"/>
          <w:bCs w:val="1"/>
          <w:i w:val="1"/>
          <w:iCs w:val="1"/>
          <w:color w:val="auto"/>
        </w:rPr>
        <w:t>Income Tests</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color w:val="auto"/>
        </w:rPr>
        <w:t>We must satisfy two gross income tests annually to maintain our qualification as a REIT:</w:t>
      </w:r>
    </w:p>
    <w:p>
      <w:pPr>
        <w:spacing w:after="0" w:line="218" w:lineRule="exact"/>
        <w:rPr>
          <w:sz w:val="20"/>
          <w:szCs w:val="20"/>
          <w:color w:val="auto"/>
        </w:rPr>
      </w:pPr>
    </w:p>
    <w:p>
      <w:pPr>
        <w:ind w:left="900" w:right="40" w:hanging="446"/>
        <w:spacing w:after="0" w:line="291"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At least 75% of our gross income (excluding gross income from prohibited transactions, certain real estate liability hedges and, after July 30, 2008,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and dividends or other distributions on and gain from the sale of shares in other REITs; and</w:t>
      </w:r>
    </w:p>
    <w:p>
      <w:pPr>
        <w:spacing w:after="0" w:line="160" w:lineRule="exact"/>
        <w:rPr>
          <w:rFonts w:ascii="Arial" w:cs="Arial" w:eastAsia="Arial" w:hAnsi="Arial"/>
          <w:sz w:val="16"/>
          <w:szCs w:val="16"/>
          <w:color w:val="auto"/>
        </w:rPr>
      </w:pPr>
    </w:p>
    <w:p>
      <w:pPr>
        <w:ind w:left="900" w:hanging="446"/>
        <w:spacing w:after="0" w:line="256"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At least 95% of our gross income (excluding gross income from prohibited transactions, certain real estate liability hedges and, after July 30, 2008, certain foreign currency hedges entered into and certain recognized passive foreign exchange gains)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165" w:lineRule="exact"/>
        <w:rPr>
          <w:sz w:val="20"/>
          <w:szCs w:val="20"/>
          <w:color w:val="auto"/>
        </w:rPr>
      </w:pPr>
    </w:p>
    <w:p>
      <w:pPr>
        <w:jc w:val="both"/>
        <w:ind w:right="180" w:firstLine="456"/>
        <w:spacing w:after="0" w:line="262"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primary source of income derives from leasing properties. There are various limitations on whether rent that we receive from real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that we own and lease to tenants will qualify as “rents from real property” (which is qualifying income for purposes of the 75% and 95% gross income tests):</w:t>
      </w:r>
    </w:p>
    <w:p>
      <w:pPr>
        <w:spacing w:after="0" w:line="179" w:lineRule="exact"/>
        <w:rPr>
          <w:sz w:val="20"/>
          <w:szCs w:val="20"/>
          <w:color w:val="auto"/>
        </w:rPr>
      </w:pPr>
    </w:p>
    <w:p>
      <w:pPr>
        <w:ind w:left="900" w:hanging="446"/>
        <w:spacing w:after="0" w:line="256"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Although, generally, rent may be based on a fixed percentage or percentages of receipts or sales, if the rent is based, in whole or in part, on the income or profits of any person, the rent will not qualify as “rents from real property.” We have not entered into any lease based in whole or part on the net income of any person and do not anticipate entering into such arrangements unless, in either instance, we determine or have determined in our discretion that such arrangements will not jeopardize our status as a REIT;</w:t>
      </w:r>
    </w:p>
    <w:p>
      <w:pPr>
        <w:spacing w:after="0" w:line="183" w:lineRule="exact"/>
        <w:rPr>
          <w:rFonts w:ascii="Arial" w:cs="Arial" w:eastAsia="Arial" w:hAnsi="Arial"/>
          <w:sz w:val="18"/>
          <w:szCs w:val="18"/>
          <w:color w:val="auto"/>
        </w:rPr>
      </w:pPr>
    </w:p>
    <w:p>
      <w:pPr>
        <w:ind w:left="900" w:right="220" w:hanging="446"/>
        <w:spacing w:after="0" w:line="306"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Except in certain limited circumstances involving taxable REIT subsidiaries, if we or someone who owns 10% or more of our shares owns 10% or more of a tenant from whom we receive rent, the tenant is deemed a “related party tenant,” and the rent paid by the related party tenant will not qualify as “rents from real property.” Our ownership and the ownership of a tenant is determined based on direct,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40"/>
        <w:spacing w:after="0" w:line="289" w:lineRule="auto"/>
        <w:rPr>
          <w:sz w:val="20"/>
          <w:szCs w:val="20"/>
          <w:color w:val="auto"/>
        </w:rPr>
      </w:pPr>
      <w:r>
        <w:rPr>
          <w:rFonts w:ascii="Arial" w:cs="Arial" w:eastAsia="Arial" w:hAnsi="Arial"/>
          <w:sz w:val="16"/>
          <w:szCs w:val="16"/>
          <w:color w:val="auto"/>
        </w:rPr>
        <w:t>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will use our best efforts not to rent any property to a related party tenant (taking into account the applicable constructive ownership rules), unless we determine in our discretion that the rent received from such related party tenant will not jeopardize our status as a REIT. We believe that we have not leased property to any related party tenant, except where we have determined that the rent received from such related party tenant is not material and will not jeopardize our status as a REIT;</w:t>
      </w:r>
    </w:p>
    <w:p>
      <w:pPr>
        <w:spacing w:after="0" w:line="172" w:lineRule="exact"/>
        <w:rPr>
          <w:sz w:val="20"/>
          <w:szCs w:val="20"/>
          <w:color w:val="auto"/>
        </w:rPr>
      </w:pPr>
    </w:p>
    <w:p>
      <w:pPr>
        <w:ind w:left="900" w:right="20" w:hanging="446"/>
        <w:spacing w:after="0" w:line="318" w:lineRule="auto"/>
        <w:tabs>
          <w:tab w:leader="none" w:pos="900" w:val="left"/>
        </w:tabs>
        <w:numPr>
          <w:ilvl w:val="0"/>
          <w:numId w:val="65"/>
        </w:numPr>
        <w:rPr>
          <w:rFonts w:ascii="Arial" w:cs="Arial" w:eastAsia="Arial" w:hAnsi="Arial"/>
          <w:sz w:val="15"/>
          <w:szCs w:val="15"/>
          <w:color w:val="auto"/>
        </w:rPr>
      </w:pPr>
      <w:r>
        <w:rPr>
          <w:rFonts w:ascii="Arial" w:cs="Arial" w:eastAsia="Arial" w:hAnsi="Arial"/>
          <w:sz w:val="15"/>
          <w:szCs w:val="15"/>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us by the taxable REIT subsidiary must be substantially comparable to the rents paid by such other persons for comparable space. All space currently leased to taxable REIT subsidiaries meets these conditions, and we intend to meet them in the future, unless we determine in our discretion that the rent received from a taxable REIT subsidiary will not jeopardize our status as a REIT;</w:t>
      </w:r>
    </w:p>
    <w:p>
      <w:pPr>
        <w:spacing w:after="0" w:line="140" w:lineRule="exact"/>
        <w:rPr>
          <w:rFonts w:ascii="Arial" w:cs="Arial" w:eastAsia="Arial" w:hAnsi="Arial"/>
          <w:sz w:val="15"/>
          <w:szCs w:val="15"/>
          <w:color w:val="auto"/>
        </w:rPr>
      </w:pPr>
    </w:p>
    <w:p>
      <w:pPr>
        <w:ind w:left="900" w:hanging="446"/>
        <w:spacing w:after="0" w:line="294"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In general, we have not leased a significant amount of personal property under our current leases. If any incidental personal property has been leased, or we lease personal property in connection with a future lease, we believe that rent under each lease from the personal property has been or will be less than 15% of total rent from that lease or that the amount of rent attributable to the personal property will not jeopardize our status as a REIT; and</w:t>
      </w:r>
    </w:p>
    <w:p>
      <w:pPr>
        <w:spacing w:after="0" w:line="156" w:lineRule="exact"/>
        <w:rPr>
          <w:rFonts w:ascii="Arial" w:cs="Arial" w:eastAsia="Arial" w:hAnsi="Arial"/>
          <w:sz w:val="16"/>
          <w:szCs w:val="16"/>
          <w:color w:val="auto"/>
        </w:rPr>
      </w:pPr>
    </w:p>
    <w:p>
      <w:pPr>
        <w:ind w:left="900" w:right="160" w:hanging="446"/>
        <w:spacing w:after="0" w:line="289"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 general, if we furnish or render services to our tenants, other than through a taxable REIT subsidiary or an “independent contractor” who is adequately compensated and from whom we do not derive revenue, the income received from the tenants may not be deemed “rents from real property.” We may provide services directly, if the services are “usually or customarily rendered” in connection with the rental of space for occupancy only and are not otherwise considered to be provided for the tenant’s convenience. In addition, we may render directly a de minimis amount of “non-customary” services to the tenants of a property without disqualifying the income as “rents from real property,” as long as our income from the services does not exceed 1% of our income from the related property. We have not provided services to leased properties that have caused rents to be disqualified as rents from real property, and in the future, we intend that any services provided will not cause rents to be disqualified as rents from real property.</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Based on, and subject to,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an ongoing basis, we will use our best efforts not to:</w:t>
      </w:r>
    </w:p>
    <w:p>
      <w:pPr>
        <w:spacing w:after="0" w:line="212" w:lineRule="exact"/>
        <w:rPr>
          <w:sz w:val="20"/>
          <w:szCs w:val="20"/>
          <w:color w:val="auto"/>
        </w:rPr>
      </w:pPr>
    </w:p>
    <w:p>
      <w:pPr>
        <w:ind w:left="900" w:right="80" w:hanging="446"/>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charge rent for any property that is based in whole or in part on the income or profits of any person (except by reason of being based on a percentage of receipts or sales, as described above);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40" w:hanging="446"/>
        <w:spacing w:after="0" w:line="259"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rent any property to a related party tenant (taking into account the applicable constructive ownership rules and the exception for taxable REIT subsidiaries), unless we determine in our discretion that the rent received from such related party tenant is not material and will not jeopardize our status as a REIT;</w:t>
      </w:r>
    </w:p>
    <w:p>
      <w:pPr>
        <w:spacing w:after="0" w:line="18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derive rental income attributable to personal property (other than personal property leased in connection with the lease of real property, the amount of which is less than 15% of the total rent received under the lease); and</w:t>
      </w:r>
    </w:p>
    <w:p>
      <w:pPr>
        <w:spacing w:after="0" w:line="172" w:lineRule="exact"/>
        <w:rPr>
          <w:rFonts w:ascii="Arial" w:cs="Arial" w:eastAsia="Arial" w:hAnsi="Arial"/>
          <w:sz w:val="18"/>
          <w:szCs w:val="18"/>
          <w:color w:val="auto"/>
        </w:rPr>
      </w:pPr>
    </w:p>
    <w:p>
      <w:pPr>
        <w:ind w:left="900" w:right="280" w:hanging="446"/>
        <w:spacing w:after="0" w:line="306" w:lineRule="auto"/>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perform services considered to be provided for the convenience of the tenant that generate rents exceeding 1% of all amounts received or accrued during the taxable year with respect to such property, other than through an independent contractor from whom we derive no revenue, through a taxable REIT subsidiary, or if the provision of such services will not jeopardize our status as a REIT.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Because the Code provisions applicable to REITs are complex, however, we may fail to meet one or more of the foregoing.</w:t>
      </w:r>
    </w:p>
    <w:p>
      <w:pPr>
        <w:spacing w:after="0" w:line="165" w:lineRule="exact"/>
        <w:rPr>
          <w:sz w:val="20"/>
          <w:szCs w:val="20"/>
          <w:color w:val="auto"/>
        </w:rPr>
      </w:pPr>
    </w:p>
    <w:p>
      <w:pPr>
        <w:ind w:right="240" w:firstLine="456"/>
        <w:spacing w:after="0" w:line="310" w:lineRule="auto"/>
        <w:rPr>
          <w:sz w:val="20"/>
          <w:szCs w:val="20"/>
          <w:color w:val="auto"/>
        </w:rPr>
      </w:pPr>
      <w:r>
        <w:rPr>
          <w:rFonts w:ascii="Arial" w:cs="Arial" w:eastAsia="Arial" w:hAnsi="Arial"/>
          <w:sz w:val="16"/>
          <w:szCs w:val="16"/>
          <w:b w:val="1"/>
          <w:bCs w:val="1"/>
          <w:i w:val="1"/>
          <w:iCs w:val="1"/>
          <w:color w:val="auto"/>
        </w:rPr>
        <w:t>Tax on Income From Property Acquired in Foreclosure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will be subject to tax at the maximum corporate rate on any income from foreclosure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(other than income that would be qualifying income for purposes of the 75% gross income test), less expenses directly connected to the production of such income. “Foreclosure property” is any real property (including interests in real property) and any personal property incident to such real property:</w:t>
      </w:r>
    </w:p>
    <w:p>
      <w:pPr>
        <w:spacing w:after="0" w:line="144" w:lineRule="exact"/>
        <w:rPr>
          <w:sz w:val="20"/>
          <w:szCs w:val="20"/>
          <w:color w:val="auto"/>
        </w:rPr>
      </w:pPr>
    </w:p>
    <w:p>
      <w:pPr>
        <w:ind w:left="900" w:right="200" w:hanging="446"/>
        <w:spacing w:after="0" w:line="332" w:lineRule="auto"/>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125" w:lineRule="exact"/>
        <w:rPr>
          <w:rFonts w:ascii="Arial" w:cs="Arial" w:eastAsia="Arial" w:hAnsi="Arial"/>
          <w:sz w:val="16"/>
          <w:szCs w:val="16"/>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171" w:lineRule="exact"/>
        <w:rPr>
          <w:sz w:val="20"/>
          <w:szCs w:val="20"/>
          <w:color w:val="auto"/>
        </w:rPr>
      </w:pPr>
    </w:p>
    <w:p>
      <w:pPr>
        <w:jc w:val="both"/>
        <w:ind w:right="20" w:firstLine="456"/>
        <w:spacing w:after="0" w:line="370" w:lineRule="auto"/>
        <w:rPr>
          <w:sz w:val="20"/>
          <w:szCs w:val="20"/>
          <w:color w:val="auto"/>
        </w:rPr>
      </w:pPr>
      <w:r>
        <w:rPr>
          <w:rFonts w:ascii="Arial" w:cs="Arial" w:eastAsia="Arial" w:hAnsi="Arial"/>
          <w:sz w:val="15"/>
          <w:szCs w:val="15"/>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103" w:lineRule="exact"/>
        <w:rPr>
          <w:sz w:val="20"/>
          <w:szCs w:val="20"/>
          <w:color w:val="auto"/>
        </w:rPr>
      </w:pPr>
    </w:p>
    <w:p>
      <w:pPr>
        <w:ind w:left="900" w:right="180" w:hanging="446"/>
        <w:spacing w:after="0" w:line="268"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172"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180" w:lineRule="exact"/>
        <w:rPr>
          <w:rFonts w:ascii="Arial" w:cs="Arial" w:eastAsia="Arial" w:hAnsi="Arial"/>
          <w:sz w:val="18"/>
          <w:szCs w:val="18"/>
          <w:color w:val="auto"/>
        </w:rPr>
      </w:pPr>
    </w:p>
    <w:p>
      <w:pPr>
        <w:ind w:left="900" w:right="300" w:hanging="446"/>
        <w:spacing w:after="0" w:line="332" w:lineRule="auto"/>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125" w:lineRule="exact"/>
        <w:rPr>
          <w:rFonts w:ascii="Arial" w:cs="Arial" w:eastAsia="Arial" w:hAnsi="Arial"/>
          <w:sz w:val="16"/>
          <w:szCs w:val="16"/>
          <w:color w:val="auto"/>
        </w:rPr>
      </w:pPr>
    </w:p>
    <w:p>
      <w:pPr>
        <w:ind w:left="900" w:right="120" w:hanging="446"/>
        <w:spacing w:after="0" w:line="370" w:lineRule="auto"/>
        <w:tabs>
          <w:tab w:leader="none" w:pos="900"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w:t>
      </w:r>
    </w:p>
    <w:p>
      <w:pPr>
        <w:spacing w:after="0" w:line="56"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i w:val="1"/>
          <w:iCs w:val="1"/>
          <w:color w:val="auto"/>
        </w:rPr>
        <w:t>Tax on Prohibited Transactions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REIT will incur a 100% tax on net income derived from any “prohibited transaction.” A “prohibited transaction”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is a sale or other disposition of property (other than foreclosure property) that the REIT holds primarily for sale to customers in the ordinary course of a trade or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business. With respect to prohibited transactions occurring after July 30, 2008, any foreign currency gain (as defined in Section 988(b)(1) of the Code) and any foreign currency loss (as defined in Section 988(b)(2) of the Code) will be taken into account in determining the amount of income subject to the 100% penalty tax. The prohibited transaction rules do not apply to property held by a taxable REIT subsidiary of a REIT. We believe that none of our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Code provides a safe harbor that, if met,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If the 7 sale limitation in (iii) above is not satisfied, substantially all of the marketing and development expenditures with respect to the property must be made through an independent contractor from whom we do not derive or receive any income. For sales on or prior to July 30, 2008, the 2-year periods referenced in (i) and (ii) above were 4 years, and the 10% fair market value test described in the alternative in (iii) above did not apply. We believe we have complied with the terms of the safe-harbor provision and we will attempt to comply with the terms of the safe-harbor in the future. We may fail to comply with the safe-harbor provision or may own property that could be characterized as property held “primarily for sale to customers in the ordinary course of a trade or business.”</w:t>
      </w:r>
    </w:p>
    <w:p>
      <w:pPr>
        <w:spacing w:after="0" w:line="12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Tax and Deduction Limits on Certain Transactions with Taxable REIT Subsidiaries. </w:t>
      </w:r>
      <w:r>
        <w:rPr>
          <w:rFonts w:ascii="Arial" w:cs="Arial" w:eastAsia="Arial" w:hAnsi="Arial"/>
          <w:sz w:val="16"/>
          <w:szCs w:val="16"/>
          <w:color w:val="auto"/>
        </w:rPr>
        <w:t>A REIT will incur a 100% tax on certain transactions between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and that none of our taxable REIT subsidiaries will be subject to the interest deduction limits.</w:t>
      </w:r>
    </w:p>
    <w:p>
      <w:pPr>
        <w:spacing w:after="0" w:line="11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b w:val="1"/>
          <w:bCs w:val="1"/>
          <w:i w:val="1"/>
          <w:iCs w:val="1"/>
          <w:color w:val="auto"/>
        </w:rPr>
        <w:t xml:space="preserve">Hedging Transactions. </w:t>
      </w:r>
      <w:r>
        <w:rPr>
          <w:rFonts w:ascii="Arial" w:cs="Arial" w:eastAsia="Arial" w:hAnsi="Arial"/>
          <w:sz w:val="16"/>
          <w:szCs w:val="16"/>
          <w:color w:val="auto"/>
        </w:rPr>
        <w:t>Except to the extent provided by Treasury regulations, any income we derive from a hedging transaction (which may include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entering into interest rate swaps, caps, and floors, options to purchase these items, and futures and forward contracts) which is clearly identified as such as specified in the Code, including gain from the sale or disposition of such a transaction, will not constitute gross income for purposes of either the 75% or 95% gross income test, and therefore will be exempt from these tests, but only to the extent that the transaction hedges indebtedness incurred or to be incurred by us to acquire or carry real estate assets or is entered into primarily to manage the risk of foreign currency fluctuations with respect to qualifying income under the 75% or 95% gross income test. Real estate liability hedging transactions entered into on or before July 30, 2008, however, will likely generate nonqualifying income for purposes of the 75% gross income test, and foreign currency hedges entered into on or before July 30, 2008, will likely generate nonqualifying income for purposes of both the 75% and 95% gross income tests. Moreover, income from any hedging transaction not described above will likely continue to be treated as nonqualifying for both the 75% and 95% gross income test.</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Relief from Consequences of Failing to Meet Income Tests. </w:t>
      </w:r>
      <w:r>
        <w:rPr>
          <w:rFonts w:ascii="Arial" w:cs="Arial" w:eastAsia="Arial" w:hAnsi="Arial"/>
          <w:sz w:val="18"/>
          <w:szCs w:val="18"/>
          <w:color w:val="auto"/>
        </w:rPr>
        <w:t>If we fail to satisfy one or both of the 75% and 95% gross income tests for any taxable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 Taxation of the Company,” even if</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relief provisions apply, we would incur a 100% tax on gross income to the extent we fail the 75% or 95% gross income test (whichever amount is greater), multiplied by a fraction intended to reflect our profitability.</w:t>
      </w:r>
    </w:p>
    <w:p>
      <w:pPr>
        <w:spacing w:after="0" w:line="126" w:lineRule="exact"/>
        <w:rPr>
          <w:sz w:val="20"/>
          <w:szCs w:val="20"/>
          <w:color w:val="auto"/>
        </w:rPr>
      </w:pPr>
    </w:p>
    <w:p>
      <w:pPr>
        <w:ind w:left="460"/>
        <w:spacing w:after="0"/>
        <w:tabs>
          <w:tab w:leader="none" w:pos="1440" w:val="left"/>
        </w:tabs>
        <w:rPr>
          <w:sz w:val="20"/>
          <w:szCs w:val="20"/>
          <w:color w:val="auto"/>
        </w:rPr>
      </w:pPr>
      <w:r>
        <w:rPr>
          <w:rFonts w:ascii="Arial" w:cs="Arial" w:eastAsia="Arial" w:hAnsi="Arial"/>
          <w:sz w:val="18"/>
          <w:szCs w:val="18"/>
          <w:b w:val="1"/>
          <w:bCs w:val="1"/>
          <w:i w:val="1"/>
          <w:iCs w:val="1"/>
          <w:color w:val="auto"/>
        </w:rPr>
        <w:t>Asset Tests</w:t>
      </w:r>
      <w:r>
        <w:rPr>
          <w:rFonts w:ascii="Arial" w:cs="Arial" w:eastAsia="Arial" w:hAnsi="Arial"/>
          <w:sz w:val="18"/>
          <w:szCs w:val="18"/>
          <w:b w:val="1"/>
          <w:bCs w:val="1"/>
          <w:color w:val="auto"/>
        </w:rPr>
        <w:t>.</w:t>
      </w:r>
      <w:r>
        <w:rPr>
          <w:sz w:val="20"/>
          <w:szCs w:val="20"/>
          <w:color w:val="auto"/>
        </w:rPr>
        <w:tab/>
      </w:r>
      <w:r>
        <w:rPr>
          <w:rFonts w:ascii="Arial" w:cs="Arial" w:eastAsia="Arial" w:hAnsi="Arial"/>
          <w:sz w:val="15"/>
          <w:szCs w:val="15"/>
          <w:color w:val="auto"/>
        </w:rPr>
        <w:t>To maintain our qualification as a REIT, we also must satisfy the following asset tests at the close of each quarter of each taxable year:</w:t>
      </w:r>
    </w:p>
    <w:p>
      <w:pPr>
        <w:spacing w:after="0" w:line="218" w:lineRule="exact"/>
        <w:rPr>
          <w:sz w:val="20"/>
          <w:szCs w:val="20"/>
          <w:color w:val="auto"/>
        </w:rPr>
      </w:pPr>
    </w:p>
    <w:p>
      <w:pPr>
        <w:ind w:left="900" w:right="440" w:hanging="446"/>
        <w:spacing w:after="0" w:line="268"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consist of cash or cash items (including certain receivables), U.S. government securities, “real estate assets,” or qualifying temporary investments (the “75% asset test”).</w:t>
      </w:r>
    </w:p>
    <w:p>
      <w:pPr>
        <w:spacing w:after="0" w:line="172" w:lineRule="exact"/>
        <w:rPr>
          <w:rFonts w:ascii="Arial" w:cs="Arial" w:eastAsia="Arial" w:hAnsi="Arial"/>
          <w:sz w:val="18"/>
          <w:szCs w:val="18"/>
          <w:color w:val="auto"/>
        </w:rPr>
      </w:pPr>
    </w:p>
    <w:p>
      <w:pPr>
        <w:ind w:left="1460" w:right="260" w:hanging="547"/>
        <w:spacing w:after="0" w:line="268" w:lineRule="auto"/>
        <w:tabs>
          <w:tab w:leader="none" w:pos="14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“Real estate assets” include interests in real property, interests in mortgages on real property and stock in other REITs. We believe that the properties qualify as real estate assets.</w:t>
      </w:r>
    </w:p>
    <w:p>
      <w:pPr>
        <w:spacing w:after="0" w:line="172" w:lineRule="exact"/>
        <w:rPr>
          <w:rFonts w:ascii="Arial" w:cs="Arial" w:eastAsia="Arial" w:hAnsi="Arial"/>
          <w:sz w:val="18"/>
          <w:szCs w:val="18"/>
          <w:color w:val="auto"/>
        </w:rPr>
      </w:pPr>
    </w:p>
    <w:p>
      <w:pPr>
        <w:jc w:val="both"/>
        <w:ind w:left="1460" w:right="340" w:hanging="547"/>
        <w:spacing w:after="0" w:line="259" w:lineRule="auto"/>
        <w:tabs>
          <w:tab w:leader="none" w:pos="14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180" w:lineRule="exact"/>
        <w:rPr>
          <w:rFonts w:ascii="Arial" w:cs="Arial" w:eastAsia="Arial" w:hAnsi="Arial"/>
          <w:sz w:val="18"/>
          <w:szCs w:val="18"/>
          <w:color w:val="auto"/>
        </w:rPr>
      </w:pPr>
    </w:p>
    <w:p>
      <w:pPr>
        <w:ind w:left="1460" w:right="440" w:hanging="547"/>
        <w:spacing w:after="0" w:line="268" w:lineRule="auto"/>
        <w:tabs>
          <w:tab w:leader="none" w:pos="14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172" w:lineRule="exact"/>
        <w:rPr>
          <w:rFonts w:ascii="Arial" w:cs="Arial" w:eastAsia="Arial" w:hAnsi="Arial"/>
          <w:sz w:val="18"/>
          <w:szCs w:val="18"/>
          <w:color w:val="auto"/>
        </w:rPr>
      </w:pPr>
    </w:p>
    <w:p>
      <w:pPr>
        <w:ind w:left="900" w:hanging="446"/>
        <w:spacing w:after="0" w:line="287" w:lineRule="auto"/>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For investments not included in the 75% asset test, (A) the value of our interest in any one issuer’s securities, which does not include our equity ownership of other REITs, any taxable REIT subsidiary or qualified REIT subsidiary, may not exceed 5% of the value of our total assets (the “5% asset test”), (B) we may not own more than 10% of the voting power or value of any one issuer’s outstanding securities, which does not include our equity ownership in other REITs, any qualified REIT subsidiary, or any taxable REIT subsidiary (the “10% asset test”), (C) the value of our securities in one or more taxable REIT subsidiaries may not exceed 25% of the value of our total assets (20% for taxable years ending on or before December 31, 2008), and (D) no more than 25% of the value of our total assets may consist of the securities of taxable REIT subsidiaries and our assets that are not qualifying assets for purposes of the 75% asset test. For purposes of the 10% asset test that relates to value, the following are not treated as securities: (i) loans to individuals and estates, (ii)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w:t>
      </w:r>
    </w:p>
    <w:p>
      <w:pPr>
        <w:spacing w:after="0" w:line="3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17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43" w:lineRule="exact"/>
        <w:rPr>
          <w:sz w:val="20"/>
          <w:szCs w:val="20"/>
          <w:color w:val="auto"/>
        </w:rPr>
      </w:pPr>
    </w:p>
    <w:p>
      <w:pPr>
        <w:ind w:right="60" w:firstLine="456"/>
        <w:spacing w:after="0" w:line="303" w:lineRule="auto"/>
        <w:rPr>
          <w:sz w:val="20"/>
          <w:szCs w:val="20"/>
          <w:color w:val="auto"/>
        </w:rPr>
      </w:pPr>
      <w:r>
        <w:rPr>
          <w:rFonts w:ascii="Arial" w:cs="Arial" w:eastAsia="Arial" w:hAnsi="Arial"/>
          <w:sz w:val="15"/>
          <w:szCs w:val="15"/>
          <w:b w:val="1"/>
          <w:bCs w:val="1"/>
          <w:i w:val="1"/>
          <w:iCs w:val="1"/>
          <w:color w:val="auto"/>
        </w:rPr>
        <w:t xml:space="preserve">Relief from Consequences of Failing to Meet Asset Tests. </w:t>
      </w:r>
      <w:r>
        <w:rPr>
          <w:rFonts w:ascii="Arial" w:cs="Arial" w:eastAsia="Arial" w:hAnsi="Arial"/>
          <w:sz w:val="15"/>
          <w:szCs w:val="15"/>
          <w:color w:val="auto"/>
        </w:rPr>
        <w:t>If we fail to satisfy one or more of the asset tests for any quarter of a taxable year,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w:t>
      </w:r>
    </w:p>
    <w:p>
      <w:pPr>
        <w:spacing w:after="0" w:line="1" w:lineRule="exact"/>
        <w:rPr>
          <w:sz w:val="20"/>
          <w:szCs w:val="20"/>
          <w:color w:val="auto"/>
        </w:rPr>
      </w:pPr>
    </w:p>
    <w:p>
      <w:pPr>
        <w:ind w:firstLine="8"/>
        <w:spacing w:after="0" w:line="261" w:lineRule="auto"/>
        <w:tabs>
          <w:tab w:leader="none" w:pos="258"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failure is corrected or we otherwise return to compliance with the applicable asset test within 6 months following the quarter in which it was discovered. In addition, should we fail</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 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2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Distribution Requirements. </w:t>
      </w:r>
      <w:r>
        <w:rPr>
          <w:rFonts w:ascii="Arial" w:cs="Arial" w:eastAsia="Arial" w:hAnsi="Arial"/>
          <w:sz w:val="18"/>
          <w:szCs w:val="18"/>
          <w:color w:val="auto"/>
        </w:rPr>
        <w:t>Each taxable year, we must distribute dividends (other than capital gain dividends and deemed distributions of retained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43"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18"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all of our taxable income and thereby avoid corporate income tax and the excise tax imposed on certain undistributed income. In such a situation, we may need to borrow funds or issue preferred shares or additional common shares to raise the cash necessary to make required distributions.</w:t>
      </w:r>
    </w:p>
    <w:p>
      <w:pPr>
        <w:spacing w:after="0" w:line="10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37" w:lineRule="exact"/>
        <w:rPr>
          <w:sz w:val="20"/>
          <w:szCs w:val="20"/>
          <w:color w:val="auto"/>
        </w:rPr>
      </w:pPr>
    </w:p>
    <w:p>
      <w:pPr>
        <w:jc w:val="both"/>
        <w:ind w:right="120" w:firstLine="456"/>
        <w:spacing w:after="0" w:line="262" w:lineRule="auto"/>
        <w:rPr>
          <w:sz w:val="20"/>
          <w:szCs w:val="20"/>
          <w:color w:val="auto"/>
        </w:rPr>
      </w:pPr>
      <w:r>
        <w:rPr>
          <w:rFonts w:ascii="Arial" w:cs="Arial" w:eastAsia="Arial" w:hAnsi="Arial"/>
          <w:sz w:val="18"/>
          <w:szCs w:val="18"/>
          <w:b w:val="1"/>
          <w:bCs w:val="1"/>
          <w:i w:val="1"/>
          <w:iCs w:val="1"/>
          <w:color w:val="auto"/>
        </w:rPr>
        <w:t>Record Keeping Requirements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must maintain certain records to qualify as a REIT. In addition, to avoid a monetary penalty, we must request on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 basis certain information from our shareholders designed to disclose the actual ownership of our outstanding shares. We have complied, and we intend to continue to comply, with such requirements.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 (other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43"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b w:val="1"/>
          <w:bCs w:val="1"/>
          <w:i w:val="1"/>
          <w:iCs w:val="1"/>
          <w:color w:val="auto"/>
        </w:rPr>
        <w:t xml:space="preserve">Failure to Qualify. </w:t>
      </w:r>
      <w:r>
        <w:rPr>
          <w:rFonts w:ascii="Arial" w:cs="Arial" w:eastAsia="Arial" w:hAnsi="Arial"/>
          <w:sz w:val="16"/>
          <w:szCs w:val="16"/>
          <w:color w:val="auto"/>
        </w:rPr>
        <w:t>If we fail to qualify as a REIT in any taxable year, and no relief provision applied, we would be subject to federal income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any applicable alternative minimum tax) on our 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for tax years through 2010. Different rules may apply for years beginning after 2010. See “— Taxation of Taxable U.S. Shareholders — Current Tax Rates.” Furthermore, subject to certain limitations of the Code, corporate shareholders might be eligible for the dividends received deduction. Unless we qualified for relief granted by the IRS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used herein, the term “taxable U.S. shareholder” means a taxable beneficial owner of our common or preferred shares that for U.S. federal income tax purposes is</w:t>
      </w:r>
    </w:p>
    <w:p>
      <w:pPr>
        <w:spacing w:after="0" w:line="172" w:lineRule="exact"/>
        <w:rPr>
          <w:sz w:val="20"/>
          <w:szCs w:val="20"/>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211"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211" w:lineRule="exact"/>
        <w:rPr>
          <w:rFonts w:ascii="Arial" w:cs="Arial" w:eastAsia="Arial" w:hAnsi="Arial"/>
          <w:sz w:val="18"/>
          <w:szCs w:val="18"/>
          <w:color w:val="auto"/>
        </w:rPr>
      </w:pPr>
    </w:p>
    <w:p>
      <w:pPr>
        <w:ind w:left="900" w:right="660" w:hanging="446"/>
        <w:spacing w:after="0" w:line="332" w:lineRule="auto"/>
        <w:tabs>
          <w:tab w:leader="none" w:pos="9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 trust if (A) a U.S. court is able to exercise primary supervision over the administration of such trust and one or more U.S. persons have the authority to control all substantial decisions of the trust, or (B) it has a valid election in effect to be treated as a U.S. person.</w:t>
      </w:r>
    </w:p>
    <w:p>
      <w:pPr>
        <w:spacing w:after="0" w:line="85"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If a partnership, including an entity or arrangement that is treated as a partnership for U.S. federal income tax purposes, is a beneficial owner of our shares, the treatment of a partner in the partnership will generally depend on the status of the partner and the activities of the partnership.</w:t>
      </w:r>
    </w:p>
    <w:p>
      <w:pPr>
        <w:spacing w:after="0" w:line="85"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our depositary receipts.</w:t>
      </w:r>
    </w:p>
    <w:p>
      <w:pPr>
        <w:spacing w:after="0" w:line="6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i w:val="1"/>
          <w:iCs w:val="1"/>
          <w:color w:val="auto"/>
        </w:rPr>
        <w:t xml:space="preserve">Dividends and Other Taxable U.S. Shareholder Distributions. </w:t>
      </w:r>
      <w:r>
        <w:rPr>
          <w:rFonts w:ascii="Arial" w:cs="Arial" w:eastAsia="Arial" w:hAnsi="Arial"/>
          <w:sz w:val="18"/>
          <w:szCs w:val="18"/>
          <w:color w:val="auto"/>
        </w:rPr>
        <w:t>As long as we qualify as a REIT, a taxable U.S. shareholder must take into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on our common or preferred shares out of our current or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15% tax rate (applicable to tax years through 2010) for “qualified dividend income.”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determining the extent to which a distribution constitutes a dividend for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18"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shares. See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ordinary income or capital gain dividends.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Taxation of Taxable U.S. Shareholders on the Disposition of Our Shares. </w:t>
      </w:r>
      <w:r>
        <w:rPr>
          <w:rFonts w:ascii="Arial" w:cs="Arial" w:eastAsia="Arial" w:hAnsi="Arial"/>
          <w:sz w:val="16"/>
          <w:szCs w:val="16"/>
          <w:color w:val="auto"/>
        </w:rPr>
        <w:t>In general, a taxable U.S. shareholder who is not a dealer in securities must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 any gain or loss realized upon a taxable disposition of our common or preferred shares as long-term capital gain or loss if the taxable U.S. shareholder has held the shares for more than one year and otherwise as short-term capital gain or loss. However, a taxable U.S. shareholder must treat any loss upon a sale or exchange 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 All or a portion of any loss a taxable U.S. shareholder realizes upon a taxable disposition of the common or preferred shares may be disallowed if the taxable U.S. shareholder purchases substantially identical shares within the 61-day period beginning 30 days before and ending 30 days after the disposition.</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Capital Gains and Losses. </w:t>
      </w:r>
      <w:r>
        <w:rPr>
          <w:rFonts w:ascii="Arial" w:cs="Arial" w:eastAsia="Arial" w:hAnsi="Arial"/>
          <w:sz w:val="18"/>
          <w:szCs w:val="18"/>
          <w:color w:val="auto"/>
        </w:rPr>
        <w:t>A taxpayer generally must hold a capital asset for more than one year for gain or loss derived from its sale or exchange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treated as long-term capital gain or loss. The highest marginal individual income tax rate on ordinary income significantly exceeds the maximum tax rate on long-term capital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10" w:lineRule="auto"/>
        <w:rPr>
          <w:sz w:val="20"/>
          <w:szCs w:val="20"/>
          <w:color w:val="auto"/>
        </w:rPr>
      </w:pPr>
      <w:r>
        <w:rPr>
          <w:rFonts w:ascii="Arial" w:cs="Arial" w:eastAsia="Arial" w:hAnsi="Arial"/>
          <w:sz w:val="15"/>
          <w:szCs w:val="15"/>
          <w:color w:val="auto"/>
        </w:rPr>
        <w:t>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 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The characterization of income as capital gain or ordinary income may also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0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Redemption of Preferred Shares for Cash. </w:t>
      </w:r>
      <w:r>
        <w:rPr>
          <w:rFonts w:ascii="Arial" w:cs="Arial" w:eastAsia="Arial" w:hAnsi="Arial"/>
          <w:sz w:val="16"/>
          <w:szCs w:val="16"/>
          <w:color w:val="auto"/>
        </w:rPr>
        <w:t>The treatment accorded to any redemption by us for cash (as distinguished from a sale, exchange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 (i) 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2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 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w:t>
      </w:r>
    </w:p>
    <w:p>
      <w:pPr>
        <w:spacing w:after="0" w:line="118"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The Treasury is considering other methods for basis recovery, and new regulations addressing this treatment recently were proposed. There can be no assurance, however, that the proposed regulations will be adopted or that they will be adopted in the form currently proposed, and the existing methods for recovering adjusted tax basis continue to apply. We urge you to consult your tax advisor concerning the treatment of a cash redemption of our preferred shares.</w:t>
      </w:r>
    </w:p>
    <w:p>
      <w:pPr>
        <w:spacing w:after="0" w:line="8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b w:val="1"/>
          <w:bCs w:val="1"/>
          <w:i w:val="1"/>
          <w:iCs w:val="1"/>
          <w:color w:val="auto"/>
        </w:rPr>
        <w:t xml:space="preserve">Redemption or Conversion of Preferred Shares to Common Shares. </w:t>
      </w:r>
      <w:r>
        <w:rPr>
          <w:rFonts w:ascii="Arial" w:cs="Arial" w:eastAsia="Arial" w:hAnsi="Arial"/>
          <w:sz w:val="16"/>
          <w:szCs w:val="16"/>
          <w:color w:val="auto"/>
        </w:rPr>
        <w:t>Assuming that preferred shares will not be redeemed or converted at a time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are distributions in arrears, in general, no gain or loss will be recognized for federal income tax purposes upon the redemption or conversion of our preferred shares at the option of the holder solely into common shares. The basis that a taxable U.S. shareholder will have for tax</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13"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Adjustments to Conversion Price. </w:t>
      </w:r>
      <w:r>
        <w:rPr>
          <w:rFonts w:ascii="Arial" w:cs="Arial" w:eastAsia="Arial" w:hAnsi="Arial"/>
          <w:sz w:val="16"/>
          <w:szCs w:val="16"/>
          <w:color w:val="auto"/>
        </w:rPr>
        <w:t>Under Section 305 of the Code, holders of preferred shares may be deemed to have received a constructive distribution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 shares that is taxable as a dividend where the conversion ratio is adjusted to reflect a cash or property distribution with respect to the common shares into which it is convertible. An adjustment to the conversion price made pursuant to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reasonable adjustment formula that has the effect of preventing dilution of the interest of the holders, however, will generally not be considered to result in a constructive distribution of shares. Certain of the possible adjustments that may be provided in issuances of our preferred shares may not qualify as being pursuant to a </w:t>
      </w:r>
      <w:r>
        <w:rPr>
          <w:rFonts w:ascii="Arial" w:cs="Arial" w:eastAsia="Arial" w:hAnsi="Arial"/>
          <w:sz w:val="16"/>
          <w:szCs w:val="16"/>
          <w:i w:val="1"/>
          <w:iCs w:val="1"/>
          <w:color w:val="auto"/>
        </w:rPr>
        <w:t>bona fide</w:t>
      </w:r>
      <w:r>
        <w:rPr>
          <w:rFonts w:ascii="Arial" w:cs="Arial" w:eastAsia="Arial" w:hAnsi="Arial"/>
          <w:sz w:val="16"/>
          <w:szCs w:val="16"/>
          <w:color w:val="auto"/>
        </w:rPr>
        <w:t>, reasonable adjustment formula. In such a case, if a nonqualifying adjustment were made, the holders of preferred shares might be deemed to have received a taxable stock dividend.</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b w:val="1"/>
          <w:bCs w:val="1"/>
          <w:i w:val="1"/>
          <w:iCs w:val="1"/>
          <w:color w:val="auto"/>
        </w:rPr>
        <w:t xml:space="preserve">Passive Activity and Investment Income Limitations. </w:t>
      </w:r>
      <w:r>
        <w:rPr>
          <w:rFonts w:ascii="Arial" w:cs="Arial" w:eastAsia="Arial" w:hAnsi="Arial"/>
          <w:sz w:val="16"/>
          <w:szCs w:val="16"/>
          <w:color w:val="auto"/>
        </w:rPr>
        <w:t>Distributions from us and gain from the disposition of our common or preferred shares will not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treated as passive activity income and, therefore, taxable U.S. shareholders will not be able to apply any passive activity losses against such income. Dividends from us (to the extent they do not constitute a return of capital or capital gain dividends) and, on an elective basis, capital gain dividends and gain from the disposition of common or preferred shares generally will be treated as investment income for purposes of the investment income limitation.</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Current Tax Rates. </w:t>
      </w:r>
      <w:r>
        <w:rPr>
          <w:rFonts w:ascii="Arial" w:cs="Arial" w:eastAsia="Arial" w:hAnsi="Arial"/>
          <w:sz w:val="16"/>
          <w:szCs w:val="16"/>
          <w:color w:val="auto"/>
        </w:rPr>
        <w:t>The maximum tax rate on the long-term capital gains of domestic non-corporate taxpayers is 15% for taxable years beginning 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before December 31, 2010. The tax rate on “qualified dividend income” is the same as the maximum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with respect to non-corporate taxpayers, the 15% rate does generally apply to:</w:t>
      </w:r>
    </w:p>
    <w:p>
      <w:pPr>
        <w:spacing w:after="0" w:line="156" w:lineRule="exact"/>
        <w:rPr>
          <w:sz w:val="20"/>
          <w:szCs w:val="20"/>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211"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211"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Without legislation, for non-corporate taxpayers the maximum tax rate on long-term capital gains will increase to 20% in 2011, and qualified dividend income will no longer be taxed at a preferential rate compared to ordinary income.</w:t>
      </w:r>
    </w:p>
    <w:p>
      <w:pPr>
        <w:spacing w:after="0" w:line="132"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b w:val="1"/>
          <w:bCs w:val="1"/>
          <w:i w:val="1"/>
          <w:iCs w:val="1"/>
          <w:color w:val="auto"/>
        </w:rPr>
        <w:t xml:space="preserve">Information Reporting and Backup Withholding. </w:t>
      </w:r>
      <w:r>
        <w:rPr>
          <w:rFonts w:ascii="Arial" w:cs="Arial" w:eastAsia="Arial" w:hAnsi="Arial"/>
          <w:sz w:val="16"/>
          <w:szCs w:val="16"/>
          <w:color w:val="auto"/>
        </w:rPr>
        <w:t>Taxable U.S. shareholders that are “exempt recipients” (such as corporations) generally will not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U.S. backup withholding and related information reporting on payments of dividends on, and the proceeds from the disposition of, our common or preferred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(other than an exempt recipient) may be subject to backup withholding (currently at the rate of 28%) with respect to dividends unless such holder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17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169"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211"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172" w:lineRule="exact"/>
        <w:rPr>
          <w:rFonts w:ascii="Arial" w:cs="Arial" w:eastAsia="Arial" w:hAnsi="Arial"/>
          <w:sz w:val="18"/>
          <w:szCs w:val="18"/>
          <w:color w:val="auto"/>
        </w:rPr>
      </w:pPr>
    </w:p>
    <w:p>
      <w:pPr>
        <w:ind w:left="900" w:right="500" w:hanging="446"/>
        <w:spacing w:after="0" w:line="332" w:lineRule="auto"/>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8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our shareholders. Thus, such entities will, after satisfying filing requirements, be allowed a credit or refund of the tax deemed paid by such entities in respect of such includible gains.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rules governing U.S. federal income taxation of non-U.S. shareholders (defined below) are complex. This section is only a summary of such rules. We urge non-U.S. shareholders to consult their own tax advisors to determine the impact of federal, state, and local income tax laws on ownership of common or preferred shares, including any reporting requirements. As used herein, the term “non-U.S. shareholder” means any beneficial owner of our shares (other than a partnership or entity that is treated as a partnership for U.S. federal income tax purposes) that is not a taxable U.S. shareholder or exempt organization.</w:t>
      </w:r>
    </w:p>
    <w:p>
      <w:pPr>
        <w:spacing w:after="0" w:line="107" w:lineRule="exact"/>
        <w:rPr>
          <w:sz w:val="20"/>
          <w:szCs w:val="20"/>
          <w:color w:val="auto"/>
        </w:rPr>
      </w:pPr>
    </w:p>
    <w:p>
      <w:pPr>
        <w:ind w:right="140" w:firstLine="456"/>
        <w:spacing w:after="0" w:line="307" w:lineRule="auto"/>
        <w:rPr>
          <w:sz w:val="20"/>
          <w:szCs w:val="20"/>
          <w:color w:val="auto"/>
        </w:rPr>
      </w:pPr>
      <w:r>
        <w:rPr>
          <w:rFonts w:ascii="Arial" w:cs="Arial" w:eastAsia="Arial" w:hAnsi="Arial"/>
          <w:sz w:val="15"/>
          <w:szCs w:val="15"/>
          <w:b w:val="1"/>
          <w:bCs w:val="1"/>
          <w:i w:val="1"/>
          <w:iCs w:val="1"/>
          <w:color w:val="auto"/>
        </w:rPr>
        <w:t>Ordinary Dividends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 non-U.S. shareholder that receives a distribution that is not attributable to gain from our sale or exchange of “U.S. real property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interests” (as defined below) and that we do not designate as a capital gain dividend or retained capital gain will recognize ordinary income to the extent that we pay such distribution out of our current or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If a distribution is treated as effectively connected with the non-U.S. shareholder’s conduct of a U.S. trade or business, however,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rate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to us evidencing eligibility for that reduced rate, (ii) the non-U.S. shareholder timely provides an IRS Form W-8ECI to us claiming that the distribution is effectively connected income, or (iii) the non-U.S. shareholder holds shares through a “qualified intermediary” that has elected to perform any necessary withholding itself.</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Return of Capital</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non-U.S. shareholder will not incur tax on a distribution to the extent it exceeds our current and accumulated earnings and profits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an ordinary dividend. However, a non-U.S. shareholder may obtain a refund of amounts that we withhold if we later determine that a distribution in fact exceeded our current and accumulated earnings and profits.</w:t>
      </w:r>
    </w:p>
    <w:p>
      <w:pPr>
        <w:spacing w:after="0" w:line="112" w:lineRule="exact"/>
        <w:rPr>
          <w:sz w:val="20"/>
          <w:szCs w:val="20"/>
          <w:color w:val="auto"/>
        </w:rPr>
      </w:pPr>
    </w:p>
    <w:p>
      <w:pPr>
        <w:jc w:val="both"/>
        <w:ind w:right="120" w:firstLine="456"/>
        <w:spacing w:after="0" w:line="301" w:lineRule="auto"/>
        <w:rPr>
          <w:sz w:val="20"/>
          <w:szCs w:val="20"/>
          <w:color w:val="auto"/>
        </w:rPr>
      </w:pPr>
      <w:r>
        <w:rPr>
          <w:rFonts w:ascii="Arial" w:cs="Arial" w:eastAsia="Arial" w:hAnsi="Arial"/>
          <w:sz w:val="16"/>
          <w:szCs w:val="16"/>
          <w:b w:val="1"/>
          <w:bCs w:val="1"/>
          <w:i w:val="1"/>
          <w:iCs w:val="1"/>
          <w:color w:val="auto"/>
        </w:rPr>
        <w:t>Capital Gain Dividends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Provided that a particular class of our shares is “regularly traded” on an established securities market in the United States,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non-U.S. shareholder does not own more than 5%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0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the foregoing exceptions do not apply, for example because the non-U.S. shareholder owns more than 5% of the relevant class of our shares, the non-U.S. shareholder will incur tax on distributions that are attributable to gain from our sale or exchange of “U.S. real property interests” under the provisions of the Foreign Investment 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Real Property Tax Act of 1980 (“FIRPTA”).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not entitled to treaty relief or exemption also may be subject to the 30% branch profits tax on distributions subject to FIRPTA. We must withhold 35%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make-up the 35% FIRPTA withholding from distributions made after the designation, until the amount of distributions withheld at 35% equals the amount of the distribution designated as a capital gain dividend. A non-U.S. shareholder may receive a credit against its FIRPTA tax liability for the amount we withhold.</w:t>
      </w:r>
    </w:p>
    <w:p>
      <w:pPr>
        <w:spacing w:after="0" w:line="12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34"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i w:val="1"/>
          <w:iCs w:val="1"/>
          <w:color w:val="auto"/>
        </w:rPr>
        <w:t>Sale of Shares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non-U.S. shareholder generally will not incur tax under FIRPTA on gain from the sale of its common or preferred shares as long as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a domestically controlled REIT. A “domestically controlled” REIT is a REIT in which at all times during a specified testing period non-U.S. persons held, directly or indirectly, less than 50% in value of our shares. We anticipate that we will continue to be a domestically controlled REIT, but there is no assurance that we will continue to be so. In addition, a non-U.S. shareholder that owns, actually or constructively, 5% or less of a class of our of outstanding shares at all times during a specified testing period will not incur tax under FIRPTA on a sale of such shares if the shares are “regularly traded” on an established securities market. If neither of these exceptions were to apply, (i) the gain on the sale of the common or preferred shares would be taxed under FIRPTA, in which case a non-U.S. shareholder would be required to file a U.S. federal income tax return and would be taxed in the same manner as taxable U.S. shareholders with respect to such gain (subject to applicable alternative minimum tax and a special alternative minimum tax in the case of nonresident alien individuals), and (ii) if the shares sold were not regularly traded on an established securities market or we were not a domestically-controlled REIT, the purchaser of the shares may be required to withhold and remit to the IRS 10% of the purchase price. Additionally, a corporate non-U.S. shareholder may also be subject to the 30% branch profits tax on gains from the sale of shares taxed under FIRPTA.</w:t>
      </w:r>
    </w:p>
    <w:p>
      <w:pPr>
        <w:spacing w:after="0" w:line="12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18"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b w:val="1"/>
          <w:bCs w:val="1"/>
          <w:i w:val="1"/>
          <w:iCs w:val="1"/>
          <w:color w:val="auto"/>
        </w:rPr>
        <w:t xml:space="preserve">Wash Sales. </w:t>
      </w:r>
      <w:r>
        <w:rPr>
          <w:rFonts w:ascii="Arial" w:cs="Arial" w:eastAsia="Arial" w:hAnsi="Arial"/>
          <w:sz w:val="16"/>
          <w:szCs w:val="16"/>
          <w:color w:val="auto"/>
        </w:rPr>
        <w:t>In general, special wash sale rules apply if a shareholder owning more than 5% of our common or preferred shares avoids a taxable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distribution of gain 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26" w:lineRule="exact"/>
        <w:rPr>
          <w:sz w:val="20"/>
          <w:szCs w:val="20"/>
          <w:color w:val="auto"/>
        </w:rPr>
      </w:pPr>
    </w:p>
    <w:p>
      <w:pPr>
        <w:jc w:val="both"/>
        <w:ind w:right="20" w:firstLine="456"/>
        <w:spacing w:after="0" w:line="258" w:lineRule="auto"/>
        <w:rPr>
          <w:sz w:val="20"/>
          <w:szCs w:val="20"/>
          <w:color w:val="auto"/>
        </w:rPr>
      </w:pPr>
      <w:r>
        <w:rPr>
          <w:rFonts w:ascii="Arial" w:cs="Arial" w:eastAsia="Arial" w:hAnsi="Arial"/>
          <w:sz w:val="18"/>
          <w:szCs w:val="18"/>
          <w:b w:val="1"/>
          <w:bCs w:val="1"/>
          <w:i w:val="1"/>
          <w:iCs w:val="1"/>
          <w:color w:val="auto"/>
        </w:rPr>
        <w:t>Information Reporting and Backup Withholding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must report annually to the IRS and to each non-U.S. shareholder the amount of distributions paid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4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Backup withholding (currently at the rate of 28%) and additional information reporting will generally not apply to distributions to a non-U.S. shareholder provided that the non-U.S. shareholder certifies under penalty of perjury that the shareholder is a non-U.S. shareholder, or otherwise establishes an exemption.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183" w:lineRule="exact"/>
        <w:rPr>
          <w:sz w:val="20"/>
          <w:szCs w:val="20"/>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211" w:lineRule="exact"/>
        <w:rPr>
          <w:rFonts w:ascii="Arial" w:cs="Arial" w:eastAsia="Arial" w:hAnsi="Arial"/>
          <w:sz w:val="18"/>
          <w:szCs w:val="18"/>
          <w:color w:val="auto"/>
        </w:rPr>
      </w:pPr>
    </w:p>
    <w:p>
      <w:pPr>
        <w:ind w:left="900" w:right="700" w:hanging="446"/>
        <w:spacing w:after="0" w:line="268"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stockholders that are United States persons) for U.S. tax purposes; or</w:t>
      </w:r>
    </w:p>
    <w:p>
      <w:pPr>
        <w:spacing w:after="0" w:line="172" w:lineRule="exact"/>
        <w:rPr>
          <w:rFonts w:ascii="Arial" w:cs="Arial" w:eastAsia="Arial" w:hAnsi="Arial"/>
          <w:sz w:val="18"/>
          <w:szCs w:val="18"/>
          <w:color w:val="auto"/>
        </w:rPr>
      </w:pPr>
    </w:p>
    <w:p>
      <w:pPr>
        <w:ind w:left="900" w:right="440" w:hanging="446"/>
        <w:spacing w:after="0" w:line="268"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interests are held by U.S. persons or if it is engaged in the conduct of a trade or business in the U.S.,</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unless the broker has documentary evidence in its records that the holder or beneficial owner is a non-U.S. shareholder and certain other conditions are met, or the shareholder otherwise establishes an exemption. 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supplied to the IRS.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Considerations</w:t>
      </w:r>
    </w:p>
    <w:p>
      <w:pPr>
        <w:spacing w:after="0" w:line="171" w:lineRule="exact"/>
        <w:rPr>
          <w:sz w:val="20"/>
          <w:szCs w:val="20"/>
          <w:color w:val="auto"/>
        </w:rPr>
      </w:pPr>
    </w:p>
    <w:p>
      <w:pPr>
        <w:ind w:right="160" w:firstLine="456"/>
        <w:spacing w:after="0" w:line="339" w:lineRule="auto"/>
        <w:rPr>
          <w:sz w:val="20"/>
          <w:szCs w:val="20"/>
          <w:color w:val="auto"/>
        </w:rPr>
      </w:pPr>
      <w:r>
        <w:rPr>
          <w:rFonts w:ascii="Arial" w:cs="Arial" w:eastAsia="Arial" w:hAnsi="Arial"/>
          <w:sz w:val="15"/>
          <w:szCs w:val="15"/>
          <w:b w:val="1"/>
          <w:bCs w:val="1"/>
          <w:i w:val="1"/>
          <w:iCs w:val="1"/>
          <w:color w:val="auto"/>
        </w:rPr>
        <w:t>State and Local Taxes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and/or you may be subject to state and local tax in various states and localities, including those states and localities in which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or you transact business, own property or reside. The state and local tax treatment in such jurisdictions may differ from the federal income tax treatment described above. Consequently, you should consult your own tax advisor regarding the effect of state and local tax laws upon an investment in our securities.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sell the securities being offered by this prospectus in one or more of the following ways from time to time: (1) through underwriters or dealers;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 through agents; (3) in “at the market offerings” to or through a market maker or into an existing trading market or securities exchange or otherwise;</w:t>
      </w:r>
    </w:p>
    <w:p>
      <w:pPr>
        <w:spacing w:after="0" w:line="32" w:lineRule="exact"/>
        <w:rPr>
          <w:sz w:val="20"/>
          <w:szCs w:val="20"/>
          <w:color w:val="auto"/>
        </w:rPr>
      </w:pPr>
    </w:p>
    <w:p>
      <w:pPr>
        <w:ind w:right="40" w:firstLine="8"/>
        <w:spacing w:after="0" w:line="295" w:lineRule="auto"/>
        <w:tabs>
          <w:tab w:leader="none" w:pos="249" w:val="left"/>
        </w:tabs>
        <w:numPr>
          <w:ilvl w:val="0"/>
          <w:numId w:val="76"/>
        </w:numPr>
        <w:rPr>
          <w:rFonts w:ascii="Arial" w:cs="Arial" w:eastAsia="Arial" w:hAnsi="Arial"/>
          <w:sz w:val="16"/>
          <w:szCs w:val="16"/>
          <w:color w:val="auto"/>
        </w:rPr>
      </w:pPr>
      <w:r>
        <w:rPr>
          <w:rFonts w:ascii="Arial" w:cs="Arial" w:eastAsia="Arial" w:hAnsi="Arial"/>
          <w:sz w:val="16"/>
          <w:szCs w:val="16"/>
          <w:color w:val="auto"/>
        </w:rPr>
        <w:t>directly to purchasers or shareholders, (5) through a combination of any of these methods of sale or (6) through any other legally available means. In addition, the sales will be made at market prices prevailing at the time of sale, at prices related to such prevailing market prices, at a fixed price or prices, which may be changed or at negotiated prices.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methods by which we may distribute securities include:</w:t>
      </w:r>
    </w:p>
    <w:p>
      <w:pPr>
        <w:spacing w:after="0" w:line="212" w:lineRule="exact"/>
        <w:rPr>
          <w:sz w:val="20"/>
          <w:szCs w:val="20"/>
          <w:color w:val="auto"/>
        </w:rPr>
      </w:pPr>
    </w:p>
    <w:p>
      <w:pPr>
        <w:ind w:left="900" w:right="320" w:hanging="446"/>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purchases by a dealer as principal and resale by such dealer for its account pursuant to this prospectus or any prospectus supplement;</w:t>
      </w:r>
    </w:p>
    <w:p>
      <w:pPr>
        <w:spacing w:after="0" w:line="234" w:lineRule="exact"/>
        <w:rPr>
          <w:rFonts w:ascii="Arial" w:cs="Arial" w:eastAsia="Arial" w:hAnsi="Arial"/>
          <w:sz w:val="16"/>
          <w:szCs w:val="16"/>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ordinary broker transactions and transactions in which the broker solicits purchasers;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171"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0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payable for solicitation of such contracts. The obligations of any purchaser under any such contract will be subject to the condition that the purchase of the securities shall not be prohibited at the time of delivery under the laws of the jurisdiction to which the purchaser is subject. The underwriters and other agents will not have any responsibility in respect of the validity or performance of such contracts.</w:t>
      </w:r>
    </w:p>
    <w:p>
      <w:pPr>
        <w:spacing w:after="0" w:line="14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securities may or may not be listed on a national securities exchange or traded in the over-the-counter market (other than the common shares, which are quoted on the New York Stock Exchange). No assurance can be given as to the liquidity of the trading market for any such securities.</w:t>
      </w:r>
    </w:p>
    <w:p>
      <w:pPr>
        <w:spacing w:after="0" w:line="85"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If underwriters or dealers are used in the sale, until the distribution of the securities is completed, SEC rules may limit the ability of any such underwriters and selling group members to bid for and purchase the securities. As an 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2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Certain of the underwriters or agents and their affiliates may engage in transactions with and perform services for us or our affiliates in the ordinary course of their respective businesses.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validity of the offered securities and the accuracy of the discussion under “Material Federal Income Tax Considerations”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The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 in giving said reports.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at the SEC’s Public Reference Room at 100 F Street, N.E., Washington, D.C. 20549. 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currently located at 20 Broad Street, New York, NY 10005.</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with the SEC under Sections 13(a), 13(c), 14, or 15(d) of the Exchange Act (File No. 1-07533) from the date of this prospectus until the termination of the offering of the securities described in this prospectus or the expiration of the registration statement.</w:t>
      </w:r>
    </w:p>
    <w:p>
      <w:pPr>
        <w:spacing w:after="0" w:line="160" w:lineRule="exact"/>
        <w:rPr>
          <w:sz w:val="20"/>
          <w:szCs w:val="20"/>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2008, filed with the SEC on February 26,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Definitive Proxy Statement for our 2009 Annual Meeting of Shareholders, filed with the SEC on March 26,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2009, filed with the SEC on May 6,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Current Report on Form 8-K dated January 1, 2009, filed with the SEC on January 5,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Current Report on Form 8-K date February 17, 2009, filed with the SEC on February 20,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Current Report on Form 8-K dated March 16, 2009, filed with the SEC on March 19, 2009;</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Current Report on Form 8-K dated May 6, 2009, filed with the SEC on May 11,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Current Report on Form 8-K dated May 26, 2009, filed with the SEC on May 27,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Current Report on Form 8-K dated June 4, 2009, filed with the SEC on June 5,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Description of our common shares contained in the Registration Statement on Form 8-A/A, filed June 6, 2002; and</w:t>
      </w:r>
    </w:p>
    <w:p>
      <w:pPr>
        <w:spacing w:after="0" w:line="211" w:lineRule="exact"/>
        <w:rPr>
          <w:rFonts w:ascii="Arial" w:cs="Arial" w:eastAsia="Arial" w:hAnsi="Arial"/>
          <w:sz w:val="18"/>
          <w:szCs w:val="18"/>
          <w:color w:val="auto"/>
        </w:rPr>
      </w:pPr>
    </w:p>
    <w:p>
      <w:pPr>
        <w:ind w:left="900" w:hanging="446"/>
        <w:spacing w:after="0" w:line="323" w:lineRule="auto"/>
        <w:tabs>
          <w:tab w:leader="none" w:pos="900" w:val="left"/>
        </w:tabs>
        <w:numPr>
          <w:ilvl w:val="0"/>
          <w:numId w:val="79"/>
        </w:numPr>
        <w:rPr>
          <w:rFonts w:ascii="Arial" w:cs="Arial" w:eastAsia="Arial" w:hAnsi="Arial"/>
          <w:sz w:val="15"/>
          <w:szCs w:val="15"/>
          <w:color w:val="auto"/>
        </w:rPr>
      </w:pPr>
      <w:r>
        <w:rPr>
          <w:rFonts w:ascii="Arial" w:cs="Arial" w:eastAsia="Arial" w:hAnsi="Arial"/>
          <w:sz w:val="15"/>
          <w:szCs w:val="15"/>
          <w:color w:val="auto"/>
        </w:rPr>
        <w:t>Description of our Common Share Purchase Rights included in the Registration Statement on Form 8-A/A, filed March 11, 1999, in the First Amendment to Amended and Restated Rights Agreement, dated as of November 23, 2003 and filed as an exhibit to the Annual Report on Form 10-K for the year ended December 31, 2003, and in the Second Amendment to Amended and Restated Rights Agreement, dated as of March 16, 2009 and filed as an exhibit to our Current Report on Form 8-K filed on March 19, 2009, each between us and American Stock Transfer &amp; Trust Company.</w:t>
      </w:r>
    </w:p>
    <w:p>
      <w:pPr>
        <w:spacing w:after="0" w:line="9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have filed with the SEC a registration statement, of which this prospectus is a part, with respect to the securities to be offered by this prospectus. This prospectus and any accompanying prospectus supplement do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and any accompanying prospectus supplement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2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 xml:space="preserve">Copies of our SEC filings are available at no cost at our website, </w:t>
      </w:r>
      <w:r>
        <w:rPr>
          <w:rFonts w:ascii="Arial" w:cs="Arial" w:eastAsia="Arial" w:hAnsi="Arial"/>
          <w:sz w:val="16"/>
          <w:szCs w:val="16"/>
          <w:i w:val="1"/>
          <w:iCs w:val="1"/>
          <w:color w:val="auto"/>
        </w:rPr>
        <w:t>www.federalrealty.com</w:t>
      </w:r>
      <w:r>
        <w:rPr>
          <w:rFonts w:ascii="Arial" w:cs="Arial" w:eastAsia="Arial" w:hAnsi="Arial"/>
          <w:sz w:val="16"/>
          <w:szCs w:val="16"/>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998-8100</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where the offer is prohibited by law. You should not assume that the information in this prospectus, any prospectus supplement or any incorporated document is accurate as of any date other than the date of the document.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4840"/>
        <w:spacing w:after="0"/>
        <w:rPr>
          <w:sz w:val="20"/>
          <w:szCs w:val="20"/>
          <w:color w:val="auto"/>
        </w:rPr>
      </w:pPr>
      <w:r>
        <w:rPr>
          <w:rFonts w:ascii="Arial" w:cs="Arial" w:eastAsia="Arial" w:hAnsi="Arial"/>
          <w:sz w:val="24"/>
          <w:szCs w:val="24"/>
          <w:b w:val="1"/>
          <w:bCs w:val="1"/>
          <w:color w:val="auto"/>
        </w:rPr>
        <w:t>1,735,000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ind w:right="1879"/>
        <w:spacing w:after="0"/>
        <w:rPr>
          <w:sz w:val="20"/>
          <w:szCs w:val="20"/>
          <w:color w:val="auto"/>
        </w:rPr>
      </w:pPr>
      <w:r>
        <w:rPr>
          <w:rFonts w:ascii="Arial" w:cs="Arial" w:eastAsia="Arial" w:hAnsi="Arial"/>
          <w:sz w:val="32"/>
          <w:szCs w:val="32"/>
          <w:b w:val="1"/>
          <w:bCs w:val="1"/>
          <w:color w:val="auto"/>
        </w:rPr>
        <w:t>Common Shares of Beneficial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212725</wp:posOffset>
            </wp:positionV>
            <wp:extent cx="22809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109220</wp:posOffset>
            </wp:positionV>
            <wp:extent cx="22809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Wells Fargo Securities</w:t>
      </w:r>
    </w:p>
    <w:p>
      <w:pPr>
        <w:spacing w:after="0" w:line="33"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J.P. Morgan</w:t>
      </w:r>
    </w:p>
    <w:p>
      <w:pPr>
        <w:spacing w:after="0" w:line="123"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RBC Capital Markets</w:t>
      </w:r>
    </w:p>
    <w:p>
      <w:pPr>
        <w:spacing w:after="0" w:line="4"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Raymond James</w:t>
      </w:r>
    </w:p>
    <w:p>
      <w:pPr>
        <w:jc w:val="center"/>
        <w:ind w:right="-1220"/>
        <w:spacing w:after="0" w:line="230" w:lineRule="auto"/>
        <w:rPr>
          <w:sz w:val="20"/>
          <w:szCs w:val="20"/>
          <w:color w:val="auto"/>
        </w:rPr>
      </w:pPr>
      <w:r>
        <w:rPr>
          <w:rFonts w:ascii="Arial" w:cs="Arial" w:eastAsia="Arial" w:hAnsi="Arial"/>
          <w:sz w:val="22"/>
          <w:szCs w:val="22"/>
          <w:b w:val="1"/>
          <w:bCs w:val="1"/>
          <w:color w:val="auto"/>
        </w:rPr>
        <w:t>Robert W. Baird &amp; Co.</w:t>
      </w:r>
    </w:p>
    <w:p>
      <w:pPr>
        <w:jc w:val="center"/>
        <w:ind w:right="-1220"/>
        <w:spacing w:after="0" w:line="231" w:lineRule="auto"/>
        <w:rPr>
          <w:sz w:val="20"/>
          <w:szCs w:val="20"/>
          <w:color w:val="auto"/>
        </w:rPr>
      </w:pPr>
      <w:r>
        <w:rPr>
          <w:rFonts w:ascii="Arial" w:cs="Arial" w:eastAsia="Arial" w:hAnsi="Arial"/>
          <w:sz w:val="22"/>
          <w:szCs w:val="22"/>
          <w:b w:val="1"/>
          <w:bCs w:val="1"/>
          <w:color w:val="auto"/>
        </w:rPr>
        <w:t>Janney Montgomery Scott</w:t>
      </w:r>
    </w:p>
    <w:p>
      <w:pPr>
        <w:jc w:val="center"/>
        <w:ind w:right="-1220"/>
        <w:spacing w:after="0"/>
        <w:rPr>
          <w:sz w:val="20"/>
          <w:szCs w:val="20"/>
          <w:color w:val="auto"/>
        </w:rPr>
      </w:pPr>
      <w:r>
        <w:rPr>
          <w:rFonts w:ascii="Arial" w:cs="Arial" w:eastAsia="Arial" w:hAnsi="Arial"/>
          <w:sz w:val="22"/>
          <w:szCs w:val="22"/>
          <w:b w:val="1"/>
          <w:bCs w:val="1"/>
          <w:color w:val="auto"/>
        </w:rPr>
        <w:t>Morgan Keegan &amp; Company, Inc.</w:t>
      </w:r>
    </w:p>
    <w:p>
      <w:pPr>
        <w:spacing w:after="0" w:line="128"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August 11,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517796"/>
    <w:multiLevelType w:val="hybridMultilevel"/>
    <w:lvl w:ilvl="0">
      <w:lvlJc w:val="left"/>
      <w:lvlText w:val="(%1)"/>
      <w:numFmt w:val="decimal"/>
      <w:start w:val="1"/>
    </w:lvl>
  </w:abstractNum>
  <w:abstractNum w:abstractNumId="1">
    <w:nsid w:val="580BD78F"/>
    <w:multiLevelType w:val="hybridMultilevel"/>
    <w:lvl w:ilvl="0">
      <w:lvlJc w:val="left"/>
      <w:lvlText w:val="•"/>
      <w:numFmt w:val="bullet"/>
      <w:start w:val="1"/>
    </w:lvl>
    <w:lvl w:ilvl="1">
      <w:lvlJc w:val="left"/>
      <w:lvlText w:val="•"/>
      <w:numFmt w:val="bullet"/>
      <w:start w:val="1"/>
    </w:lvl>
  </w:abstractNum>
  <w:abstractNum w:abstractNumId="2">
    <w:nsid w:val="153EA438"/>
    <w:multiLevelType w:val="hybridMultilevel"/>
    <w:lvl w:ilvl="0">
      <w:lvlJc w:val="left"/>
      <w:lvlText w:val="(%1)"/>
      <w:numFmt w:val="decimal"/>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1)"/>
      <w:numFmt w:val="decimal"/>
      <w:start w:val="30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
      <w:numFmt w:val="bullet"/>
      <w:start w:val="1"/>
    </w:lvl>
    <w:lvl w:ilvl="1">
      <w:lvlJc w:val="left"/>
      <w:lvlText w:val="•"/>
      <w:numFmt w:val="bullet"/>
      <w:start w:val="1"/>
    </w:lvl>
  </w:abstractNum>
  <w:abstractNum w:abstractNumId="22">
    <w:nsid w:val="1BA026FA"/>
    <w:multiLevelType w:val="hybridMultilevel"/>
    <w:lvl w:ilvl="0">
      <w:lvlJc w:val="left"/>
      <w:lvlText w:val="•"/>
      <w:numFmt w:val="bullet"/>
      <w:start w:val="1"/>
    </w:lvl>
    <w:lvl w:ilvl="1">
      <w:lvlJc w:val="left"/>
      <w:lvlText w:val="•"/>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1."/>
      <w:numFmt w:val="decimal"/>
      <w:start w:val="1"/>
    </w:lvl>
  </w:abstractNum>
  <w:abstractNum w:abstractNumId="28">
    <w:nsid w:val="374A3FE6"/>
    <w:multiLevelType w:val="hybridMultilevel"/>
    <w:lvl w:ilvl="0">
      <w:lvlJc w:val="left"/>
      <w:lvlText w:val="%1."/>
      <w:numFmt w:val="decimal"/>
      <w:start w:val="2"/>
    </w:lvl>
    <w:lvl w:ilvl="1">
      <w:lvlJc w:val="left"/>
      <w:lvlText w:val="(%2)"/>
      <w:numFmt w:val="lowerLetter"/>
      <w:start w:val="1"/>
    </w:lvl>
  </w:abstractNum>
  <w:abstractNum w:abstractNumId="29">
    <w:nsid w:val="4F4EF005"/>
    <w:multiLevelType w:val="hybridMultilevel"/>
    <w:lvl w:ilvl="0">
      <w:lvlJc w:val="left"/>
      <w:lvlText w:val="%1."/>
      <w:numFmt w:val="decimal"/>
      <w:start w:val="7"/>
    </w:lvl>
    <w:lvl w:ilvl="1">
      <w:lvlJc w:val="left"/>
      <w:lvlText w:val="(%2)"/>
      <w:numFmt w:val="lowerLetter"/>
      <w:start w:val="1"/>
    </w:lvl>
  </w:abstractNum>
  <w:abstractNum w:abstractNumId="30">
    <w:nsid w:val="23F9C13C"/>
    <w:multiLevelType w:val="hybridMultilevel"/>
    <w:lvl w:ilvl="0">
      <w:lvlJc w:val="left"/>
      <w:lvlText w:val="•"/>
      <w:numFmt w:val="bullet"/>
      <w:start w:val="1"/>
    </w:lvl>
  </w:abstractNum>
  <w:abstractNum w:abstractNumId="31">
    <w:nsid w:val="649BB77C"/>
    <w:multiLevelType w:val="hybridMultilevel"/>
    <w:lvl w:ilvl="0">
      <w:lvlJc w:val="left"/>
      <w:lvlText w:val="•"/>
      <w:numFmt w:val="bullet"/>
      <w:start w:val="1"/>
    </w:lvl>
    <w:lvl w:ilvl="1">
      <w:lvlJc w:val="left"/>
      <w:lvlText w:val="•"/>
      <w:numFmt w:val="bullet"/>
      <w:start w:val="1"/>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
      <w:numFmt w:val="bullet"/>
      <w:start w:val="1"/>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
      <w:numFmt w:val="bullet"/>
      <w:start w:val="1"/>
    </w:lvl>
  </w:abstractNum>
  <w:abstractNum w:abstractNumId="37">
    <w:nsid w:val="47398C89"/>
    <w:multiLevelType w:val="hybridMultilevel"/>
    <w:lvl w:ilvl="0">
      <w:lvlJc w:val="left"/>
      <w:lvlText w:val="•"/>
      <w:numFmt w:val="bullet"/>
      <w:start w:val="1"/>
    </w:lvl>
  </w:abstractNum>
  <w:abstractNum w:abstractNumId="38">
    <w:nsid w:val="354FE9F9"/>
    <w:multiLevelType w:val="hybridMultilevel"/>
    <w:lvl w:ilvl="0">
      <w:lvlJc w:val="left"/>
      <w:lvlText w:val="•"/>
      <w:numFmt w:val="bullet"/>
      <w:start w:val="1"/>
    </w:lvl>
  </w:abstractNum>
  <w:abstractNum w:abstractNumId="39">
    <w:nsid w:val="15B5AF5C"/>
    <w:multiLevelType w:val="hybridMultilevel"/>
    <w:lvl w:ilvl="0">
      <w:lvlJc w:val="left"/>
      <w:lvlText w:val="•"/>
      <w:numFmt w:val="bullet"/>
      <w:start w:val="1"/>
    </w:lvl>
  </w:abstractNum>
  <w:abstractNum w:abstractNumId="40">
    <w:nsid w:val="741226BB"/>
    <w:multiLevelType w:val="hybridMultilevel"/>
    <w:lvl w:ilvl="0">
      <w:lvlJc w:val="left"/>
      <w:lvlText w:val="•"/>
      <w:numFmt w:val="bullet"/>
      <w:start w:val="1"/>
    </w:lvl>
  </w:abstractNum>
  <w:abstractNum w:abstractNumId="41">
    <w:nsid w:val="D34B6A8"/>
    <w:multiLevelType w:val="hybridMultilevel"/>
    <w:lvl w:ilvl="0">
      <w:lvlJc w:val="left"/>
      <w:lvlText w:val="•"/>
      <w:numFmt w:val="bullet"/>
      <w:start w:val="1"/>
    </w:lvl>
  </w:abstractNum>
  <w:abstractNum w:abstractNumId="42">
    <w:nsid w:val="10233C99"/>
    <w:multiLevelType w:val="hybridMultilevel"/>
    <w:lvl w:ilvl="0">
      <w:lvlJc w:val="left"/>
      <w:lvlText w:val="•"/>
      <w:numFmt w:val="bullet"/>
      <w:start w:val="1"/>
    </w:lvl>
  </w:abstractNum>
  <w:abstractNum w:abstractNumId="43">
    <w:nsid w:val="3F6AB60F"/>
    <w:multiLevelType w:val="hybridMultilevel"/>
    <w:lvl w:ilvl="0">
      <w:lvlJc w:val="left"/>
      <w:lvlText w:val="•"/>
      <w:numFmt w:val="bullet"/>
      <w:start w:val="1"/>
    </w:lvl>
  </w:abstractNum>
  <w:abstractNum w:abstractNumId="44">
    <w:nsid w:val="61574095"/>
    <w:multiLevelType w:val="hybridMultilevel"/>
    <w:lvl w:ilvl="0">
      <w:lvlJc w:val="left"/>
      <w:lvlText w:val="•"/>
      <w:numFmt w:val="bullet"/>
      <w:start w:val="1"/>
    </w:lvl>
  </w:abstractNum>
  <w:abstractNum w:abstractNumId="45">
    <w:nsid w:val="7E0C57B1"/>
    <w:multiLevelType w:val="hybridMultilevel"/>
    <w:lvl w:ilvl="0">
      <w:lvlJc w:val="left"/>
      <w:lvlText w:val="•"/>
      <w:numFmt w:val="bullet"/>
      <w:start w:val="1"/>
    </w:lvl>
  </w:abstractNum>
  <w:abstractNum w:abstractNumId="46">
    <w:nsid w:val="77AE35EB"/>
    <w:multiLevelType w:val="hybridMultilevel"/>
    <w:lvl w:ilvl="0">
      <w:lvlJc w:val="left"/>
      <w:lvlText w:val="•"/>
      <w:numFmt w:val="bullet"/>
      <w:start w:val="1"/>
    </w:lvl>
  </w:abstractNum>
  <w:abstractNum w:abstractNumId="47">
    <w:nsid w:val="579BE4F1"/>
    <w:multiLevelType w:val="hybridMultilevel"/>
    <w:lvl w:ilvl="0">
      <w:lvlJc w:val="left"/>
      <w:lvlText w:val="•"/>
      <w:numFmt w:val="bullet"/>
      <w:start w:val="1"/>
    </w:lvl>
  </w:abstractNum>
  <w:abstractNum w:abstractNumId="48">
    <w:nsid w:val="310C50B3"/>
    <w:multiLevelType w:val="hybridMultilevel"/>
    <w:lvl w:ilvl="0">
      <w:lvlJc w:val="left"/>
      <w:lvlText w:val="•"/>
      <w:numFmt w:val="bullet"/>
      <w:start w:val="1"/>
    </w:lvl>
  </w:abstractNum>
  <w:abstractNum w:abstractNumId="49">
    <w:nsid w:val="5FF87E05"/>
    <w:multiLevelType w:val="hybridMultilevel"/>
    <w:lvl w:ilvl="0">
      <w:lvlJc w:val="left"/>
      <w:lvlText w:val="•"/>
      <w:numFmt w:val="bullet"/>
      <w:start w:val="1"/>
    </w:lvl>
  </w:abstractNum>
  <w:abstractNum w:abstractNumId="50">
    <w:nsid w:val="2F305DEF"/>
    <w:multiLevelType w:val="hybridMultilevel"/>
    <w:lvl w:ilvl="0">
      <w:lvlJc w:val="left"/>
      <w:lvlText w:val="•"/>
      <w:numFmt w:val="bullet"/>
      <w:start w:val="1"/>
    </w:lvl>
    <w:lvl w:ilvl="1">
      <w:lvlJc w:val="left"/>
      <w:lvlText w:val="•"/>
      <w:numFmt w:val="bullet"/>
      <w:start w:val="1"/>
    </w:lvl>
  </w:abstractNum>
  <w:abstractNum w:abstractNumId="51">
    <w:nsid w:val="25A70BF7"/>
    <w:multiLevelType w:val="hybridMultilevel"/>
    <w:lvl w:ilvl="0">
      <w:lvlJc w:val="left"/>
      <w:lvlText w:val="•"/>
      <w:numFmt w:val="bullet"/>
      <w:start w:val="1"/>
    </w:lvl>
  </w:abstractNum>
  <w:abstractNum w:abstractNumId="52">
    <w:nsid w:val="1DBABF00"/>
    <w:multiLevelType w:val="hybridMultilevel"/>
    <w:lvl w:ilvl="0">
      <w:lvlJc w:val="left"/>
      <w:lvlText w:val="•"/>
      <w:numFmt w:val="bullet"/>
      <w:start w:val="1"/>
    </w:lvl>
  </w:abstractNum>
  <w:abstractNum w:abstractNumId="53">
    <w:nsid w:val="4AD084E9"/>
    <w:multiLevelType w:val="hybridMultilevel"/>
    <w:lvl w:ilvl="0">
      <w:lvlJc w:val="left"/>
      <w:lvlText w:val="•"/>
      <w:numFmt w:val="bullet"/>
      <w:start w:val="1"/>
    </w:lvl>
    <w:lvl w:ilvl="1">
      <w:lvlJc w:val="left"/>
      <w:lvlText w:val="•"/>
      <w:numFmt w:val="bullet"/>
      <w:start w:val="1"/>
    </w:lvl>
  </w:abstractNum>
  <w:abstractNum w:abstractNumId="54">
    <w:nsid w:val="1F48EAA1"/>
    <w:multiLevelType w:val="hybridMultilevel"/>
    <w:lvl w:ilvl="0">
      <w:lvlJc w:val="left"/>
      <w:lvlText w:val="•"/>
      <w:numFmt w:val="bullet"/>
      <w:start w:val="1"/>
    </w:lvl>
  </w:abstractNum>
  <w:abstractNum w:abstractNumId="55">
    <w:nsid w:val="1381823A"/>
    <w:multiLevelType w:val="hybridMultilevel"/>
    <w:lvl w:ilvl="0">
      <w:lvlJc w:val="left"/>
      <w:lvlText w:val="•"/>
      <w:numFmt w:val="bullet"/>
      <w:start w:val="1"/>
    </w:lvl>
  </w:abstractNum>
  <w:abstractNum w:abstractNumId="56">
    <w:nsid w:val="5DB70AE5"/>
    <w:multiLevelType w:val="hybridMultilevel"/>
    <w:lvl w:ilvl="0">
      <w:lvlJc w:val="left"/>
      <w:lvlText w:val="•"/>
      <w:numFmt w:val="bullet"/>
      <w:start w:val="1"/>
    </w:lvl>
  </w:abstractNum>
  <w:abstractNum w:abstractNumId="57">
    <w:nsid w:val="100F8FCA"/>
    <w:multiLevelType w:val="hybridMultilevel"/>
    <w:lvl w:ilvl="0">
      <w:lvlJc w:val="left"/>
      <w:lvlText w:val="•"/>
      <w:numFmt w:val="bullet"/>
      <w:start w:val="1"/>
    </w:lvl>
  </w:abstractNum>
  <w:abstractNum w:abstractNumId="58">
    <w:nsid w:val="6590700B"/>
    <w:multiLevelType w:val="hybridMultilevel"/>
    <w:lvl w:ilvl="0">
      <w:lvlJc w:val="left"/>
      <w:lvlText w:val="•"/>
      <w:numFmt w:val="bullet"/>
      <w:start w:val="1"/>
    </w:lvl>
  </w:abstractNum>
  <w:abstractNum w:abstractNumId="59">
    <w:nsid w:val="15014ACB"/>
    <w:multiLevelType w:val="hybridMultilevel"/>
    <w:lvl w:ilvl="0">
      <w:lvlJc w:val="left"/>
      <w:lvlText w:val="(%1)"/>
      <w:numFmt w:val="lowerRoman"/>
      <w:start w:val="3"/>
    </w:lvl>
  </w:abstractNum>
  <w:abstractNum w:abstractNumId="60">
    <w:nsid w:val="5F5E7FD0"/>
    <w:multiLevelType w:val="hybridMultilevel"/>
    <w:lvl w:ilvl="0">
      <w:lvlJc w:val="left"/>
      <w:lvlText w:val="•"/>
      <w:numFmt w:val="bullet"/>
      <w:start w:val="1"/>
    </w:lvl>
  </w:abstractNum>
  <w:abstractNum w:abstractNumId="61">
    <w:nsid w:val="98A3148"/>
    <w:multiLevelType w:val="hybridMultilevel"/>
    <w:lvl w:ilvl="0">
      <w:lvlJc w:val="left"/>
      <w:lvlText w:val="%1."/>
      <w:numFmt w:val="decimal"/>
      <w:start w:val="1"/>
    </w:lvl>
  </w:abstractNum>
  <w:abstractNum w:abstractNumId="62">
    <w:nsid w:val="799D0247"/>
    <w:multiLevelType w:val="hybridMultilevel"/>
    <w:lvl w:ilvl="0">
      <w:lvlJc w:val="left"/>
      <w:lvlText w:val="•"/>
      <w:numFmt w:val="bullet"/>
      <w:start w:val="1"/>
    </w:lvl>
  </w:abstractNum>
  <w:abstractNum w:abstractNumId="63">
    <w:nsid w:val="6B94764"/>
    <w:multiLevelType w:val="hybridMultilevel"/>
    <w:lvl w:ilvl="0">
      <w:lvlJc w:val="left"/>
      <w:lvlText w:val="•"/>
      <w:numFmt w:val="bullet"/>
      <w:start w:val="1"/>
    </w:lvl>
  </w:abstractNum>
  <w:abstractNum w:abstractNumId="64">
    <w:nsid w:val="42C296BD"/>
    <w:multiLevelType w:val="hybridMultilevel"/>
    <w:lvl w:ilvl="0">
      <w:lvlJc w:val="left"/>
      <w:lvlText w:val="•"/>
      <w:numFmt w:val="bullet"/>
      <w:start w:val="1"/>
    </w:lvl>
  </w:abstractNum>
  <w:abstractNum w:abstractNumId="65">
    <w:nsid w:val="168E121F"/>
    <w:multiLevelType w:val="hybridMultilevel"/>
    <w:lvl w:ilvl="0">
      <w:lvlJc w:val="left"/>
      <w:lvlText w:val="•"/>
      <w:numFmt w:val="bullet"/>
      <w:start w:val="1"/>
    </w:lvl>
  </w:abstractNum>
  <w:abstractNum w:abstractNumId="66">
    <w:nsid w:val="1EBA5D23"/>
    <w:multiLevelType w:val="hybridMultilevel"/>
    <w:lvl w:ilvl="0">
      <w:lvlJc w:val="left"/>
      <w:lvlText w:val="•"/>
      <w:numFmt w:val="bullet"/>
      <w:start w:val="1"/>
    </w:lvl>
  </w:abstractNum>
  <w:abstractNum w:abstractNumId="67">
    <w:nsid w:val="661E3F1E"/>
    <w:multiLevelType w:val="hybridMultilevel"/>
    <w:lvl w:ilvl="0">
      <w:lvlJc w:val="left"/>
      <w:lvlText w:val="•"/>
      <w:numFmt w:val="bullet"/>
      <w:start w:val="1"/>
    </w:lvl>
  </w:abstractNum>
  <w:abstractNum w:abstractNumId="68">
    <w:nsid w:val="5DC79EA8"/>
    <w:multiLevelType w:val="hybridMultilevel"/>
    <w:lvl w:ilvl="0">
      <w:lvlJc w:val="left"/>
      <w:lvlText w:val="•"/>
      <w:numFmt w:val="bullet"/>
      <w:start w:val="1"/>
    </w:lvl>
  </w:abstractNum>
  <w:abstractNum w:abstractNumId="69">
    <w:nsid w:val="540A471C"/>
    <w:multiLevelType w:val="hybridMultilevel"/>
    <w:lvl w:ilvl="0">
      <w:lvlJc w:val="left"/>
      <w:lvlText w:val="•"/>
      <w:numFmt w:val="bullet"/>
      <w:start w:val="1"/>
    </w:lvl>
    <w:lvl w:ilvl="1">
      <w:lvlJc w:val="left"/>
      <w:lvlText w:val="•"/>
      <w:numFmt w:val="bullet"/>
      <w:start w:val="1"/>
    </w:lvl>
  </w:abstractNum>
  <w:abstractNum w:abstractNumId="70">
    <w:nsid w:val="7BD3EE7B"/>
    <w:multiLevelType w:val="hybridMultilevel"/>
    <w:lvl w:ilvl="0">
      <w:lvlJc w:val="left"/>
      <w:lvlText w:val="(%1)"/>
      <w:numFmt w:val="lowerRoman"/>
      <w:start w:val="2"/>
    </w:lvl>
  </w:abstractNum>
  <w:abstractNum w:abstractNumId="71">
    <w:nsid w:val="51D9C564"/>
    <w:multiLevelType w:val="hybridMultilevel"/>
    <w:lvl w:ilvl="0">
      <w:lvlJc w:val="left"/>
      <w:lvlText w:val="•"/>
      <w:numFmt w:val="bullet"/>
      <w:start w:val="1"/>
    </w:lvl>
  </w:abstractNum>
  <w:abstractNum w:abstractNumId="72">
    <w:nsid w:val="613EFDC5"/>
    <w:multiLevelType w:val="hybridMultilevel"/>
    <w:lvl w:ilvl="0">
      <w:lvlJc w:val="left"/>
      <w:lvlText w:val="•"/>
      <w:numFmt w:val="bullet"/>
      <w:start w:val="1"/>
    </w:lvl>
  </w:abstractNum>
  <w:abstractNum w:abstractNumId="73">
    <w:nsid w:val="BF72B14"/>
    <w:multiLevelType w:val="hybridMultilevel"/>
    <w:lvl w:ilvl="0">
      <w:lvlJc w:val="left"/>
      <w:lvlText w:val="•"/>
      <w:numFmt w:val="bullet"/>
      <w:start w:val="1"/>
    </w:lvl>
  </w:abstractNum>
  <w:abstractNum w:abstractNumId="74">
    <w:nsid w:val="11447B73"/>
    <w:multiLevelType w:val="hybridMultilevel"/>
    <w:lvl w:ilvl="0">
      <w:lvlJc w:val="left"/>
      <w:lvlText w:val="•"/>
      <w:numFmt w:val="bullet"/>
      <w:start w:val="1"/>
    </w:lvl>
  </w:abstractNum>
  <w:abstractNum w:abstractNumId="75">
    <w:nsid w:val="42963E5A"/>
    <w:multiLevelType w:val="hybridMultilevel"/>
    <w:lvl w:ilvl="0">
      <w:lvlJc w:val="left"/>
      <w:lvlText w:val="(%1)"/>
      <w:numFmt w:val="decimal"/>
      <w:start w:val="4"/>
    </w:lvl>
  </w:abstractNum>
  <w:abstractNum w:abstractNumId="76">
    <w:nsid w:val="A0382C5"/>
    <w:multiLevelType w:val="hybridMultilevel"/>
    <w:lvl w:ilvl="0">
      <w:lvlJc w:val="left"/>
      <w:lvlText w:val="•"/>
      <w:numFmt w:val="bullet"/>
      <w:start w:val="1"/>
    </w:lvl>
  </w:abstractNum>
  <w:abstractNum w:abstractNumId="77">
    <w:nsid w:val="8F2B15E"/>
    <w:multiLevelType w:val="hybridMultilevel"/>
    <w:lvl w:ilvl="0">
      <w:lvlJc w:val="left"/>
      <w:lvlText w:val="•"/>
      <w:numFmt w:val="bullet"/>
      <w:start w:val="1"/>
    </w:lvl>
  </w:abstractNum>
  <w:abstractNum w:abstractNumId="78">
    <w:nsid w:val="1A32234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2019-12-09T23:47:13Z</dcterms:created>
  <dcterms:modified xsi:type="dcterms:W3CDTF">2019-12-09T23:47:13Z</dcterms:modified>
</cp:coreProperties>
</file>