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6, 2007</w:t>
      </w:r>
    </w:p>
    <w:p>
      <w:pPr>
        <w:spacing w:after="0" w:line="171"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60"/>
          </w:cols>
          <w:pgMar w:left="240" w:top="239" w:right="29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color w:val="auto"/>
        </w:rPr>
        <w:t>Jennifer Monick</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Robert Telewicz</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Linda van Doorn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Louise Dorsey</w:t>
      </w:r>
    </w:p>
    <w:p>
      <w:pPr>
        <w:spacing w:after="0" w:line="200" w:lineRule="exact"/>
        <w:rPr>
          <w:sz w:val="24"/>
          <w:szCs w:val="24"/>
          <w:color w:val="auto"/>
        </w:rPr>
      </w:pPr>
    </w:p>
    <w:p>
      <w:pPr>
        <w:sectPr>
          <w:pgSz w:w="11900" w:h="16838" w:orient="portrait"/>
          <w:cols w:equalWidth="0" w:num="2">
            <w:col w:w="720" w:space="420"/>
            <w:col w:w="10220"/>
          </w:cols>
          <w:pgMar w:left="240" w:top="239" w:right="299" w:bottom="1440" w:gutter="0" w:footer="0" w:header="0"/>
          <w:type w:val="continuous"/>
        </w:sectPr>
      </w:pPr>
    </w:p>
    <w:p>
      <w:pPr>
        <w:spacing w:after="0" w:line="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Federal Realty Investment Trust (the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2006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10-Q for Quarterly Period Ended March 31,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1-07533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On behalf of our client, Federal Realty Investment Trust, a Maryland real estate investment trust (the “Company”), this letter responds to the Staff’s letter dated June 20, 2007 and is a supplement to the Company’s previous response letter dated July 20, 2007. In order to facilitate your review of this letter, we have restated the Staff’s comment below and have included the Company’s response underneath of it.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2006</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2. Real Estate, page F-16</w:t>
      </w:r>
    </w:p>
    <w:p>
      <w:pPr>
        <w:spacing w:after="0" w:line="171"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b w:val="1"/>
          <w:bCs w:val="1"/>
          <w:color w:val="auto"/>
        </w:rPr>
        <w:t>We have considered your response to our prior comment one. After reviewing your SAB 99 analysis, we continue to believe that the operations and gain from sale of Greenlawn Plaza should be classified as continuing operations. Please revise your Form 10-K for the year ended December 31, 2006 to reflect the classification of the gain related to the sale of Greenlawn Plaza as well as its operating results prior to sale as continuing operations in accordance with paragraph 42 of SFAS 144 and EITF 03-13.</w:t>
      </w:r>
    </w:p>
    <w:p>
      <w:pPr>
        <w:spacing w:after="0" w:line="142"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On August 1, 2007, the Company filed its Form 10-Q for the quarter ended June 30, 2007. Because the sale of Greenlawn Plaza occurred in the quarter ended June 30, 2006, this Form 10-Q included an income statement for the period during which the sale occurred. In order to be consistent with Rule 3-15, Special Provision as to Real Estate Investment Trusts, the Company reclassified the gain on sale of Greenlawn Plaza as a separate caption after discontinued operations, and although the Company believes it is immaterial, has also reclassified the results of operations into continuing operations. The Company will continue this classification in future filings.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15" w:lineRule="exact"/>
        <w:rPr>
          <w:rFonts w:ascii="Arial" w:cs="Arial" w:eastAsia="Arial" w:hAnsi="Arial"/>
          <w:sz w:val="18"/>
          <w:szCs w:val="18"/>
          <w:color w:val="auto"/>
        </w:rPr>
      </w:pPr>
    </w:p>
    <w:p>
      <w:pPr>
        <w:ind w:left="900" w:right="120" w:hanging="446"/>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ind w:left="900" w:right="160" w:hanging="446"/>
        <w:spacing w:after="0" w:line="261"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11360"/>
          </w:cols>
          <w:pgMar w:left="240" w:top="23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have any further questions or require additional information, please do not hesitate to contact me at (202) 663-8326.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Lilyanna L. Peyser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672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Lilyanna L. Peyser</w:t>
      </w:r>
    </w:p>
    <w:p>
      <w:pPr>
        <w:spacing w:after="0" w:line="293" w:lineRule="exact"/>
        <w:rPr>
          <w:sz w:val="20"/>
          <w:szCs w:val="20"/>
          <w:color w:val="auto"/>
        </w:rPr>
      </w:pPr>
    </w:p>
    <w:p>
      <w:pPr>
        <w:ind w:left="460" w:right="6539"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Larry Finger, Federal Realty Investment Trust Kirk Rogers, Grant Thornton</w:t>
      </w: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2019-12-13T00:51:36Z</dcterms:created>
  <dcterms:modified xsi:type="dcterms:W3CDTF">2019-12-13T00:51:36Z</dcterms:modified>
</cp:coreProperties>
</file>