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May 04, 2022</w:t>
      </w:r>
    </w:p>
    <w:p>
      <w:pPr>
        <w:spacing w:after="0" w:line="15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Federal Realty OP LP</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0"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4240" w:type="dxa"/>
            <w:vAlign w:val="bottom"/>
          </w:tcPr>
          <w:p>
            <w:pPr>
              <w:jc w:val="center"/>
              <w:ind w:right="904"/>
              <w:spacing w:after="0"/>
              <w:rPr>
                <w:sz w:val="20"/>
                <w:szCs w:val="20"/>
                <w:color w:val="auto"/>
              </w:rPr>
            </w:pPr>
            <w:r>
              <w:rPr>
                <w:rFonts w:ascii="Arial" w:cs="Arial" w:eastAsia="Arial" w:hAnsi="Arial"/>
                <w:sz w:val="17"/>
                <w:szCs w:val="17"/>
                <w:b w:val="1"/>
                <w:bCs w:val="1"/>
                <w:color w:val="auto"/>
                <w:w w:val="93"/>
              </w:rPr>
              <w:t>Maryland (Federal Realty Investment Trust)</w:t>
            </w:r>
          </w:p>
        </w:tc>
        <w:tc>
          <w:tcPr>
            <w:tcW w:w="1700" w:type="dxa"/>
            <w:vAlign w:val="bottom"/>
          </w:tcPr>
          <w:p>
            <w:pPr>
              <w:jc w:val="right"/>
              <w:ind w:right="444"/>
              <w:spacing w:after="0"/>
              <w:rPr>
                <w:sz w:val="20"/>
                <w:szCs w:val="20"/>
                <w:color w:val="auto"/>
              </w:rPr>
            </w:pPr>
            <w:r>
              <w:rPr>
                <w:rFonts w:ascii="Arial" w:cs="Arial" w:eastAsia="Arial" w:hAnsi="Arial"/>
                <w:sz w:val="17"/>
                <w:szCs w:val="17"/>
                <w:b w:val="1"/>
                <w:bCs w:val="1"/>
                <w:color w:val="auto"/>
              </w:rPr>
              <w:t>1-07533</w:t>
            </w:r>
          </w:p>
        </w:tc>
        <w:tc>
          <w:tcPr>
            <w:tcW w:w="1340" w:type="dxa"/>
            <w:vAlign w:val="bottom"/>
          </w:tcPr>
          <w:p>
            <w:pPr>
              <w:spacing w:after="0"/>
              <w:rPr>
                <w:sz w:val="18"/>
                <w:szCs w:val="18"/>
                <w:color w:val="auto"/>
              </w:rPr>
            </w:pPr>
          </w:p>
        </w:tc>
        <w:tc>
          <w:tcPr>
            <w:tcW w:w="1900" w:type="dxa"/>
            <w:vAlign w:val="bottom"/>
          </w:tcPr>
          <w:p>
            <w:pPr>
              <w:jc w:val="center"/>
              <w:ind w:left="844"/>
              <w:spacing w:after="0"/>
              <w:rPr>
                <w:sz w:val="20"/>
                <w:szCs w:val="20"/>
                <w:color w:val="auto"/>
              </w:rPr>
            </w:pPr>
            <w:r>
              <w:rPr>
                <w:rFonts w:ascii="Arial" w:cs="Arial" w:eastAsia="Arial" w:hAnsi="Arial"/>
                <w:sz w:val="17"/>
                <w:szCs w:val="17"/>
                <w:b w:val="1"/>
                <w:bCs w:val="1"/>
                <w:color w:val="auto"/>
                <w:w w:val="90"/>
              </w:rPr>
              <w:t>87-3916363</w:t>
            </w:r>
          </w:p>
        </w:tc>
      </w:tr>
      <w:tr>
        <w:trPr>
          <w:trHeight w:val="220"/>
        </w:trPr>
        <w:tc>
          <w:tcPr>
            <w:tcW w:w="4240" w:type="dxa"/>
            <w:vAlign w:val="bottom"/>
          </w:tcPr>
          <w:p>
            <w:pPr>
              <w:jc w:val="center"/>
              <w:ind w:right="904"/>
              <w:spacing w:after="0"/>
              <w:rPr>
                <w:sz w:val="20"/>
                <w:szCs w:val="20"/>
                <w:color w:val="auto"/>
              </w:rPr>
            </w:pPr>
            <w:r>
              <w:rPr>
                <w:rFonts w:ascii="Arial" w:cs="Arial" w:eastAsia="Arial" w:hAnsi="Arial"/>
                <w:sz w:val="17"/>
                <w:szCs w:val="17"/>
                <w:b w:val="1"/>
                <w:bCs w:val="1"/>
                <w:color w:val="auto"/>
                <w:w w:val="93"/>
              </w:rPr>
              <w:t>Delaware (Federal Realty OP LP)</w:t>
            </w:r>
          </w:p>
        </w:tc>
        <w:tc>
          <w:tcPr>
            <w:tcW w:w="1700" w:type="dxa"/>
            <w:vAlign w:val="bottom"/>
          </w:tcPr>
          <w:p>
            <w:pPr>
              <w:jc w:val="right"/>
              <w:ind w:right="184"/>
              <w:spacing w:after="0"/>
              <w:rPr>
                <w:sz w:val="20"/>
                <w:szCs w:val="20"/>
                <w:color w:val="auto"/>
              </w:rPr>
            </w:pPr>
            <w:r>
              <w:rPr>
                <w:rFonts w:ascii="Arial" w:cs="Arial" w:eastAsia="Arial" w:hAnsi="Arial"/>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Arial" w:cs="Arial" w:eastAsia="Arial" w:hAnsi="Arial"/>
                <w:sz w:val="17"/>
                <w:szCs w:val="17"/>
                <w:b w:val="1"/>
                <w:bCs w:val="1"/>
                <w:color w:val="auto"/>
                <w:w w:val="90"/>
              </w:rPr>
              <w:t>52-0782497</w:t>
            </w:r>
          </w:p>
        </w:tc>
      </w:tr>
      <w:tr>
        <w:trPr>
          <w:trHeight w:val="126"/>
        </w:trPr>
        <w:tc>
          <w:tcPr>
            <w:tcW w:w="4240" w:type="dxa"/>
            <w:vAlign w:val="bottom"/>
          </w:tcPr>
          <w:p>
            <w:pPr>
              <w:jc w:val="center"/>
              <w:ind w:right="884"/>
              <w:spacing w:after="0" w:line="126" w:lineRule="exact"/>
              <w:rPr>
                <w:sz w:val="20"/>
                <w:szCs w:val="20"/>
                <w:color w:val="auto"/>
              </w:rPr>
            </w:pPr>
            <w:r>
              <w:rPr>
                <w:rFonts w:ascii="Arial" w:cs="Arial" w:eastAsia="Arial" w:hAnsi="Arial"/>
                <w:sz w:val="13"/>
                <w:szCs w:val="13"/>
                <w:b w:val="1"/>
                <w:bCs w:val="1"/>
                <w:color w:val="auto"/>
                <w:w w:val="88"/>
              </w:rPr>
              <w:t>(State or other jurisdiction</w:t>
            </w:r>
          </w:p>
        </w:tc>
        <w:tc>
          <w:tcPr>
            <w:tcW w:w="1700" w:type="dxa"/>
            <w:vAlign w:val="bottom"/>
          </w:tcPr>
          <w:p>
            <w:pPr>
              <w:ind w:left="560"/>
              <w:spacing w:after="0" w:line="126" w:lineRule="exact"/>
              <w:rPr>
                <w:sz w:val="20"/>
                <w:szCs w:val="20"/>
                <w:color w:val="auto"/>
              </w:rPr>
            </w:pPr>
            <w:r>
              <w:rPr>
                <w:rFonts w:ascii="Arial" w:cs="Arial" w:eastAsia="Arial" w:hAnsi="Arial"/>
                <w:sz w:val="13"/>
                <w:szCs w:val="13"/>
                <w:b w:val="1"/>
                <w:bCs w:val="1"/>
                <w:color w:val="auto"/>
              </w:rPr>
              <w:t>(Commission</w:t>
            </w:r>
          </w:p>
        </w:tc>
        <w:tc>
          <w:tcPr>
            <w:tcW w:w="1340" w:type="dxa"/>
            <w:vAlign w:val="bottom"/>
          </w:tcPr>
          <w:p>
            <w:pPr>
              <w:spacing w:after="0"/>
              <w:rPr>
                <w:sz w:val="10"/>
                <w:szCs w:val="10"/>
                <w:color w:val="auto"/>
              </w:rPr>
            </w:pPr>
          </w:p>
        </w:tc>
        <w:tc>
          <w:tcPr>
            <w:tcW w:w="1900" w:type="dxa"/>
            <w:vAlign w:val="bottom"/>
          </w:tcPr>
          <w:p>
            <w:pPr>
              <w:jc w:val="center"/>
              <w:ind w:left="844"/>
              <w:spacing w:after="0" w:line="126"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4240" w:type="dxa"/>
            <w:vAlign w:val="bottom"/>
          </w:tcPr>
          <w:p>
            <w:pPr>
              <w:jc w:val="center"/>
              <w:ind w:right="884"/>
              <w:spacing w:after="0"/>
              <w:rPr>
                <w:sz w:val="20"/>
                <w:szCs w:val="20"/>
                <w:color w:val="auto"/>
              </w:rPr>
            </w:pPr>
            <w:r>
              <w:rPr>
                <w:rFonts w:ascii="Arial" w:cs="Arial" w:eastAsia="Arial" w:hAnsi="Arial"/>
                <w:sz w:val="13"/>
                <w:szCs w:val="13"/>
                <w:b w:val="1"/>
                <w:bCs w:val="1"/>
                <w:color w:val="auto"/>
                <w:w w:val="88"/>
              </w:rPr>
              <w:t>of incorporation)</w:t>
            </w:r>
          </w:p>
        </w:tc>
        <w:tc>
          <w:tcPr>
            <w:tcW w:w="1700" w:type="dxa"/>
            <w:vAlign w:val="bottom"/>
          </w:tcPr>
          <w:p>
            <w:pPr>
              <w:ind w:left="540"/>
              <w:spacing w:after="0"/>
              <w:rPr>
                <w:sz w:val="20"/>
                <w:szCs w:val="20"/>
                <w:color w:val="auto"/>
              </w:rPr>
            </w:pPr>
            <w:r>
              <w:rPr>
                <w:rFonts w:ascii="Arial" w:cs="Arial" w:eastAsia="Arial" w:hAnsi="Arial"/>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Arial" w:cs="Arial" w:eastAsia="Arial" w:hAnsi="Arial"/>
                <w:sz w:val="13"/>
                <w:szCs w:val="13"/>
                <w:b w:val="1"/>
                <w:bCs w:val="1"/>
                <w:color w:val="auto"/>
                <w:w w:val="89"/>
              </w:rPr>
              <w:t>Identification No.)</w:t>
            </w:r>
          </w:p>
        </w:tc>
      </w:tr>
      <w:tr>
        <w:trPr>
          <w:trHeight w:val="424"/>
        </w:trPr>
        <w:tc>
          <w:tcPr>
            <w:tcW w:w="4240" w:type="dxa"/>
            <w:vAlign w:val="bottom"/>
          </w:tcPr>
          <w:p>
            <w:pPr>
              <w:ind w:left="2140"/>
              <w:spacing w:after="0"/>
              <w:rPr>
                <w:sz w:val="20"/>
                <w:szCs w:val="20"/>
                <w:color w:val="auto"/>
              </w:rPr>
            </w:pPr>
            <w:r>
              <w:rPr>
                <w:rFonts w:ascii="Arial" w:cs="Arial" w:eastAsia="Arial" w:hAnsi="Arial"/>
                <w:sz w:val="16"/>
                <w:szCs w:val="16"/>
                <w:b w:val="1"/>
                <w:bCs w:val="1"/>
                <w:color w:val="auto"/>
                <w:w w:val="98"/>
              </w:rPr>
              <w:t>909 Rose Avenue, Suite 200</w:t>
            </w:r>
          </w:p>
        </w:tc>
        <w:tc>
          <w:tcPr>
            <w:tcW w:w="1700" w:type="dxa"/>
            <w:vAlign w:val="bottom"/>
          </w:tcPr>
          <w:p>
            <w:pPr>
              <w:ind w:left="200"/>
              <w:spacing w:after="0"/>
              <w:rPr>
                <w:sz w:val="20"/>
                <w:szCs w:val="20"/>
                <w:color w:val="auto"/>
              </w:rPr>
            </w:pPr>
            <w:r>
              <w:rPr>
                <w:rFonts w:ascii="Arial" w:cs="Arial" w:eastAsia="Arial" w:hAnsi="Arial"/>
                <w:sz w:val="16"/>
                <w:szCs w:val="16"/>
                <w:b w:val="1"/>
                <w:bCs w:val="1"/>
                <w:color w:val="auto"/>
              </w:rPr>
              <w:t>North Bethesda,</w:t>
            </w:r>
          </w:p>
        </w:tc>
        <w:tc>
          <w:tcPr>
            <w:tcW w:w="1340" w:type="dxa"/>
            <w:vAlign w:val="bottom"/>
          </w:tcPr>
          <w:p>
            <w:pPr>
              <w:ind w:left="140"/>
              <w:spacing w:after="0"/>
              <w:rPr>
                <w:sz w:val="20"/>
                <w:szCs w:val="20"/>
                <w:color w:val="auto"/>
              </w:rPr>
            </w:pPr>
            <w:r>
              <w:rPr>
                <w:rFonts w:ascii="Arial" w:cs="Arial" w:eastAsia="Arial" w:hAnsi="Arial"/>
                <w:sz w:val="16"/>
                <w:szCs w:val="16"/>
                <w:b w:val="1"/>
                <w:bCs w:val="1"/>
                <w:color w:val="auto"/>
              </w:rPr>
              <w:t>Maryland</w:t>
            </w:r>
          </w:p>
        </w:tc>
        <w:tc>
          <w:tcPr>
            <w:tcW w:w="1900" w:type="dxa"/>
            <w:vAlign w:val="bottom"/>
          </w:tcPr>
          <w:p>
            <w:pPr>
              <w:jc w:val="right"/>
              <w:ind w:right="724"/>
              <w:spacing w:after="0"/>
              <w:rPr>
                <w:sz w:val="20"/>
                <w:szCs w:val="20"/>
                <w:color w:val="auto"/>
              </w:rPr>
            </w:pPr>
            <w:r>
              <w:rPr>
                <w:rFonts w:ascii="Arial" w:cs="Arial" w:eastAsia="Arial" w:hAnsi="Arial"/>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Arial" w:cs="Arial" w:eastAsia="Arial" w:hAnsi="Arial"/>
                <w:sz w:val="16"/>
                <w:szCs w:val="16"/>
                <w:b w:val="1"/>
                <w:bCs w:val="1"/>
                <w:color w:val="auto"/>
                <w:w w:val="94"/>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Arial" w:cs="Arial" w:eastAsia="Arial" w:hAnsi="Arial"/>
                <w:sz w:val="16"/>
                <w:szCs w:val="16"/>
                <w:b w:val="1"/>
                <w:bCs w:val="1"/>
                <w:color w:val="auto"/>
                <w:w w:val="96"/>
              </w:rPr>
              <w:t>(Zip Code)</w:t>
            </w:r>
          </w:p>
        </w:tc>
      </w:tr>
    </w:tbl>
    <w:p>
      <w:pPr>
        <w:spacing w:after="0" w:line="15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301/998-8100</w:t>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12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2"/>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Arial" w:cs="Arial" w:eastAsia="Arial" w:hAnsi="Arial"/>
                <w:sz w:val="16"/>
                <w:szCs w:val="16"/>
                <w:color w:val="auto"/>
                <w:w w:val="89"/>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172"/>
        </w:trPr>
        <w:tc>
          <w:tcPr>
            <w:tcW w:w="4480" w:type="dxa"/>
            <w:vAlign w:val="bottom"/>
            <w:gridSpan w:val="3"/>
          </w:tcPr>
          <w:p>
            <w:pPr>
              <w:jc w:val="center"/>
              <w:ind w:left="99"/>
              <w:spacing w:after="0" w:line="171"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680" w:type="dxa"/>
            <w:vAlign w:val="bottom"/>
          </w:tcPr>
          <w:p>
            <w:pPr>
              <w:spacing w:after="0"/>
              <w:rPr>
                <w:sz w:val="17"/>
                <w:szCs w:val="17"/>
                <w:color w:val="auto"/>
              </w:rPr>
            </w:pPr>
          </w:p>
        </w:tc>
        <w:tc>
          <w:tcPr>
            <w:tcW w:w="2800" w:type="dxa"/>
            <w:vAlign w:val="bottom"/>
            <w:gridSpan w:val="2"/>
          </w:tcPr>
          <w:p>
            <w:pPr>
              <w:jc w:val="center"/>
              <w:ind w:right="1500"/>
              <w:spacing w:after="0"/>
              <w:rPr>
                <w:sz w:val="20"/>
                <w:szCs w:val="20"/>
                <w:color w:val="auto"/>
              </w:rPr>
            </w:pPr>
            <w:r>
              <w:rPr>
                <w:rFonts w:ascii="Arial" w:cs="Arial" w:eastAsia="Arial" w:hAnsi="Arial"/>
                <w:sz w:val="16"/>
                <w:szCs w:val="16"/>
                <w:color w:val="auto"/>
                <w:w w:val="92"/>
              </w:rPr>
              <w:t>Rights</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24"/>
        </w:trPr>
        <w:tc>
          <w:tcPr>
            <w:tcW w:w="4480" w:type="dxa"/>
            <w:vAlign w:val="bottom"/>
            <w:gridSpan w:val="3"/>
          </w:tcPr>
          <w:p>
            <w:pPr>
              <w:jc w:val="center"/>
              <w:ind w:left="79"/>
              <w:spacing w:after="0"/>
              <w:rPr>
                <w:sz w:val="20"/>
                <w:szCs w:val="20"/>
                <w:color w:val="auto"/>
              </w:rPr>
            </w:pPr>
            <w:r>
              <w:rPr>
                <w:rFonts w:ascii="Arial" w:cs="Arial" w:eastAsia="Arial" w:hAnsi="Arial"/>
                <w:sz w:val="16"/>
                <w:szCs w:val="16"/>
                <w:color w:val="auto"/>
                <w:w w:val="89"/>
              </w:rPr>
              <w:t>Depositary Shares, each representing 1/1000 of a share</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Arial" w:cs="Arial" w:eastAsia="Arial" w:hAnsi="Arial"/>
                <w:sz w:val="16"/>
                <w:szCs w:val="16"/>
                <w:color w:val="auto"/>
                <w:w w:val="91"/>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172"/>
        </w:trPr>
        <w:tc>
          <w:tcPr>
            <w:tcW w:w="7020" w:type="dxa"/>
            <w:vAlign w:val="bottom"/>
            <w:gridSpan w:val="6"/>
          </w:tcPr>
          <w:p>
            <w:pPr>
              <w:jc w:val="center"/>
              <w:ind w:right="2380"/>
              <w:spacing w:after="0" w:line="171" w:lineRule="exact"/>
              <w:rPr>
                <w:sz w:val="20"/>
                <w:szCs w:val="20"/>
                <w:color w:val="auto"/>
              </w:rPr>
            </w:pPr>
            <w:r>
              <w:rPr>
                <w:rFonts w:ascii="Arial" w:cs="Arial" w:eastAsia="Arial" w:hAnsi="Arial"/>
                <w:sz w:val="16"/>
                <w:szCs w:val="16"/>
                <w:color w:val="auto"/>
                <w:w w:val="91"/>
              </w:rPr>
              <w:t>of 5.00% Series C Cumulative Redeemable Preferred Stock, $.01 par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680" w:type="dxa"/>
            <w:vAlign w:val="bottom"/>
          </w:tcPr>
          <w:p>
            <w:pPr>
              <w:spacing w:after="0"/>
              <w:rPr>
                <w:sz w:val="17"/>
                <w:szCs w:val="17"/>
                <w:color w:val="auto"/>
              </w:rPr>
            </w:pPr>
          </w:p>
        </w:tc>
        <w:tc>
          <w:tcPr>
            <w:tcW w:w="2800" w:type="dxa"/>
            <w:vAlign w:val="bottom"/>
            <w:gridSpan w:val="2"/>
          </w:tcPr>
          <w:p>
            <w:pPr>
              <w:jc w:val="center"/>
              <w:ind w:right="1500"/>
              <w:spacing w:after="0"/>
              <w:rPr>
                <w:sz w:val="20"/>
                <w:szCs w:val="20"/>
                <w:color w:val="auto"/>
              </w:rPr>
            </w:pPr>
            <w:r>
              <w:rPr>
                <w:rFonts w:ascii="Arial" w:cs="Arial" w:eastAsia="Arial" w:hAnsi="Arial"/>
                <w:sz w:val="16"/>
                <w:szCs w:val="16"/>
                <w:color w:val="auto"/>
                <w:w w:val="88"/>
              </w:rPr>
              <w:t>value per share</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1"/>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2"/>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r>
    </w:tbl>
    <w:p>
      <w:pPr>
        <w:spacing w:after="0" w:line="212" w:lineRule="exact"/>
        <w:rPr>
          <w:sz w:val="24"/>
          <w:szCs w:val="24"/>
          <w:color w:val="auto"/>
        </w:rPr>
      </w:pPr>
    </w:p>
    <w:p>
      <w:pPr>
        <w:ind w:left="20" w:right="600"/>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 Securities Exchange Act of 1934.</w:t>
      </w:r>
    </w:p>
    <w:p>
      <w:pPr>
        <w:ind w:left="20"/>
        <w:spacing w:after="0" w:line="184" w:lineRule="exact"/>
        <w:tabs>
          <w:tab w:leader="none" w:pos="3980" w:val="left"/>
        </w:tabs>
        <w:rPr>
          <w:sz w:val="20"/>
          <w:szCs w:val="20"/>
          <w:color w:val="auto"/>
        </w:rPr>
      </w:pPr>
      <w:r>
        <w:rPr>
          <w:rFonts w:ascii="Arial" w:cs="Arial" w:eastAsia="Arial" w:hAnsi="Arial"/>
          <w:sz w:val="16"/>
          <w:szCs w:val="16"/>
          <w:color w:val="auto"/>
        </w:rPr>
        <w:t xml:space="preserve">Federal Realty Investment Trust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Federal Realty OP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ind w:left="20" w:right="100"/>
        <w:spacing w:after="0"/>
        <w:rPr>
          <w:sz w:val="20"/>
          <w:szCs w:val="20"/>
          <w:color w:val="auto"/>
        </w:rPr>
      </w:pPr>
      <w:r>
        <w:rPr>
          <w:rFonts w:ascii="Arial" w:cs="Arial" w:eastAsia="Arial" w:hAnsi="Arial"/>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ind w:left="20"/>
        <w:spacing w:after="0" w:line="184" w:lineRule="exact"/>
        <w:tabs>
          <w:tab w:leader="none" w:pos="3980" w:val="left"/>
        </w:tabs>
        <w:rPr>
          <w:sz w:val="20"/>
          <w:szCs w:val="20"/>
          <w:color w:val="auto"/>
        </w:rPr>
      </w:pPr>
      <w:r>
        <w:rPr>
          <w:rFonts w:ascii="Arial" w:cs="Arial" w:eastAsia="Arial" w:hAnsi="Arial"/>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Federal Realty OP LP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5.07</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Submission of Matters to a Vote of Security Holders.</w:t>
      </w:r>
    </w:p>
    <w:p>
      <w:pPr>
        <w:spacing w:after="0" w:line="25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annual meeting of shareholders of Federal Realty Investment Trust was held on May 4, 2022. The following table sets forth the matters presented for a vote by the shareholders and the voting results with respect to such matters: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Matter</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Votes For</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Votes Against</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Abstentions</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Broker Non-Votes</w:t>
            </w:r>
          </w:p>
        </w:tc>
        <w:tc>
          <w:tcPr>
            <w:tcW w:w="0" w:type="dxa"/>
            <w:vAlign w:val="bottom"/>
          </w:tcPr>
          <w:p>
            <w:pPr>
              <w:spacing w:after="0"/>
              <w:rPr>
                <w:sz w:val="1"/>
                <w:szCs w:val="1"/>
                <w:color w:val="auto"/>
              </w:rPr>
            </w:pPr>
          </w:p>
        </w:tc>
      </w:tr>
      <w:tr>
        <w:trPr>
          <w:trHeight w:val="358"/>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Proposal 1: Election of Trustees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60" w:type="dxa"/>
            <w:vAlign w:val="bottom"/>
            <w:gridSpan w:val="2"/>
          </w:tcPr>
          <w:p>
            <w:pPr>
              <w:ind w:left="200"/>
              <w:spacing w:after="0"/>
              <w:rPr>
                <w:sz w:val="20"/>
                <w:szCs w:val="20"/>
                <w:color w:val="auto"/>
              </w:rPr>
            </w:pPr>
            <w:r>
              <w:rPr>
                <w:rFonts w:ascii="Arial" w:cs="Arial" w:eastAsia="Arial" w:hAnsi="Arial"/>
                <w:sz w:val="18"/>
                <w:szCs w:val="18"/>
                <w:color w:val="auto"/>
              </w:rPr>
              <w:t>David W. Faeder</w:t>
            </w:r>
          </w:p>
        </w:tc>
        <w:tc>
          <w:tcPr>
            <w:tcW w:w="1860" w:type="dxa"/>
            <w:vAlign w:val="bottom"/>
          </w:tcPr>
          <w:p>
            <w:pPr>
              <w:jc w:val="right"/>
              <w:spacing w:after="0"/>
              <w:rPr>
                <w:sz w:val="20"/>
                <w:szCs w:val="20"/>
                <w:color w:val="auto"/>
              </w:rPr>
            </w:pPr>
            <w:r>
              <w:rPr>
                <w:rFonts w:ascii="Arial" w:cs="Arial" w:eastAsia="Arial" w:hAnsi="Arial"/>
                <w:sz w:val="18"/>
                <w:szCs w:val="18"/>
                <w:color w:val="auto"/>
              </w:rPr>
              <w:t>65,226,319</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2,595,342</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33,324</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3,811,066</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0"/>
              <w:spacing w:after="0"/>
              <w:rPr>
                <w:sz w:val="20"/>
                <w:szCs w:val="20"/>
                <w:color w:val="auto"/>
              </w:rPr>
            </w:pPr>
            <w:r>
              <w:rPr>
                <w:rFonts w:ascii="Arial" w:cs="Arial" w:eastAsia="Arial" w:hAnsi="Arial"/>
                <w:sz w:val="18"/>
                <w:szCs w:val="18"/>
                <w:color w:val="auto"/>
              </w:rPr>
              <w:t>Elizabeth I. Holland</w:t>
            </w:r>
          </w:p>
        </w:tc>
        <w:tc>
          <w:tcPr>
            <w:tcW w:w="1860" w:type="dxa"/>
            <w:vAlign w:val="bottom"/>
          </w:tcPr>
          <w:p>
            <w:pPr>
              <w:jc w:val="right"/>
              <w:spacing w:after="0"/>
              <w:rPr>
                <w:sz w:val="20"/>
                <w:szCs w:val="20"/>
                <w:color w:val="auto"/>
              </w:rPr>
            </w:pPr>
            <w:r>
              <w:rPr>
                <w:rFonts w:ascii="Arial" w:cs="Arial" w:eastAsia="Arial" w:hAnsi="Arial"/>
                <w:sz w:val="18"/>
                <w:szCs w:val="18"/>
                <w:color w:val="auto"/>
              </w:rPr>
              <w:t>66,958,876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866,882</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29,227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3,811,066</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0"/>
              <w:spacing w:after="0"/>
              <w:rPr>
                <w:sz w:val="20"/>
                <w:szCs w:val="20"/>
                <w:color w:val="auto"/>
              </w:rPr>
            </w:pPr>
            <w:r>
              <w:rPr>
                <w:rFonts w:ascii="Arial" w:cs="Arial" w:eastAsia="Arial" w:hAnsi="Arial"/>
                <w:sz w:val="18"/>
                <w:szCs w:val="18"/>
                <w:color w:val="auto"/>
              </w:rPr>
              <w:t>Nicole Y. Lamb-Hale</w:t>
            </w:r>
          </w:p>
        </w:tc>
        <w:tc>
          <w:tcPr>
            <w:tcW w:w="1860" w:type="dxa"/>
            <w:vAlign w:val="bottom"/>
          </w:tcPr>
          <w:p>
            <w:pPr>
              <w:jc w:val="right"/>
              <w:spacing w:after="0"/>
              <w:rPr>
                <w:sz w:val="20"/>
                <w:szCs w:val="20"/>
                <w:color w:val="auto"/>
              </w:rPr>
            </w:pPr>
            <w:r>
              <w:rPr>
                <w:rFonts w:ascii="Arial" w:cs="Arial" w:eastAsia="Arial" w:hAnsi="Arial"/>
                <w:sz w:val="18"/>
                <w:szCs w:val="18"/>
                <w:color w:val="auto"/>
              </w:rPr>
              <w:t>67,144,853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681,865</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28,267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3,811,066</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0"/>
              <w:spacing w:after="0"/>
              <w:rPr>
                <w:sz w:val="20"/>
                <w:szCs w:val="20"/>
                <w:color w:val="auto"/>
              </w:rPr>
            </w:pPr>
            <w:r>
              <w:rPr>
                <w:rFonts w:ascii="Arial" w:cs="Arial" w:eastAsia="Arial" w:hAnsi="Arial"/>
                <w:sz w:val="18"/>
                <w:szCs w:val="18"/>
                <w:color w:val="auto"/>
              </w:rPr>
              <w:t>Anthony P. Nader, III</w:t>
            </w:r>
          </w:p>
        </w:tc>
        <w:tc>
          <w:tcPr>
            <w:tcW w:w="1860" w:type="dxa"/>
            <w:vAlign w:val="bottom"/>
          </w:tcPr>
          <w:p>
            <w:pPr>
              <w:jc w:val="right"/>
              <w:spacing w:after="0"/>
              <w:rPr>
                <w:sz w:val="20"/>
                <w:szCs w:val="20"/>
                <w:color w:val="auto"/>
              </w:rPr>
            </w:pPr>
            <w:r>
              <w:rPr>
                <w:rFonts w:ascii="Arial" w:cs="Arial" w:eastAsia="Arial" w:hAnsi="Arial"/>
                <w:sz w:val="18"/>
                <w:szCs w:val="18"/>
                <w:color w:val="auto"/>
              </w:rPr>
              <w:t>67,143,416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677,472</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34,097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3,811,066</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0"/>
              <w:spacing w:after="0"/>
              <w:rPr>
                <w:sz w:val="20"/>
                <w:szCs w:val="20"/>
                <w:color w:val="auto"/>
              </w:rPr>
            </w:pPr>
            <w:r>
              <w:rPr>
                <w:rFonts w:ascii="Arial" w:cs="Arial" w:eastAsia="Arial" w:hAnsi="Arial"/>
                <w:sz w:val="18"/>
                <w:szCs w:val="18"/>
                <w:color w:val="auto"/>
              </w:rPr>
              <w:t>Mark S. Ordan</w:t>
            </w:r>
          </w:p>
        </w:tc>
        <w:tc>
          <w:tcPr>
            <w:tcW w:w="1860" w:type="dxa"/>
            <w:vAlign w:val="bottom"/>
          </w:tcPr>
          <w:p>
            <w:pPr>
              <w:jc w:val="right"/>
              <w:spacing w:after="0"/>
              <w:rPr>
                <w:sz w:val="20"/>
                <w:szCs w:val="20"/>
                <w:color w:val="auto"/>
              </w:rPr>
            </w:pPr>
            <w:r>
              <w:rPr>
                <w:rFonts w:ascii="Arial" w:cs="Arial" w:eastAsia="Arial" w:hAnsi="Arial"/>
                <w:sz w:val="18"/>
                <w:szCs w:val="18"/>
                <w:color w:val="auto"/>
              </w:rPr>
              <w:t>44,516,561</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23,304,759</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33,666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3,811,066</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0"/>
              <w:spacing w:after="0"/>
              <w:rPr>
                <w:sz w:val="20"/>
                <w:szCs w:val="20"/>
                <w:color w:val="auto"/>
              </w:rPr>
            </w:pPr>
            <w:r>
              <w:rPr>
                <w:rFonts w:ascii="Arial" w:cs="Arial" w:eastAsia="Arial" w:hAnsi="Arial"/>
                <w:sz w:val="18"/>
                <w:szCs w:val="18"/>
                <w:color w:val="auto"/>
              </w:rPr>
              <w:t>Gail P. Steinel</w:t>
            </w:r>
          </w:p>
        </w:tc>
        <w:tc>
          <w:tcPr>
            <w:tcW w:w="1860" w:type="dxa"/>
            <w:vAlign w:val="bottom"/>
          </w:tcPr>
          <w:p>
            <w:pPr>
              <w:jc w:val="right"/>
              <w:spacing w:after="0"/>
              <w:rPr>
                <w:sz w:val="20"/>
                <w:szCs w:val="20"/>
                <w:color w:val="auto"/>
              </w:rPr>
            </w:pPr>
            <w:r>
              <w:rPr>
                <w:rFonts w:ascii="Arial" w:cs="Arial" w:eastAsia="Arial" w:hAnsi="Arial"/>
                <w:sz w:val="18"/>
                <w:szCs w:val="18"/>
                <w:color w:val="auto"/>
              </w:rPr>
              <w:t>65,385,031</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2,443,304</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26,651</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3,811,066</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0"/>
              <w:spacing w:after="0"/>
              <w:rPr>
                <w:sz w:val="20"/>
                <w:szCs w:val="20"/>
                <w:color w:val="auto"/>
              </w:rPr>
            </w:pPr>
            <w:r>
              <w:rPr>
                <w:rFonts w:ascii="Arial" w:cs="Arial" w:eastAsia="Arial" w:hAnsi="Arial"/>
                <w:sz w:val="18"/>
                <w:szCs w:val="18"/>
                <w:color w:val="auto"/>
              </w:rPr>
              <w:t>Donald C. Wood</w:t>
            </w:r>
          </w:p>
        </w:tc>
        <w:tc>
          <w:tcPr>
            <w:tcW w:w="1860" w:type="dxa"/>
            <w:vAlign w:val="bottom"/>
          </w:tcPr>
          <w:p>
            <w:pPr>
              <w:jc w:val="right"/>
              <w:spacing w:after="0"/>
              <w:rPr>
                <w:sz w:val="20"/>
                <w:szCs w:val="20"/>
                <w:color w:val="auto"/>
              </w:rPr>
            </w:pPr>
            <w:r>
              <w:rPr>
                <w:rFonts w:ascii="Arial" w:cs="Arial" w:eastAsia="Arial" w:hAnsi="Arial"/>
                <w:sz w:val="18"/>
                <w:szCs w:val="18"/>
                <w:color w:val="auto"/>
              </w:rPr>
              <w:t>67,315,844</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505,030</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34,111</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3,811,066</w:t>
            </w:r>
          </w:p>
        </w:tc>
        <w:tc>
          <w:tcPr>
            <w:tcW w:w="0" w:type="dxa"/>
            <w:vAlign w:val="bottom"/>
          </w:tcPr>
          <w:p>
            <w:pPr>
              <w:spacing w:after="0"/>
              <w:rPr>
                <w:sz w:val="1"/>
                <w:szCs w:val="1"/>
                <w:color w:val="auto"/>
              </w:rPr>
            </w:pPr>
          </w:p>
        </w:tc>
      </w:tr>
      <w:tr>
        <w:trPr>
          <w:trHeight w:val="446"/>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Proposal 2: Advisory vote on the</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compensation of our named executive</w:t>
            </w: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63,405,671</w:t>
            </w:r>
          </w:p>
        </w:tc>
        <w:tc>
          <w:tcPr>
            <w:tcW w:w="10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4,355,725</w:t>
            </w:r>
          </w:p>
        </w:tc>
        <w:tc>
          <w:tcPr>
            <w:tcW w:w="1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93,589</w:t>
            </w:r>
          </w:p>
        </w:tc>
        <w:tc>
          <w:tcPr>
            <w:tcW w:w="10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3,811,066</w:t>
            </w:r>
          </w:p>
        </w:tc>
        <w:tc>
          <w:tcPr>
            <w:tcW w:w="0" w:type="dxa"/>
            <w:vAlign w:val="bottom"/>
          </w:tcPr>
          <w:p>
            <w:pPr>
              <w:spacing w:after="0"/>
              <w:rPr>
                <w:sz w:val="1"/>
                <w:szCs w:val="1"/>
                <w:color w:val="auto"/>
              </w:rPr>
            </w:pPr>
          </w:p>
        </w:tc>
      </w:tr>
      <w:tr>
        <w:trPr>
          <w:trHeight w:val="234"/>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officers</w:t>
            </w:r>
          </w:p>
        </w:tc>
        <w:tc>
          <w:tcPr>
            <w:tcW w:w="1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Proposal 3: Ratification of the</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appointment of Grant Thornton LLP as</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6"/>
              </w:rPr>
              <w:t>the Trust’s independent registered public</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accounting firm for the year ending</w:t>
            </w: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70,192,507</w:t>
            </w:r>
          </w:p>
        </w:tc>
        <w:tc>
          <w:tcPr>
            <w:tcW w:w="10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1,444,777</w:t>
            </w:r>
          </w:p>
        </w:tc>
        <w:tc>
          <w:tcPr>
            <w:tcW w:w="1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28,768</w:t>
            </w:r>
          </w:p>
        </w:tc>
        <w:tc>
          <w:tcPr>
            <w:tcW w:w="10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1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104 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87" w:lineRule="exact"/>
        <w:rPr>
          <w:sz w:val="20"/>
          <w:szCs w:val="20"/>
          <w:color w:val="auto"/>
        </w:rPr>
      </w:pPr>
    </w:p>
    <w:p>
      <w:pPr>
        <w:ind w:firstLine="18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registrants have duly caused this report to be signed on their behalf by the undersigned hereunto duly authorized.</w:t>
      </w:r>
    </w:p>
    <w:p>
      <w:pPr>
        <w:spacing w:after="0" w:line="23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FEDERAL REALTY INVESTMENT TRUST</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FEDERAL REALTY OP LP</w:t>
      </w:r>
    </w:p>
    <w:p>
      <w:pPr>
        <w:spacing w:after="0" w:line="283" w:lineRule="exact"/>
        <w:rPr>
          <w:sz w:val="20"/>
          <w:szCs w:val="20"/>
          <w:color w:val="auto"/>
        </w:rPr>
      </w:pPr>
    </w:p>
    <w:p>
      <w:pPr>
        <w:ind w:left="40"/>
        <w:spacing w:after="0"/>
        <w:tabs>
          <w:tab w:leader="none" w:pos="840" w:val="left"/>
          <w:tab w:leader="none" w:pos="4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May 5, 2022</w:t>
      </w:r>
      <w:r>
        <w:rPr>
          <w:sz w:val="20"/>
          <w:szCs w:val="20"/>
          <w:color w:val="auto"/>
        </w:rPr>
        <w:tab/>
      </w:r>
      <w:r>
        <w:rPr>
          <w:rFonts w:ascii="Arial" w:cs="Arial" w:eastAsia="Arial" w:hAnsi="Arial"/>
          <w:sz w:val="19"/>
          <w:szCs w:val="19"/>
          <w:u w:val="single" w:color="auto"/>
          <w:color w:val="auto"/>
        </w:rPr>
        <w:t>/s/ Dawn M. Becker</w:t>
      </w:r>
    </w:p>
    <w:p>
      <w:pPr>
        <w:spacing w:after="0" w:line="28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Dawn M. Becker</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Executive Vice President-</w:t>
      </w:r>
    </w:p>
    <w:p>
      <w:pPr>
        <w:spacing w:after="0" w:line="1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General Counsel and Secretary</w:t>
      </w:r>
    </w:p>
    <w:sectPr>
      <w:pgSz w:w="11900" w:h="16838" w:orient="portrait"/>
      <w:cols w:equalWidth="0" w:num="1">
        <w:col w:w="10760"/>
      </w:cols>
      <w:pgMar w:left="320" w:top="1381"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2022-05-06T12:17:29Z</dcterms:created>
  <dcterms:modified xsi:type="dcterms:W3CDTF">2022-05-06T12:17:29Z</dcterms:modified>
</cp:coreProperties>
</file>