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6"/>
          <w:szCs w:val="36"/>
          <w:b w:val="1"/>
          <w:bCs w:val="1"/>
          <w:color w:val="auto"/>
          <w:vertAlign w:val="superscript"/>
        </w:rPr>
        <w:t>*</w:t>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Real Estate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December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479"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8" w:lineRule="exact"/>
        <w:rPr>
          <w:sz w:val="24"/>
          <w:szCs w:val="24"/>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1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I.R.S. IDENTIFICATION NO. OF ABOVE PERSONS (ENTITIES ONLY)</w:t>
            </w:r>
          </w:p>
        </w:tc>
      </w:tr>
      <w:tr>
        <w:trPr>
          <w:trHeight w:val="447"/>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Invesco Ltd.</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98-0557567</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r>
      <w:tr>
        <w:trPr>
          <w:trHeight w:val="447"/>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Bermuda</w:t>
            </w:r>
          </w:p>
        </w:tc>
      </w:tr>
    </w:tbl>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42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 SOLE VOTING POWER</w:t>
            </w:r>
          </w:p>
        </w:tc>
        <w:tc>
          <w:tcPr>
            <w:tcW w:w="2720" w:type="dxa"/>
            <w:vAlign w:val="bottom"/>
          </w:tcPr>
          <w:p>
            <w:pPr>
              <w:ind w:left="1840"/>
              <w:spacing w:after="0"/>
              <w:rPr>
                <w:sz w:val="20"/>
                <w:szCs w:val="20"/>
                <w:color w:val="auto"/>
              </w:rPr>
            </w:pPr>
            <w:r>
              <w:rPr>
                <w:rFonts w:ascii="Times New Roman" w:cs="Times New Roman" w:eastAsia="Times New Roman" w:hAnsi="Times New Roman"/>
                <w:sz w:val="22"/>
                <w:szCs w:val="22"/>
                <w:color w:val="auto"/>
                <w:w w:val="97"/>
              </w:rPr>
              <w:t>2,064,045</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6. SHARED VOTING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74"/>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2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6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w w:val="97"/>
              </w:rPr>
              <w:t>3,705,292</w:t>
            </w:r>
          </w:p>
        </w:tc>
        <w:tc>
          <w:tcPr>
            <w:tcW w:w="0" w:type="dxa"/>
            <w:vAlign w:val="bottom"/>
          </w:tcPr>
          <w:p>
            <w:pPr>
              <w:spacing w:after="0"/>
              <w:rPr>
                <w:sz w:val="1"/>
                <w:szCs w:val="1"/>
                <w:color w:val="auto"/>
              </w:rPr>
            </w:pPr>
          </w:p>
        </w:tc>
      </w:tr>
      <w:tr>
        <w:trPr>
          <w:trHeight w:val="147"/>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6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PERSON WITH</w:t>
            </w:r>
          </w:p>
        </w:tc>
        <w:tc>
          <w:tcPr>
            <w:tcW w:w="420" w:type="dxa"/>
            <w:vAlign w:val="bottom"/>
          </w:tcPr>
          <w:p>
            <w:pPr>
              <w:spacing w:after="0"/>
              <w:rPr>
                <w:sz w:val="24"/>
                <w:szCs w:val="24"/>
                <w:color w:val="auto"/>
              </w:rPr>
            </w:pP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4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3,705,292</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5.2%</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HC,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2" w:right="1440" w:bottom="1440" w:gutter="0" w:footer="0" w:header="0"/>
        </w:sectPr>
      </w:pPr>
    </w:p>
    <w:bookmarkStart w:id="2" w:name="page3"/>
    <w:bookmarkEnd w:id="2"/>
    <w:p>
      <w:pPr>
        <w:spacing w:after="0" w:line="182" w:lineRule="auto"/>
        <w:framePr w:w="680" w:h="193" w:wrap="auto" w:vAnchor="page" w:hAnchor="page" w:x="1660" w:y="9563"/>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 ]</w:t>
      </w:r>
    </w:p>
    <w:p>
      <w:pPr>
        <w:spacing w:after="0" w:line="182" w:lineRule="auto"/>
        <w:framePr w:w="680" w:h="193" w:wrap="auto" w:vAnchor="page" w:hAnchor="page" w:x="1660" w:y="10063"/>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  [ ]</w:t>
      </w:r>
    </w:p>
    <w:p>
      <w:pPr>
        <w:spacing w:after="0" w:line="182" w:lineRule="auto"/>
        <w:framePr w:w="680" w:h="193" w:wrap="auto" w:vAnchor="page" w:hAnchor="page" w:x="1660" w:y="7429"/>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  [ ]</w:t>
      </w:r>
    </w:p>
    <w:p>
      <w:pPr>
        <w:spacing w:after="0" w:line="55"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Federal Realty Investment Trust</w:t>
      </w:r>
    </w:p>
    <w:p>
      <w:pPr>
        <w:spacing w:after="0" w:line="97" w:lineRule="exact"/>
        <w:rPr>
          <w:rFonts w:ascii="Times New Roman" w:cs="Times New Roman" w:eastAsia="Times New Roman" w:hAnsi="Times New Roman"/>
          <w:sz w:val="22"/>
          <w:szCs w:val="22"/>
          <w:b w:val="1"/>
          <w:bCs w:val="1"/>
          <w:color w:val="auto"/>
        </w:rPr>
      </w:pPr>
    </w:p>
    <w:p>
      <w:pPr>
        <w:jc w:val="both"/>
        <w:ind w:left="1780" w:right="5180" w:hanging="407"/>
        <w:spacing w:after="0" w:line="286" w:lineRule="auto"/>
        <w:tabs>
          <w:tab w:leader="none" w:pos="17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1626, East Jefferson Street, Rockville MD 20852</w:t>
      </w:r>
    </w:p>
    <w:p>
      <w:pPr>
        <w:spacing w:after="0" w:line="46" w:lineRule="exact"/>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rFonts w:ascii="Times New Roman" w:cs="Times New Roman" w:eastAsia="Times New Roman" w:hAnsi="Times New Roman"/>
          <w:sz w:val="22"/>
          <w:szCs w:val="22"/>
          <w:color w:val="auto"/>
        </w:rPr>
      </w:pPr>
    </w:p>
    <w:p>
      <w:pPr>
        <w:ind w:left="1780" w:right="694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Invesco Ltd. ("Invesco Ltd.")</w:t>
      </w:r>
    </w:p>
    <w:p>
      <w:pPr>
        <w:spacing w:after="0" w:line="45" w:lineRule="exact"/>
        <w:rPr>
          <w:rFonts w:ascii="Times New Roman" w:cs="Times New Roman" w:eastAsia="Times New Roman" w:hAnsi="Times New Roman"/>
          <w:sz w:val="21"/>
          <w:szCs w:val="21"/>
          <w:b w:val="1"/>
          <w:bCs w:val="1"/>
          <w:color w:val="auto"/>
        </w:rPr>
      </w:pPr>
    </w:p>
    <w:p>
      <w:pPr>
        <w:ind w:left="1780" w:right="408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1555 Peachtree Street NE, Suite 1800, Atlanta GA 30309</w:t>
      </w:r>
    </w:p>
    <w:p>
      <w:pPr>
        <w:spacing w:after="0" w:line="45" w:lineRule="exact"/>
        <w:rPr>
          <w:rFonts w:ascii="Times New Roman" w:cs="Times New Roman" w:eastAsia="Times New Roman" w:hAnsi="Times New Roman"/>
          <w:sz w:val="21"/>
          <w:szCs w:val="21"/>
          <w:b w:val="1"/>
          <w:bCs w:val="1"/>
          <w:color w:val="auto"/>
        </w:rPr>
      </w:pPr>
    </w:p>
    <w:p>
      <w:pPr>
        <w:ind w:left="1780" w:right="844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Bermuda</w:t>
      </w:r>
    </w:p>
    <w:p>
      <w:pPr>
        <w:spacing w:after="0" w:line="45" w:lineRule="exact"/>
        <w:rPr>
          <w:rFonts w:ascii="Times New Roman" w:cs="Times New Roman" w:eastAsia="Times New Roman" w:hAnsi="Times New Roman"/>
          <w:sz w:val="21"/>
          <w:szCs w:val="21"/>
          <w:b w:val="1"/>
          <w:bCs w:val="1"/>
          <w:color w:val="auto"/>
        </w:rPr>
      </w:pPr>
    </w:p>
    <w:p>
      <w:pPr>
        <w:ind w:left="1780" w:right="698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Title of Class of Securities </w:t>
      </w:r>
      <w:r>
        <w:rPr>
          <w:rFonts w:ascii="Times New Roman" w:cs="Times New Roman" w:eastAsia="Times New Roman" w:hAnsi="Times New Roman"/>
          <w:sz w:val="21"/>
          <w:szCs w:val="21"/>
          <w:color w:val="auto"/>
        </w:rPr>
        <w:t>Real Estate Investment Trust</w:t>
      </w:r>
    </w:p>
    <w:p>
      <w:pPr>
        <w:spacing w:after="0" w:line="45" w:lineRule="exact"/>
        <w:rPr>
          <w:rFonts w:ascii="Times New Roman" w:cs="Times New Roman" w:eastAsia="Times New Roman" w:hAnsi="Times New Roman"/>
          <w:sz w:val="21"/>
          <w:szCs w:val="21"/>
          <w:b w:val="1"/>
          <w:bCs w:val="1"/>
          <w:color w:val="auto"/>
        </w:rPr>
      </w:pPr>
    </w:p>
    <w:p>
      <w:pPr>
        <w:ind w:left="1780" w:right="802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313747206</w:t>
      </w:r>
    </w:p>
    <w:p>
      <w:pPr>
        <w:spacing w:after="0" w:line="46" w:lineRule="exact"/>
        <w:rPr>
          <w:rFonts w:ascii="Times New Roman" w:cs="Times New Roman" w:eastAsia="Times New Roman" w:hAnsi="Times New Roman"/>
          <w:sz w:val="22"/>
          <w:szCs w:val="22"/>
          <w:color w:val="auto"/>
        </w:rPr>
      </w:pPr>
    </w:p>
    <w:p>
      <w:pPr>
        <w:ind w:left="1380" w:hanging="1363"/>
        <w:spacing w:after="0" w:line="262"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4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w:t>
      </w:r>
    </w:p>
    <w:p>
      <w:pPr>
        <w:spacing w:after="0" w:line="14" w:lineRule="exact"/>
        <w:rPr>
          <w:rFonts w:ascii="Times New Roman" w:cs="Times New Roman" w:eastAsia="Times New Roman" w:hAnsi="Times New Roman"/>
          <w:sz w:val="22"/>
          <w:szCs w:val="22"/>
          <w:color w:val="auto"/>
        </w:rPr>
      </w:pPr>
    </w:p>
    <w:p>
      <w:pPr>
        <w:ind w:left="2240"/>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savings association as defined in Section 3(b) of the Federal Deposit Insurance Act (12 U.S.C. 1813);</w:t>
      </w:r>
    </w:p>
    <w:p>
      <w:pPr>
        <w:spacing w:after="0" w:line="137" w:lineRule="exact"/>
        <w:rPr>
          <w:rFonts w:ascii="Times New Roman" w:cs="Times New Roman" w:eastAsia="Times New Roman" w:hAnsi="Times New Roman"/>
          <w:sz w:val="22"/>
          <w:szCs w:val="22"/>
          <w:color w:val="auto"/>
        </w:rPr>
      </w:pPr>
    </w:p>
    <w:p>
      <w:pPr>
        <w:ind w:left="2240" w:right="1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2240"/>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rFonts w:ascii="Times New Roman" w:cs="Times New Roman" w:eastAsia="Times New Roman" w:hAnsi="Times New Roman"/>
          <w:sz w:val="22"/>
          <w:szCs w:val="22"/>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rFonts w:ascii="Times New Roman" w:cs="Times New Roman" w:eastAsia="Times New Roman" w:hAnsi="Times New Roman"/>
          <w:sz w:val="22"/>
          <w:szCs w:val="22"/>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80" w:right="20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Invesco Ltd. , in its capacity as investment adviser, may be deemed to beneficially own 3,705,292 shares of the Issuer which are held of record by clients of Invesco Ltd. ..</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tbl>
      <w:tblPr>
        <w:tblLayout w:type="fixed"/>
        <w:tblInd w:w="1780" w:type="dxa"/>
        <w:tblCellMar>
          <w:top w:w="0" w:type="dxa"/>
          <w:left w:w="0" w:type="dxa"/>
          <w:bottom w:w="0" w:type="dxa"/>
          <w:right w:w="0" w:type="dxa"/>
        </w:tblCellMar>
      </w:tblP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5"/>
              </w:rPr>
              <w:t>2,064,045</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dispose or to direct the disposition of</w:t>
            </w:r>
          </w:p>
        </w:tc>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5"/>
              </w:rPr>
              <w:t>3,705,292</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power to dispose or to direct the disposition of</w:t>
            </w:r>
          </w:p>
        </w:tc>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0</w:t>
            </w:r>
          </w:p>
        </w:tc>
      </w:tr>
    </w:tbl>
    <w:p>
      <w:pPr>
        <w:spacing w:after="0" w:line="92" w:lineRule="exact"/>
        <w:rPr>
          <w:rFonts w:ascii="Times New Roman" w:cs="Times New Roman" w:eastAsia="Times New Roman" w:hAnsi="Times New Roman"/>
          <w:sz w:val="22"/>
          <w:szCs w:val="22"/>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rFonts w:ascii="Times New Roman" w:cs="Times New Roman" w:eastAsia="Times New Roman" w:hAnsi="Times New Roman"/>
          <w:sz w:val="22"/>
          <w:szCs w:val="22"/>
          <w:color w:val="auto"/>
        </w:rPr>
      </w:pPr>
    </w:p>
    <w:p>
      <w:pPr>
        <w:ind w:left="1380" w:right="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rFonts w:ascii="Times New Roman" w:cs="Times New Roman" w:eastAsia="Times New Roman" w:hAnsi="Times New Roman"/>
          <w:sz w:val="22"/>
          <w:szCs w:val="22"/>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rFonts w:ascii="Times New Roman" w:cs="Times New Roman" w:eastAsia="Times New Roman" w:hAnsi="Times New Roman"/>
          <w:sz w:val="22"/>
          <w:szCs w:val="22"/>
          <w:color w:val="auto"/>
        </w:rPr>
      </w:pPr>
    </w:p>
    <w:p>
      <w:pPr>
        <w:ind w:left="1380"/>
        <w:spacing w:after="0"/>
        <w:rPr>
          <w:sz w:val="20"/>
          <w:szCs w:val="20"/>
          <w:color w:val="auto"/>
        </w:rPr>
      </w:pPr>
      <w:r>
        <w:rPr>
          <w:rFonts w:ascii="Times New Roman" w:cs="Times New Roman" w:eastAsia="Times New Roman" w:hAnsi="Times New Roman"/>
          <w:sz w:val="22"/>
          <w:szCs w:val="22"/>
          <w:color w:val="auto"/>
        </w:rPr>
        <w:t>However, no one individual has greater than 5% economic ownership. The shareholders of the Fund have the</w:t>
      </w:r>
    </w:p>
    <w:p>
      <w:pPr>
        <w:sectPr>
          <w:pgSz w:w="11900" w:h="16893" w:orient="portrait"/>
          <w:cols w:equalWidth="0" w:num="1">
            <w:col w:w="11260"/>
          </w:cols>
          <w:pgMar w:left="320" w:top="419" w:right="319" w:bottom="0" w:gutter="0" w:footer="0" w:header="0"/>
        </w:sectPr>
      </w:pPr>
    </w:p>
    <w:bookmarkStart w:id="3" w:name="page4"/>
    <w:bookmarkEnd w:id="3"/>
    <w:p>
      <w:pPr>
        <w:ind w:left="1380" w:right="520"/>
        <w:spacing w:after="0" w:line="259" w:lineRule="auto"/>
        <w:rPr>
          <w:sz w:val="20"/>
          <w:szCs w:val="20"/>
          <w:color w:val="auto"/>
        </w:rPr>
      </w:pPr>
      <w:r>
        <w:rPr>
          <w:rFonts w:ascii="Times New Roman" w:cs="Times New Roman" w:eastAsia="Times New Roman" w:hAnsi="Times New Roman"/>
          <w:sz w:val="22"/>
          <w:szCs w:val="22"/>
          <w:color w:val="auto"/>
        </w:rPr>
        <w:t>right to receive or the power to direct the receipt of dividends and proceeds from the sale of securities listed above.</w:t>
      </w:r>
    </w:p>
    <w:p>
      <w:pPr>
        <w:spacing w:after="0" w:line="72" w:lineRule="exact"/>
        <w:rPr>
          <w:sz w:val="20"/>
          <w:szCs w:val="20"/>
          <w:color w:val="auto"/>
        </w:rPr>
      </w:pPr>
    </w:p>
    <w:p>
      <w:pPr>
        <w:ind w:left="1380" w:right="100" w:hanging="1363"/>
        <w:spacing w:after="0" w:line="262"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2"/>
          <w:szCs w:val="22"/>
          <w:b w:val="1"/>
          <w:bCs w:val="1"/>
          <w:color w:val="auto"/>
        </w:rPr>
        <w:t>Identification and Classification of the Subsidiary Which Acquired the Security Being Reported on by the Parent Holding Company.</w:t>
      </w:r>
    </w:p>
    <w:p>
      <w:pPr>
        <w:spacing w:after="0" w:line="7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Invesco Asset Management Japan Limited</w:t>
      </w:r>
    </w:p>
    <w:p>
      <w:pPr>
        <w:ind w:left="1380"/>
        <w:spacing w:after="0" w:line="230" w:lineRule="auto"/>
        <w:rPr>
          <w:sz w:val="20"/>
          <w:szCs w:val="20"/>
          <w:color w:val="auto"/>
        </w:rPr>
      </w:pPr>
      <w:r>
        <w:rPr>
          <w:rFonts w:ascii="Times New Roman" w:cs="Times New Roman" w:eastAsia="Times New Roman" w:hAnsi="Times New Roman"/>
          <w:sz w:val="22"/>
          <w:szCs w:val="22"/>
          <w:color w:val="auto"/>
        </w:rPr>
        <w:t>Invesco Investment Advisers, LLC</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Invesco PowerShares Capital Management LLC</w:t>
      </w:r>
    </w:p>
    <w:p>
      <w:pPr>
        <w:spacing w:after="0" w:line="9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pacing w:after="0" w:line="237" w:lineRule="exact"/>
        <w:rPr>
          <w:sz w:val="20"/>
          <w:szCs w:val="20"/>
          <w:color w:val="auto"/>
        </w:rPr>
      </w:pPr>
    </w:p>
    <w:p>
      <w:pPr>
        <w:ind w:left="138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12" w:right="37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2" w:lineRule="exact"/>
        <w:rPr>
          <w:sz w:val="20"/>
          <w:szCs w:val="20"/>
          <w:color w:val="auto"/>
        </w:rPr>
      </w:pPr>
    </w:p>
    <w:p>
      <w:pPr>
        <w:ind w:right="25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Invesco Ltd.</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Nancy Tomassone</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Date: February 14, 2017</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Nancy Tomassone</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Global Assurance Officer</w:t>
      </w:r>
    </w:p>
    <w:p>
      <w:pPr>
        <w:sectPr>
          <w:pgSz w:w="11900" w:h="16838" w:orient="portrait"/>
          <w:cols w:equalWidth="0" w:num="1">
            <w:col w:w="9019"/>
          </w:cols>
          <w:pgMar w:left="1440" w:top="405" w:right="1440" w:bottom="1440" w:gutter="0" w:footer="0" w:header="0"/>
        </w:sectPr>
      </w:pPr>
    </w:p>
    <w:bookmarkStart w:id="5" w:name="page6"/>
    <w:bookmarkEnd w:id="5"/>
    <w:p>
      <w:pPr>
        <w:spacing w:after="0" w:line="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23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1/31/2017</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Nancy Tomassone</w:t>
      </w:r>
    </w:p>
    <w:p>
      <w:pPr>
        <w:spacing w:after="0" w:line="230" w:lineRule="auto"/>
        <w:rPr>
          <w:sz w:val="20"/>
          <w:szCs w:val="20"/>
          <w:color w:val="auto"/>
        </w:rPr>
      </w:pPr>
      <w:r>
        <w:rPr>
          <w:rFonts w:ascii="Times New Roman" w:cs="Times New Roman" w:eastAsia="Times New Roman" w:hAnsi="Times New Roman"/>
          <w:sz w:val="22"/>
          <w:szCs w:val="22"/>
          <w:color w:val="auto"/>
        </w:rPr>
        <w:t>Name: Nancy Tomassone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Global Assurance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Robert Leveille</w:t>
      </w:r>
    </w:p>
    <w:p>
      <w:pPr>
        <w:spacing w:after="0" w:line="230" w:lineRule="auto"/>
        <w:rPr>
          <w:sz w:val="20"/>
          <w:szCs w:val="20"/>
          <w:color w:val="auto"/>
        </w:rPr>
      </w:pPr>
      <w:r>
        <w:rPr>
          <w:rFonts w:ascii="Times New Roman" w:cs="Times New Roman" w:eastAsia="Times New Roman" w:hAnsi="Times New Roman"/>
          <w:sz w:val="22"/>
          <w:szCs w:val="22"/>
          <w:color w:val="auto"/>
        </w:rPr>
        <w:t>Name: Robert Leveille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Canada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Daniela Nalli</w:t>
      </w:r>
    </w:p>
    <w:p>
      <w:pPr>
        <w:spacing w:after="0" w:line="230" w:lineRule="auto"/>
        <w:rPr>
          <w:sz w:val="20"/>
          <w:szCs w:val="20"/>
          <w:color w:val="auto"/>
        </w:rPr>
      </w:pPr>
      <w:r>
        <w:rPr>
          <w:rFonts w:ascii="Times New Roman" w:cs="Times New Roman" w:eastAsia="Times New Roman" w:hAnsi="Times New Roman"/>
          <w:sz w:val="22"/>
          <w:szCs w:val="22"/>
          <w:color w:val="auto"/>
        </w:rPr>
        <w:t>Name: Daniela Nalli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Trust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Teri Brunsman</w:t>
      </w:r>
    </w:p>
    <w:p>
      <w:pPr>
        <w:spacing w:after="0" w:line="230" w:lineRule="auto"/>
        <w:rPr>
          <w:sz w:val="20"/>
          <w:szCs w:val="20"/>
          <w:color w:val="auto"/>
        </w:rPr>
      </w:pPr>
      <w:r>
        <w:rPr>
          <w:rFonts w:ascii="Times New Roman" w:cs="Times New Roman" w:eastAsia="Times New Roman" w:hAnsi="Times New Roman"/>
          <w:sz w:val="22"/>
          <w:szCs w:val="22"/>
          <w:color w:val="auto"/>
        </w:rPr>
        <w:t>Name: Teri Brunsman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Asha Balachandra</w:t>
      </w:r>
    </w:p>
    <w:p>
      <w:pPr>
        <w:spacing w:after="0" w:line="230" w:lineRule="auto"/>
        <w:rPr>
          <w:sz w:val="20"/>
          <w:szCs w:val="20"/>
          <w:color w:val="auto"/>
        </w:rPr>
      </w:pPr>
      <w:r>
        <w:rPr>
          <w:rFonts w:ascii="Times New Roman" w:cs="Times New Roman" w:eastAsia="Times New Roman" w:hAnsi="Times New Roman"/>
          <w:sz w:val="22"/>
          <w:szCs w:val="22"/>
          <w:color w:val="auto"/>
        </w:rPr>
        <w:t>Name: Asha Balachandra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Reg. Head of Legal AP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Deutschland GmbH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Stephanie Ehrenfried</w:t>
      </w:r>
    </w:p>
    <w:p>
      <w:pPr>
        <w:spacing w:after="0" w:line="230" w:lineRule="auto"/>
        <w:rPr>
          <w:sz w:val="20"/>
          <w:szCs w:val="20"/>
          <w:color w:val="auto"/>
        </w:rPr>
      </w:pPr>
      <w:r>
        <w:rPr>
          <w:rFonts w:ascii="Times New Roman" w:cs="Times New Roman" w:eastAsia="Times New Roman" w:hAnsi="Times New Roman"/>
          <w:sz w:val="22"/>
          <w:szCs w:val="22"/>
          <w:color w:val="auto"/>
        </w:rPr>
        <w:t>Name: Stephanie Ehrenfried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Legal Continental Europe &amp; Cross-Border Funds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Chris Edge</w:t>
      </w:r>
    </w:p>
    <w:p>
      <w:pPr>
        <w:spacing w:after="0" w:line="230" w:lineRule="auto"/>
        <w:rPr>
          <w:sz w:val="20"/>
          <w:szCs w:val="20"/>
          <w:color w:val="auto"/>
        </w:rPr>
      </w:pPr>
      <w:r>
        <w:rPr>
          <w:rFonts w:ascii="Times New Roman" w:cs="Times New Roman" w:eastAsia="Times New Roman" w:hAnsi="Times New Roman"/>
          <w:sz w:val="22"/>
          <w:szCs w:val="22"/>
          <w:color w:val="auto"/>
        </w:rPr>
        <w:t>Name: Chris Edge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Director of UK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S.A.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Matthieu Grosclaude</w:t>
      </w:r>
    </w:p>
    <w:p>
      <w:pPr>
        <w:spacing w:after="0" w:line="230" w:lineRule="auto"/>
        <w:rPr>
          <w:sz w:val="20"/>
          <w:szCs w:val="20"/>
          <w:color w:val="auto"/>
        </w:rPr>
      </w:pPr>
      <w:r>
        <w:rPr>
          <w:rFonts w:ascii="Times New Roman" w:cs="Times New Roman" w:eastAsia="Times New Roman" w:hAnsi="Times New Roman"/>
          <w:sz w:val="22"/>
          <w:szCs w:val="22"/>
          <w:color w:val="auto"/>
        </w:rPr>
        <w:t>Name: Matthieu Grosclaude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COO, EMEA Retail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S.A.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Bernard Aybran</w:t>
      </w:r>
    </w:p>
    <w:p>
      <w:pPr>
        <w:spacing w:after="0" w:line="230" w:lineRule="auto"/>
        <w:rPr>
          <w:sz w:val="20"/>
          <w:szCs w:val="20"/>
          <w:color w:val="auto"/>
        </w:rPr>
      </w:pPr>
      <w:r>
        <w:rPr>
          <w:rFonts w:ascii="Times New Roman" w:cs="Times New Roman" w:eastAsia="Times New Roman" w:hAnsi="Times New Roman"/>
          <w:sz w:val="22"/>
          <w:szCs w:val="22"/>
          <w:color w:val="auto"/>
        </w:rPr>
        <w:t>Name: Bernard Aybran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Multi-Management CIO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Management S.A.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Peter Carroll</w:t>
      </w:r>
    </w:p>
    <w:p>
      <w:pPr>
        <w:spacing w:after="0" w:line="230" w:lineRule="auto"/>
        <w:rPr>
          <w:sz w:val="20"/>
          <w:szCs w:val="20"/>
          <w:color w:val="auto"/>
        </w:rPr>
      </w:pPr>
      <w:r>
        <w:rPr>
          <w:rFonts w:ascii="Times New Roman" w:cs="Times New Roman" w:eastAsia="Times New Roman" w:hAnsi="Times New Roman"/>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EMEA Delegation Oversight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Taiwan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Asha Balachandra</w:t>
      </w:r>
    </w:p>
    <w:p>
      <w:pPr>
        <w:spacing w:after="0" w:line="230" w:lineRule="auto"/>
        <w:rPr>
          <w:sz w:val="20"/>
          <w:szCs w:val="20"/>
          <w:color w:val="auto"/>
        </w:rPr>
      </w:pPr>
      <w:r>
        <w:rPr>
          <w:rFonts w:ascii="Times New Roman" w:cs="Times New Roman" w:eastAsia="Times New Roman" w:hAnsi="Times New Roman"/>
          <w:sz w:val="22"/>
          <w:szCs w:val="22"/>
          <w:color w:val="auto"/>
        </w:rPr>
        <w:t>Name: Asha Balachandra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Reg. Head of Legal, AP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(Japan)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Asha Balachandra</w:t>
      </w:r>
    </w:p>
    <w:p>
      <w:pPr>
        <w:spacing w:after="0" w:line="230" w:lineRule="auto"/>
        <w:rPr>
          <w:sz w:val="20"/>
          <w:szCs w:val="20"/>
          <w:color w:val="auto"/>
        </w:rPr>
      </w:pPr>
      <w:r>
        <w:rPr>
          <w:rFonts w:ascii="Times New Roman" w:cs="Times New Roman" w:eastAsia="Times New Roman" w:hAnsi="Times New Roman"/>
          <w:sz w:val="22"/>
          <w:szCs w:val="22"/>
          <w:color w:val="auto"/>
        </w:rPr>
        <w:t>Name: Asha Balachandra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Reg. Head of Legal, AP</w:t>
      </w:r>
    </w:p>
    <w:p>
      <w:pPr>
        <w:sectPr>
          <w:pgSz w:w="11900" w:h="16877" w:orient="portrait"/>
          <w:cols w:equalWidth="0" w:num="1">
            <w:col w:w="11120"/>
          </w:cols>
          <w:pgMar w:left="340" w:top="108" w:right="4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Invesco Asset Management Singapore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Asha Balachandra</w:t>
      </w:r>
    </w:p>
    <w:p>
      <w:pPr>
        <w:spacing w:after="0" w:line="230" w:lineRule="auto"/>
        <w:rPr>
          <w:sz w:val="20"/>
          <w:szCs w:val="20"/>
          <w:color w:val="auto"/>
        </w:rPr>
      </w:pPr>
      <w:r>
        <w:rPr>
          <w:rFonts w:ascii="Times New Roman" w:cs="Times New Roman" w:eastAsia="Times New Roman" w:hAnsi="Times New Roman"/>
          <w:sz w:val="22"/>
          <w:szCs w:val="22"/>
          <w:color w:val="auto"/>
        </w:rPr>
        <w:t>Name: Asha Balachandra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Reg. Head of Legal, AP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Global Asset Management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Cormac O'Sullivan</w:t>
      </w:r>
    </w:p>
    <w:p>
      <w:pPr>
        <w:spacing w:after="0" w:line="230" w:lineRule="auto"/>
        <w:rPr>
          <w:sz w:val="20"/>
          <w:szCs w:val="20"/>
          <w:color w:val="auto"/>
        </w:rPr>
      </w:pPr>
      <w:r>
        <w:rPr>
          <w:rFonts w:ascii="Times New Roman" w:cs="Times New Roman" w:eastAsia="Times New Roman" w:hAnsi="Times New Roman"/>
          <w:sz w:val="22"/>
          <w:szCs w:val="22"/>
          <w:color w:val="auto"/>
        </w:rPr>
        <w:t>Name: Cormac O'Sullivan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PMO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Invesco PowerShares Capital Management, LLC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Christopher Joe</w:t>
      </w:r>
    </w:p>
    <w:p>
      <w:pPr>
        <w:spacing w:after="0" w:line="230" w:lineRule="auto"/>
        <w:rPr>
          <w:sz w:val="20"/>
          <w:szCs w:val="20"/>
          <w:color w:val="auto"/>
        </w:rPr>
      </w:pPr>
      <w:r>
        <w:rPr>
          <w:rFonts w:ascii="Times New Roman" w:cs="Times New Roman" w:eastAsia="Times New Roman" w:hAnsi="Times New Roman"/>
          <w:sz w:val="22"/>
          <w:szCs w:val="22"/>
          <w:color w:val="auto"/>
        </w:rPr>
        <w:t>Name: Christopher Joe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Investment Advisers,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Miranda O'Keefe</w:t>
      </w:r>
    </w:p>
    <w:p>
      <w:pPr>
        <w:spacing w:after="0" w:line="230" w:lineRule="auto"/>
        <w:rPr>
          <w:sz w:val="20"/>
          <w:szCs w:val="20"/>
          <w:color w:val="auto"/>
        </w:rPr>
      </w:pPr>
      <w:r>
        <w:rPr>
          <w:rFonts w:ascii="Times New Roman" w:cs="Times New Roman" w:eastAsia="Times New Roman" w:hAnsi="Times New Roman"/>
          <w:sz w:val="22"/>
          <w:szCs w:val="22"/>
          <w:color w:val="auto"/>
        </w:rPr>
        <w:t>Name: Miranda O'Keefe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Australia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Jane Stewart</w:t>
      </w:r>
    </w:p>
    <w:p>
      <w:pPr>
        <w:spacing w:after="0" w:line="230" w:lineRule="auto"/>
        <w:rPr>
          <w:sz w:val="20"/>
          <w:szCs w:val="20"/>
          <w:color w:val="auto"/>
        </w:rPr>
      </w:pPr>
      <w:r>
        <w:rPr>
          <w:rFonts w:ascii="Times New Roman" w:cs="Times New Roman" w:eastAsia="Times New Roman" w:hAnsi="Times New Roman"/>
          <w:sz w:val="22"/>
          <w:szCs w:val="22"/>
          <w:color w:val="auto"/>
        </w:rPr>
        <w:t>Name: Jane Stewart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sectPr>
      <w:pgSz w:w="11900" w:h="16838" w:orient="portrait"/>
      <w:cols w:equalWidth="0" w:num="1">
        <w:col w:w="10119"/>
      </w:cols>
      <w:pgMar w:left="34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2019-12-05T03:05:24Z</dcterms:created>
  <dcterms:modified xsi:type="dcterms:W3CDTF">2019-12-05T03:05:24Z</dcterms:modified>
</cp:coreProperties>
</file>