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520"/>
        <w:spacing w:after="0"/>
        <w:tabs>
          <w:tab w:leader="none" w:pos="4120" w:val="left"/>
        </w:tabs>
        <w:rPr>
          <w:sz w:val="20"/>
          <w:szCs w:val="20"/>
          <w:color w:val="auto"/>
        </w:rPr>
      </w:pPr>
      <w:r>
        <w:rPr>
          <w:rFonts w:ascii="Courier New" w:cs="Courier New" w:eastAsia="Courier New" w:hAnsi="Courier New"/>
          <w:sz w:val="15"/>
          <w:szCs w:val="15"/>
          <w:color w:val="auto"/>
        </w:rPr>
        <w:t>Washington, D.C.</w:t>
        <w:tab/>
        <w:t>20549</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8-K</w:t>
      </w:r>
    </w:p>
    <w:p>
      <w:pPr>
        <w:spacing w:after="0" w:line="177"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4" w:lineRule="exact"/>
        <w:rPr>
          <w:sz w:val="24"/>
          <w:szCs w:val="24"/>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Pursuant to Section 13 or 15(d) of the Securities Exchange Act of 1934 Date of Report: January 29, 1997</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80" w:right="1440" w:bottom="1440" w:gutter="0" w:footer="0" w:header="0"/>
        </w:sectPr>
      </w:pPr>
    </w:p>
    <w:p>
      <w:pPr>
        <w:spacing w:after="0" w:line="35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District of Columbia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1-7533</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52-0782497</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3">
            <w:col w:w="2700" w:space="540"/>
            <w:col w:w="1180" w:space="540"/>
            <w:col w:w="5259"/>
          </w:cols>
          <w:pgMar w:left="240" w:top="580" w:right="1440" w:bottom="1440" w:gutter="0" w:footer="0" w:header="0"/>
          <w:type w:val="continuous"/>
        </w:sectPr>
      </w:pPr>
    </w:p>
    <w:p>
      <w:pPr>
        <w:spacing w:after="0" w:line="151" w:lineRule="exact"/>
        <w:rPr>
          <w:sz w:val="24"/>
          <w:szCs w:val="24"/>
          <w:color w:val="auto"/>
        </w:rPr>
      </w:pPr>
    </w:p>
    <w:p>
      <w:pPr>
        <w:ind w:left="260" w:hanging="270"/>
        <w:spacing w:after="0" w:line="244" w:lineRule="auto"/>
        <w:rPr>
          <w:sz w:val="20"/>
          <w:szCs w:val="20"/>
          <w:color w:val="auto"/>
        </w:rPr>
      </w:pPr>
      <w:r>
        <w:rPr>
          <w:rFonts w:ascii="Courier New" w:cs="Courier New" w:eastAsia="Courier New" w:hAnsi="Courier New"/>
          <w:sz w:val="15"/>
          <w:szCs w:val="15"/>
          <w:color w:val="auto"/>
        </w:rPr>
        <w:t>1626 East Jefferson Street, Rockville, Maryland (Address of principal executive offices) ----------------------------------------</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4"/>
          <w:szCs w:val="24"/>
          <w:color w:val="auto"/>
        </w:rPr>
      </w:pPr>
    </w:p>
    <w:p>
      <w:pPr>
        <w:sectPr>
          <w:pgSz w:w="11900" w:h="16838" w:orient="portrait"/>
          <w:cols w:equalWidth="0" w:num="2">
            <w:col w:w="4220" w:space="560"/>
            <w:col w:w="5439"/>
          </w:cols>
          <w:pgMar w:left="240" w:top="580" w:right="1440" w:bottom="1440" w:gutter="0" w:footer="0" w:header="0"/>
          <w:type w:val="continuous"/>
        </w:sectPr>
      </w:pP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301/998-8100</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600" w:space="720"/>
            <w:col w:w="4899"/>
          </w:cols>
          <w:pgMar w:left="240" w:top="580" w:right="1440" w:bottom="1440" w:gutter="0" w:footer="0" w:header="0"/>
          <w:type w:val="continuous"/>
        </w:sectPr>
      </w:pPr>
    </w:p>
    <w:bookmarkStart w:id="1" w:name="page2"/>
    <w:bookmarkEnd w:id="1"/>
    <w:p>
      <w:pPr>
        <w:ind w:left="8"/>
        <w:spacing w:after="0"/>
        <w:tabs>
          <w:tab w:leader="none" w:pos="787" w:val="left"/>
        </w:tabs>
        <w:rPr>
          <w:sz w:val="20"/>
          <w:szCs w:val="20"/>
          <w:color w:val="auto"/>
        </w:rPr>
      </w:pPr>
      <w:r>
        <w:rPr>
          <w:rFonts w:ascii="Courier New" w:cs="Courier New" w:eastAsia="Courier New" w:hAnsi="Courier New"/>
          <w:sz w:val="15"/>
          <w:szCs w:val="15"/>
          <w:color w:val="auto"/>
        </w:rPr>
        <w:t>ITEM 5.</w:t>
        <w:tab/>
        <w:t>OTHER ITEMS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During 1996 Federal Realty Investment Trust ("the Trust") acquired three shopping centers ("the acquired centers"). On October 1, 1996, the Trust acquired Saugus Plaza Shopping Center, located in the metropolitan Boston, Massachusetts area, for a cash purchase price of $12.2 million. On October 29, 1996, the Trust purchased Wynnewood Shopping Center in suburban Philadelphia, Pennsylvania, for $20.9 million in cash. On December 31, 1996, the Trust acquired the controlling interest in a Limited Liability Company formed to own Escondido Promenade Shopping Center in Escondido, California, for $14.2 million in cash. The $23.5 million center is subject to $9.4 million of long-term, tax-free financing. The cash portion of all of the acquisitions was initially financed with borrowings under the Trust's revolving credit facilities.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1996 the Trust also acquired 14 retail buildings. On February 28, 1996, the Trust purchased, for cash, two retail buildings totalling 28,446 square feet in Winter Park, Florida for a cost of $6.8 million. On May 6, 1996, the Trust purchased a 14,712 square foot building in Greenwich, Connecticut for $3.2 million in cash and on June 4, 1996 purchased a 21,954 square foot building in Greenwich, Connecticut for $9.5 million in cash. On December 31, 1996, the Trust invested $17.6 million for the general partnership interest in a partnership which owns ten buildings in Southern California valued at $28.0 million. The minority partner will receive a cumulative return of $762,000 per year. All remaining income and cash available for distribution will be allocated 90% to the Trust and 10% to the minority partner until each receives a return of 10% on its deemed investment and then 60% to the Trust and 40% to the minority partner. The Trust is obligated to fund 90% of future required capital. After twenty four months, the Trust, upon the properties meeting certain performance goals, can be required to redeem the minority partner's interest for a price determined by an agreed upon formula, payable in either cash or shares at the election of the minority partner. Six of the buildings are vacant and will be redeveloped primarily for retail use. Therefore, the six buildings are not classified as real estate operations. The partnership's investment in the remaining four retail buildings is $14.4 million. Financial statements for the retail buildings, which are not significant individually or in total, are not included with this Form 8-K.</w:t>
      </w:r>
    </w:p>
    <w:p>
      <w:pPr>
        <w:spacing w:after="0" w:line="18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7.</w:t>
        <w:tab/>
        <w:t>FINANCIAL STATEMENTS AND EXHIBITS</w:t>
      </w:r>
    </w:p>
    <w:p>
      <w:pPr>
        <w:spacing w:after="0" w:line="178"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The following financial statements, pro forma financial information and exhibits are filed as part of this report:</w:t>
      </w:r>
    </w:p>
    <w:p>
      <w:pPr>
        <w:spacing w:after="0" w:line="176" w:lineRule="exact"/>
        <w:rPr>
          <w:sz w:val="20"/>
          <w:szCs w:val="20"/>
          <w:color w:val="auto"/>
        </w:rPr>
      </w:pPr>
    </w:p>
    <w:p>
      <w:pPr>
        <w:ind w:left="8" w:right="3559" w:hanging="8"/>
        <w:spacing w:after="0" w:line="243" w:lineRule="auto"/>
        <w:tabs>
          <w:tab w:leader="none" w:pos="45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real estate operations acquired, prepared pursuant to Rule 3.14 of Regulation S-X:</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  Audited financial statement of</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Saugus Plaza Center</w:t>
            </w:r>
          </w:p>
        </w:tc>
        <w:tc>
          <w:tcPr>
            <w:tcW w:w="1160" w:type="dxa"/>
            <w:vAlign w:val="bottom"/>
          </w:tcPr>
          <w:p>
            <w:pPr>
              <w:spacing w:after="0"/>
              <w:rPr>
                <w:sz w:val="14"/>
                <w:szCs w:val="14"/>
                <w:color w:val="auto"/>
              </w:rPr>
            </w:pPr>
          </w:p>
        </w:tc>
      </w:tr>
      <w:tr>
        <w:trPr>
          <w:trHeight w:val="347"/>
        </w:trPr>
        <w:tc>
          <w:tcPr>
            <w:tcW w:w="3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Independent Auditor's Report</w:t>
            </w:r>
          </w:p>
        </w:tc>
        <w:tc>
          <w:tcPr>
            <w:tcW w:w="2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7"/>
        </w:trPr>
        <w:tc>
          <w:tcPr>
            <w:tcW w:w="1300" w:type="dxa"/>
            <w:vAlign w:val="bottom"/>
          </w:tcPr>
          <w:p>
            <w:pPr>
              <w:ind w:left="620"/>
              <w:spacing w:after="0"/>
              <w:rPr>
                <w:sz w:val="20"/>
                <w:szCs w:val="20"/>
                <w:color w:val="auto"/>
              </w:rPr>
            </w:pPr>
            <w:r>
              <w:rPr>
                <w:rFonts w:ascii="Courier New" w:cs="Courier New" w:eastAsia="Courier New" w:hAnsi="Courier New"/>
                <w:sz w:val="15"/>
                <w:szCs w:val="15"/>
                <w:color w:val="auto"/>
              </w:rPr>
              <w:t>Special</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Purpose Statement of</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1160" w:type="dxa"/>
            <w:vAlign w:val="bottom"/>
          </w:tcPr>
          <w:p>
            <w:pPr>
              <w:spacing w:after="0"/>
              <w:rPr>
                <w:sz w:val="24"/>
                <w:szCs w:val="24"/>
                <w:color w:val="auto"/>
              </w:rPr>
            </w:pPr>
          </w:p>
        </w:tc>
      </w:tr>
      <w:tr>
        <w:trPr>
          <w:trHeight w:val="173"/>
        </w:trPr>
        <w:tc>
          <w:tcPr>
            <w:tcW w:w="1300" w:type="dxa"/>
            <w:vAlign w:val="bottom"/>
          </w:tcPr>
          <w:p>
            <w:pPr>
              <w:ind w:left="620"/>
              <w:spacing w:after="0"/>
              <w:rPr>
                <w:sz w:val="20"/>
                <w:szCs w:val="20"/>
                <w:color w:val="auto"/>
              </w:rPr>
            </w:pPr>
            <w:r>
              <w:rPr>
                <w:rFonts w:ascii="Courier New" w:cs="Courier New" w:eastAsia="Courier New" w:hAnsi="Courier New"/>
                <w:sz w:val="15"/>
                <w:szCs w:val="15"/>
                <w:color w:val="auto"/>
              </w:rPr>
              <w:t>for the</w:t>
            </w:r>
          </w:p>
        </w:tc>
        <w:tc>
          <w:tcPr>
            <w:tcW w:w="4740" w:type="dxa"/>
            <w:vAlign w:val="bottom"/>
            <w:gridSpan w:val="2"/>
          </w:tcPr>
          <w:p>
            <w:pPr>
              <w:jc w:val="right"/>
              <w:ind w:right="2105"/>
              <w:spacing w:after="0"/>
              <w:rPr>
                <w:sz w:val="20"/>
                <w:szCs w:val="20"/>
                <w:color w:val="auto"/>
              </w:rPr>
            </w:pPr>
            <w:r>
              <w:rPr>
                <w:rFonts w:ascii="Courier New" w:cs="Courier New" w:eastAsia="Courier New" w:hAnsi="Courier New"/>
                <w:sz w:val="15"/>
                <w:szCs w:val="15"/>
                <w:color w:val="auto"/>
              </w:rPr>
              <w:t>year ended December 31, 1995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520"/>
        </w:trPr>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40" w:type="dxa"/>
            <w:vAlign w:val="bottom"/>
          </w:tcPr>
          <w:p>
            <w:pPr>
              <w:jc w:val="right"/>
              <w:ind w:right="236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2" w:name="page3"/>
    <w:bookmarkEnd w:id="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59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Notes to Special Purpose Statement of</w:t>
            </w:r>
          </w:p>
        </w:tc>
        <w:tc>
          <w:tcPr>
            <w:tcW w:w="860" w:type="dxa"/>
            <w:vAlign w:val="bottom"/>
          </w:tcPr>
          <w:p>
            <w:pPr>
              <w:spacing w:after="0"/>
              <w:rPr>
                <w:sz w:val="14"/>
                <w:szCs w:val="14"/>
                <w:color w:val="auto"/>
              </w:rPr>
            </w:pPr>
          </w:p>
        </w:tc>
      </w:tr>
      <w:tr>
        <w:trPr>
          <w:trHeight w:val="173"/>
        </w:trPr>
        <w:tc>
          <w:tcPr>
            <w:tcW w:w="360" w:type="dxa"/>
            <w:vAlign w:val="bottom"/>
          </w:tcPr>
          <w:p>
            <w:pPr>
              <w:spacing w:after="0"/>
              <w:rPr>
                <w:sz w:val="15"/>
                <w:szCs w:val="15"/>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Operations December 31, 1995</w:t>
            </w:r>
          </w:p>
        </w:tc>
        <w:tc>
          <w:tcPr>
            <w:tcW w:w="3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520"/>
        </w:trPr>
        <w:tc>
          <w:tcPr>
            <w:tcW w:w="3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Audited financial statement of</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Wynnewood Shopping Center</w:t>
            </w:r>
          </w:p>
        </w:tc>
        <w:tc>
          <w:tcPr>
            <w:tcW w:w="860" w:type="dxa"/>
            <w:vAlign w:val="bottom"/>
          </w:tcPr>
          <w:p>
            <w:pPr>
              <w:spacing w:after="0"/>
              <w:rPr>
                <w:sz w:val="24"/>
                <w:szCs w:val="24"/>
                <w:color w:val="auto"/>
              </w:rPr>
            </w:pPr>
          </w:p>
        </w:tc>
      </w:tr>
      <w:tr>
        <w:trPr>
          <w:trHeight w:val="347"/>
        </w:trPr>
        <w:tc>
          <w:tcPr>
            <w:tcW w:w="360" w:type="dxa"/>
            <w:vAlign w:val="bottom"/>
          </w:tcPr>
          <w:p>
            <w:pPr>
              <w:spacing w:after="0"/>
              <w:rPr>
                <w:sz w:val="24"/>
                <w:szCs w:val="24"/>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3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47"/>
        </w:trPr>
        <w:tc>
          <w:tcPr>
            <w:tcW w:w="360" w:type="dxa"/>
            <w:vAlign w:val="bottom"/>
          </w:tcPr>
          <w:p>
            <w:pPr>
              <w:spacing w:after="0"/>
              <w:rPr>
                <w:sz w:val="24"/>
                <w:szCs w:val="24"/>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Balance Sheet - December 31,</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47"/>
        </w:trPr>
        <w:tc>
          <w:tcPr>
            <w:tcW w:w="36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Statement of</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Operations - Year Ended December 31, 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47"/>
        </w:trPr>
        <w:tc>
          <w:tcPr>
            <w:tcW w:w="36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Statement of</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Changes in Partners' Capital</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7"/>
        </w:trPr>
        <w:tc>
          <w:tcPr>
            <w:tcW w:w="36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Statement of</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Cash Flows Year</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Ended December 31, 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7"/>
        </w:trPr>
        <w:tc>
          <w:tcPr>
            <w:tcW w:w="36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Notes to the</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Statements - December 31, 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347"/>
        </w:trPr>
        <w:tc>
          <w:tcPr>
            <w:tcW w:w="36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Schedules of</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Rental and General and Administrative Expenses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7"/>
        </w:trPr>
        <w:tc>
          <w:tcPr>
            <w:tcW w:w="3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Audited financial statement of</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Escondido Promenade Shopping</w:t>
            </w:r>
          </w:p>
        </w:tc>
        <w:tc>
          <w:tcPr>
            <w:tcW w:w="860" w:type="dxa"/>
            <w:vAlign w:val="bottom"/>
          </w:tcPr>
          <w:p>
            <w:pPr>
              <w:spacing w:after="0"/>
              <w:rPr>
                <w:sz w:val="24"/>
                <w:szCs w:val="24"/>
                <w:color w:val="auto"/>
              </w:rPr>
            </w:pP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Center</w:t>
            </w:r>
          </w:p>
        </w:tc>
        <w:tc>
          <w:tcPr>
            <w:tcW w:w="14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47"/>
        </w:trPr>
        <w:tc>
          <w:tcPr>
            <w:tcW w:w="360" w:type="dxa"/>
            <w:vAlign w:val="bottom"/>
          </w:tcPr>
          <w:p>
            <w:pPr>
              <w:spacing w:after="0"/>
              <w:rPr>
                <w:sz w:val="24"/>
                <w:szCs w:val="24"/>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3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7"/>
        </w:trPr>
        <w:tc>
          <w:tcPr>
            <w:tcW w:w="360" w:type="dxa"/>
            <w:vAlign w:val="bottom"/>
          </w:tcPr>
          <w:p>
            <w:pPr>
              <w:spacing w:after="0"/>
              <w:rPr>
                <w:sz w:val="24"/>
                <w:szCs w:val="24"/>
                <w:color w:val="auto"/>
              </w:rPr>
            </w:pPr>
          </w:p>
        </w:tc>
        <w:tc>
          <w:tcPr>
            <w:tcW w:w="59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Historical Summary of Gross Income and</w:t>
            </w:r>
          </w:p>
        </w:tc>
        <w:tc>
          <w:tcPr>
            <w:tcW w:w="860" w:type="dxa"/>
            <w:vAlign w:val="bottom"/>
          </w:tcPr>
          <w:p>
            <w:pPr>
              <w:spacing w:after="0"/>
              <w:rPr>
                <w:sz w:val="24"/>
                <w:szCs w:val="24"/>
                <w:color w:val="auto"/>
              </w:rPr>
            </w:pPr>
          </w:p>
        </w:tc>
      </w:tr>
      <w:tr>
        <w:trPr>
          <w:trHeight w:val="173"/>
        </w:trPr>
        <w:tc>
          <w:tcPr>
            <w:tcW w:w="360" w:type="dxa"/>
            <w:vAlign w:val="bottom"/>
          </w:tcPr>
          <w:p>
            <w:pPr>
              <w:spacing w:after="0"/>
              <w:rPr>
                <w:sz w:val="15"/>
                <w:szCs w:val="15"/>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Direct Operating Expenses</w:t>
            </w:r>
          </w:p>
        </w:tc>
        <w:tc>
          <w:tcPr>
            <w:tcW w:w="3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for the year</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December 31, 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7"/>
        </w:trPr>
        <w:tc>
          <w:tcPr>
            <w:tcW w:w="360" w:type="dxa"/>
            <w:vAlign w:val="bottom"/>
          </w:tcPr>
          <w:p>
            <w:pPr>
              <w:spacing w:after="0"/>
              <w:rPr>
                <w:sz w:val="24"/>
                <w:szCs w:val="24"/>
                <w:color w:val="auto"/>
              </w:rPr>
            </w:pPr>
          </w:p>
        </w:tc>
        <w:tc>
          <w:tcPr>
            <w:tcW w:w="59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Notes to Historical Summary of Gross Income and</w:t>
            </w:r>
          </w:p>
        </w:tc>
        <w:tc>
          <w:tcPr>
            <w:tcW w:w="860" w:type="dxa"/>
            <w:vAlign w:val="bottom"/>
          </w:tcPr>
          <w:p>
            <w:pPr>
              <w:spacing w:after="0"/>
              <w:rPr>
                <w:sz w:val="24"/>
                <w:szCs w:val="24"/>
                <w:color w:val="auto"/>
              </w:rPr>
            </w:pPr>
          </w:p>
        </w:tc>
      </w:tr>
      <w:tr>
        <w:trPr>
          <w:trHeight w:val="173"/>
        </w:trPr>
        <w:tc>
          <w:tcPr>
            <w:tcW w:w="360" w:type="dxa"/>
            <w:vAlign w:val="bottom"/>
          </w:tcPr>
          <w:p>
            <w:pPr>
              <w:spacing w:after="0"/>
              <w:rPr>
                <w:sz w:val="15"/>
                <w:szCs w:val="15"/>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Direct Operating Expenses</w:t>
            </w:r>
          </w:p>
        </w:tc>
        <w:tc>
          <w:tcPr>
            <w:tcW w:w="3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for the year</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December 31, 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bl>
    <w:p>
      <w:pPr>
        <w:spacing w:after="0" w:line="178" w:lineRule="exact"/>
        <w:rPr>
          <w:sz w:val="20"/>
          <w:szCs w:val="20"/>
          <w:color w:val="auto"/>
        </w:rPr>
      </w:pPr>
    </w:p>
    <w:p>
      <w:pPr>
        <w:ind w:left="8" w:right="3819" w:hanging="8"/>
        <w:spacing w:after="0" w:line="243" w:lineRule="auto"/>
        <w:tabs>
          <w:tab w:leader="none" w:pos="4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required pursuant to Article 11 of Regulation S-X:</w:t>
      </w:r>
    </w:p>
    <w:p>
      <w:pPr>
        <w:spacing w:after="0" w:line="17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1.) Federal Realty Investment Trust, Saugus Plaza Shopping Center, Wynnewood Shopping Center and Escondido Promenade Shopping Center Pro Forma Condensed Financial Statements (unaudited)</w:t>
      </w:r>
    </w:p>
    <w:p>
      <w:pPr>
        <w:spacing w:after="0" w:line="175"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Pro Forma Condensed</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Balance Sheet - September 30, 1996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7"/>
        </w:trPr>
        <w:tc>
          <w:tcPr>
            <w:tcW w:w="1760" w:type="dxa"/>
            <w:vAlign w:val="bottom"/>
          </w:tcPr>
          <w:p>
            <w:pPr>
              <w:spacing w:after="0"/>
              <w:rPr>
                <w:sz w:val="20"/>
                <w:szCs w:val="20"/>
                <w:color w:val="auto"/>
              </w:rPr>
            </w:pPr>
            <w:r>
              <w:rPr>
                <w:rFonts w:ascii="Courier New" w:cs="Courier New" w:eastAsia="Courier New" w:hAnsi="Courier New"/>
                <w:sz w:val="15"/>
                <w:szCs w:val="15"/>
                <w:color w:val="auto"/>
              </w:rPr>
              <w:t>Pro Forma Condensed</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Statement of Operations</w:t>
            </w:r>
          </w:p>
        </w:tc>
        <w:tc>
          <w:tcPr>
            <w:tcW w:w="1040" w:type="dxa"/>
            <w:vAlign w:val="bottom"/>
          </w:tcPr>
          <w:p>
            <w:pPr>
              <w:spacing w:after="0"/>
              <w:rPr>
                <w:sz w:val="24"/>
                <w:szCs w:val="24"/>
                <w:color w:val="auto"/>
              </w:rPr>
            </w:pP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31, 1995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7"/>
        </w:trPr>
        <w:tc>
          <w:tcPr>
            <w:tcW w:w="1760" w:type="dxa"/>
            <w:vAlign w:val="bottom"/>
          </w:tcPr>
          <w:p>
            <w:pPr>
              <w:spacing w:after="0"/>
              <w:rPr>
                <w:sz w:val="20"/>
                <w:szCs w:val="20"/>
                <w:color w:val="auto"/>
              </w:rPr>
            </w:pPr>
            <w:r>
              <w:rPr>
                <w:rFonts w:ascii="Courier New" w:cs="Courier New" w:eastAsia="Courier New" w:hAnsi="Courier New"/>
                <w:sz w:val="15"/>
                <w:szCs w:val="15"/>
                <w:color w:val="auto"/>
              </w:rPr>
              <w:t>Pro Forma Condensed</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Statement of Operations</w:t>
            </w:r>
          </w:p>
        </w:tc>
        <w:tc>
          <w:tcPr>
            <w:tcW w:w="1040" w:type="dxa"/>
            <w:vAlign w:val="bottom"/>
          </w:tcPr>
          <w:p>
            <w:pPr>
              <w:spacing w:after="0"/>
              <w:rPr>
                <w:sz w:val="24"/>
                <w:szCs w:val="24"/>
                <w:color w:val="auto"/>
              </w:rPr>
            </w:pPr>
          </w:p>
        </w:tc>
      </w:tr>
      <w:tr>
        <w:trPr>
          <w:trHeight w:val="173"/>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Nine months ended September 30, 1996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4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Notes to Pro Forma Condensed Financial Statements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The pro forma condensed balance sheet as of September 30, 1996 and the pro forma condensed statements of operations for the year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8" w:right="1440" w:bottom="1440" w:gutter="0" w:footer="0" w:header="0"/>
        </w:sectPr>
      </w:pPr>
    </w:p>
    <w:bookmarkStart w:id="3" w:name="page4"/>
    <w:bookmarkEnd w:id="3"/>
    <w:p>
      <w:pPr>
        <w:ind w:left="8" w:right="3019"/>
        <w:spacing w:after="0" w:line="244" w:lineRule="auto"/>
        <w:rPr>
          <w:sz w:val="20"/>
          <w:szCs w:val="20"/>
          <w:color w:val="auto"/>
        </w:rPr>
      </w:pPr>
      <w:r>
        <w:rPr>
          <w:rFonts w:ascii="Courier New" w:cs="Courier New" w:eastAsia="Courier New" w:hAnsi="Courier New"/>
          <w:sz w:val="15"/>
          <w:szCs w:val="15"/>
          <w:color w:val="auto"/>
        </w:rPr>
        <w:t>ended December 31, 1995 are based on audited historical financial statements of the Acquired Centers and the Trust after giving effect to the acquisition of the Acquired Centers and the adjustments as described in the accompanying notes to the pro forma financial statements.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pro forma financial statements have been prepared by the Trust based upon the financial statements of the Acquired Centers (filed with this report under Item 7(a)). These pro forma financial statements may not be indicative of the results that actually would have occurred if the acquisitions had been in effect on the dates indicated or which may be obtained in the future. The pro forma financial statements should be read in conjunction with the audited financial statements and notes of the Acquired Centers, the audited consolidated financial statements of the Trust in its Annual Report on Form 10-K for the year ended December 31, 1995 and the unaudited financial statements of the Trust on Form 10-Q for the nine months ended September 30, 1996.</w:t>
      </w:r>
    </w:p>
    <w:p>
      <w:pPr>
        <w:spacing w:after="0" w:line="180" w:lineRule="exact"/>
        <w:rPr>
          <w:sz w:val="20"/>
          <w:szCs w:val="20"/>
          <w:color w:val="auto"/>
        </w:rPr>
      </w:pPr>
    </w:p>
    <w:p>
      <w:pPr>
        <w:ind w:left="448" w:right="3199" w:hanging="448"/>
        <w:spacing w:after="0" w:line="488"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in accordance with the provisions of Item 601 of Regulation S-K: Item 23. Independent Auditor's Consents</w:t>
      </w:r>
    </w:p>
    <w:p>
      <w:pPr>
        <w:spacing w:after="0" w:line="349"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hereto duly authorized.</w:t>
      </w:r>
    </w:p>
    <w:p>
      <w:pPr>
        <w:spacing w:after="0" w:line="175"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27"/>
          </w:cols>
          <w:pgMar w:left="232" w:top="639" w:right="1440" w:bottom="1440" w:gutter="0" w:footer="0" w:header="0"/>
        </w:sectPr>
      </w:pP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1997</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Cecily A. Ward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Controller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0" w:lineRule="exact"/>
        <w:rPr>
          <w:sz w:val="20"/>
          <w:szCs w:val="20"/>
          <w:color w:val="auto"/>
        </w:rPr>
      </w:pPr>
    </w:p>
    <w:p>
      <w:pPr>
        <w:sectPr>
          <w:pgSz w:w="11900" w:h="16838" w:orient="portrait"/>
          <w:cols w:equalWidth="0" w:num="3">
            <w:col w:w="448" w:space="180"/>
            <w:col w:w="1720" w:space="720"/>
            <w:col w:w="7159"/>
          </w:cols>
          <w:pgMar w:left="232" w:top="639" w:right="1440" w:bottom="1440" w:gutter="0" w:footer="0" w:header="0"/>
          <w:type w:val="continuous"/>
        </w:sectPr>
      </w:pPr>
    </w:p>
    <w:p>
      <w:pPr>
        <w:spacing w:after="0" w:line="334"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27"/>
          </w:cols>
          <w:pgMar w:left="232" w:top="639" w:right="1440"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NO.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3888" w:space="720"/>
            <w:col w:w="5619"/>
          </w:cols>
          <w:pgMar w:left="232" w:top="639" w:right="1440" w:bottom="1440" w:gutter="0" w:footer="0" w:header="0"/>
          <w:type w:val="continuous"/>
        </w:sectPr>
      </w:pPr>
    </w:p>
    <w:p>
      <w:pPr>
        <w:ind w:left="8"/>
        <w:spacing w:after="0"/>
        <w:tabs>
          <w:tab w:leader="none" w:pos="887"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Independent Auditor's Consents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24 - 26</w:t>
      </w:r>
    </w:p>
    <w:p>
      <w:pPr>
        <w:spacing w:after="0" w:line="187" w:lineRule="exact"/>
        <w:rPr>
          <w:sz w:val="20"/>
          <w:szCs w:val="20"/>
          <w:color w:val="auto"/>
        </w:rPr>
      </w:pPr>
    </w:p>
    <w:p>
      <w:pPr>
        <w:sectPr>
          <w:pgSz w:w="11900" w:h="16838" w:orient="portrait"/>
          <w:cols w:equalWidth="0" w:num="2">
            <w:col w:w="3888" w:space="720"/>
            <w:col w:w="5619"/>
          </w:cols>
          <w:pgMar w:left="232" w:top="639" w:right="1440" w:bottom="1440" w:gutter="0" w:footer="0" w:header="0"/>
          <w:type w:val="continuous"/>
        </w:sect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9" w:right="1440" w:bottom="1440" w:gutter="0" w:footer="0" w:header="0"/>
          <w:type w:val="continuous"/>
        </w:sectPr>
      </w:pPr>
    </w:p>
    <w:bookmarkStart w:id="4" w:name="page5"/>
    <w:bookmarkEnd w:id="4"/>
    <w:p>
      <w:pPr>
        <w:ind w:left="2240"/>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J.B.S. Limited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Limited Partnership)</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have audited the accompanying special-purpose statement of operations (exclusive of interest income and expense, depreciation and amortization, rent expense and management fees) of J.B.S. Limited Partnership (A Limited Partnership) for the year ended December 31, 1995. The special purpose statement is the responsibility of the Partnership's management. Our responsibility is to express an opinion on the special purpose statement based on our audit.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special purpose statement is free of material misstatement. An audit includes examining, on a test basis, evidence supporting the amounts and disclosures in the special purpose statement. An audit also includes assessing the accounting principals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described in Note 1(b), the accompanying special purpose financial statement has been prepared to present only the revenues and expenses related to the operations of the shopping center and is not intended to be a complete presentation of the Partnership's revenue and expenses for the year ended December 31, 1995.</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our opinion, the accompanying special purpose statement of operations presents fairly, in all material respects, the results of operations (exclusive of interest income and expense, depreciation and amortization, rent expense and management fees) of J.B.S. Limited Partnership (A Limited Partnership) for the year ended December 31, 1995 in conformity with generally accepted accounting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Hecht and Company, P.C.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55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J.B.S. LIMITED PARTNERSHIP</w:t>
            </w:r>
          </w:p>
        </w:tc>
      </w:tr>
      <w:tr>
        <w:trPr>
          <w:trHeight w:val="173"/>
        </w:trPr>
        <w:tc>
          <w:tcPr>
            <w:tcW w:w="4600" w:type="dxa"/>
            <w:vAlign w:val="bottom"/>
          </w:tcPr>
          <w:p>
            <w:pPr>
              <w:ind w:left="2520"/>
              <w:spacing w:after="0"/>
              <w:rPr>
                <w:sz w:val="20"/>
                <w:szCs w:val="20"/>
                <w:color w:val="auto"/>
              </w:rPr>
            </w:pPr>
            <w:r>
              <w:rPr>
                <w:rFonts w:ascii="Courier New" w:cs="Courier New" w:eastAsia="Courier New" w:hAnsi="Courier New"/>
                <w:sz w:val="15"/>
                <w:szCs w:val="15"/>
                <w:color w:val="auto"/>
                <w:w w:val="99"/>
              </w:rPr>
              <w:t>(A Limited Partnership)</w:t>
            </w:r>
          </w:p>
        </w:tc>
        <w:tc>
          <w:tcPr>
            <w:tcW w:w="900" w:type="dxa"/>
            <w:vAlign w:val="bottom"/>
          </w:tcPr>
          <w:p>
            <w:pPr>
              <w:spacing w:after="0"/>
              <w:rPr>
                <w:sz w:val="15"/>
                <w:szCs w:val="15"/>
                <w:color w:val="auto"/>
              </w:rPr>
            </w:pPr>
          </w:p>
        </w:tc>
      </w:tr>
      <w:tr>
        <w:trPr>
          <w:trHeight w:val="173"/>
        </w:trPr>
        <w:tc>
          <w:tcPr>
            <w:tcW w:w="5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Special Purpose Statement of Operations</w:t>
            </w:r>
          </w:p>
        </w:tc>
      </w:tr>
      <w:tr>
        <w:trPr>
          <w:trHeight w:val="173"/>
        </w:trPr>
        <w:tc>
          <w:tcPr>
            <w:tcW w:w="55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For the year ended December 31, 1995</w:t>
            </w:r>
          </w:p>
        </w:tc>
      </w:tr>
      <w:tr>
        <w:trPr>
          <w:trHeight w:val="694"/>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tcPr>
          <w:p>
            <w:pPr>
              <w:spacing w:after="0"/>
              <w:rPr>
                <w:sz w:val="24"/>
                <w:szCs w:val="24"/>
                <w:color w:val="auto"/>
              </w:rPr>
            </w:pP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Base rents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$1,413,290</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Percentage rents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5,109</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Tenant reimbursements:</w:t>
            </w:r>
          </w:p>
        </w:tc>
        <w:tc>
          <w:tcPr>
            <w:tcW w:w="900" w:type="dxa"/>
            <w:vAlign w:val="bottom"/>
          </w:tcPr>
          <w:p>
            <w:pPr>
              <w:spacing w:after="0"/>
              <w:rPr>
                <w:sz w:val="24"/>
                <w:szCs w:val="24"/>
                <w:color w:val="auto"/>
              </w:rPr>
            </w:pPr>
          </w:p>
        </w:tc>
      </w:tr>
      <w:tr>
        <w:trPr>
          <w:trHeight w:val="173"/>
        </w:trPr>
        <w:tc>
          <w:tcPr>
            <w:tcW w:w="4600" w:type="dxa"/>
            <w:vAlign w:val="bottom"/>
          </w:tcPr>
          <w:p>
            <w:pPr>
              <w:ind w:left="900"/>
              <w:spacing w:after="0"/>
              <w:rPr>
                <w:sz w:val="20"/>
                <w:szCs w:val="20"/>
                <w:color w:val="auto"/>
              </w:rPr>
            </w:pPr>
            <w:r>
              <w:rPr>
                <w:rFonts w:ascii="Courier New" w:cs="Courier New" w:eastAsia="Courier New" w:hAnsi="Courier New"/>
                <w:sz w:val="15"/>
                <w:szCs w:val="15"/>
                <w:color w:val="auto"/>
              </w:rPr>
              <w:t>Real estate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273,941</w:t>
            </w:r>
          </w:p>
        </w:tc>
      </w:tr>
      <w:tr>
        <w:trPr>
          <w:trHeight w:val="173"/>
        </w:trPr>
        <w:tc>
          <w:tcPr>
            <w:tcW w:w="4600" w:type="dxa"/>
            <w:vAlign w:val="bottom"/>
          </w:tcPr>
          <w:p>
            <w:pPr>
              <w:ind w:left="900"/>
              <w:spacing w:after="0"/>
              <w:rPr>
                <w:sz w:val="20"/>
                <w:szCs w:val="20"/>
                <w:color w:val="auto"/>
              </w:rPr>
            </w:pPr>
            <w:r>
              <w:rPr>
                <w:rFonts w:ascii="Courier New" w:cs="Courier New" w:eastAsia="Courier New" w:hAnsi="Courier New"/>
                <w:sz w:val="15"/>
                <w:szCs w:val="15"/>
                <w:color w:val="auto"/>
              </w:rPr>
              <w:t>Common area maintenance and insurance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87,586</w:t>
            </w:r>
          </w:p>
        </w:tc>
      </w:tr>
      <w:tr>
        <w:trPr>
          <w:trHeight w:val="173"/>
        </w:trPr>
        <w:tc>
          <w:tcPr>
            <w:tcW w:w="4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600" w:type="dxa"/>
            <w:vAlign w:val="bottom"/>
          </w:tcPr>
          <w:p>
            <w:pPr>
              <w:ind w:left="1340"/>
              <w:spacing w:after="0"/>
              <w:rPr>
                <w:sz w:val="20"/>
                <w:szCs w:val="20"/>
                <w:color w:val="auto"/>
              </w:rPr>
            </w:pPr>
            <w:r>
              <w:rPr>
                <w:rFonts w:ascii="Courier New" w:cs="Courier New" w:eastAsia="Courier New" w:hAnsi="Courier New"/>
                <w:sz w:val="15"/>
                <w:szCs w:val="15"/>
                <w:color w:val="auto"/>
              </w:rPr>
              <w:t>Total revenue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1,779,926</w:t>
            </w:r>
          </w:p>
        </w:tc>
      </w:tr>
      <w:tr>
        <w:trPr>
          <w:trHeight w:val="173"/>
        </w:trPr>
        <w:tc>
          <w:tcPr>
            <w:tcW w:w="4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spacing w:after="0"/>
              <w:rPr>
                <w:sz w:val="24"/>
                <w:szCs w:val="24"/>
                <w:color w:val="auto"/>
              </w:rPr>
            </w:pP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Real estate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273,179</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19,038</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Parking lot maintenance and repairs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26,971</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Roof and structural repairs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15,819</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Snow removal</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26,020</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Utilities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16,900</w:t>
            </w:r>
          </w:p>
        </w:tc>
      </w:tr>
      <w:tr>
        <w:trPr>
          <w:trHeight w:val="347"/>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10,490</w:t>
            </w:r>
          </w:p>
        </w:tc>
      </w:tr>
      <w:tr>
        <w:trPr>
          <w:trHeight w:val="173"/>
        </w:trPr>
        <w:tc>
          <w:tcPr>
            <w:tcW w:w="4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600" w:type="dxa"/>
            <w:vAlign w:val="bottom"/>
          </w:tcPr>
          <w:p>
            <w:pPr>
              <w:ind w:left="1340"/>
              <w:spacing w:after="0"/>
              <w:rPr>
                <w:sz w:val="20"/>
                <w:szCs w:val="20"/>
                <w:color w:val="auto"/>
              </w:rPr>
            </w:pPr>
            <w:r>
              <w:rPr>
                <w:rFonts w:ascii="Courier New" w:cs="Courier New" w:eastAsia="Courier New" w:hAnsi="Courier New"/>
                <w:sz w:val="15"/>
                <w:szCs w:val="15"/>
                <w:color w:val="auto"/>
              </w:rPr>
              <w:t>Total expenses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388,417</w:t>
            </w:r>
          </w:p>
        </w:tc>
      </w:tr>
      <w:tr>
        <w:trPr>
          <w:trHeight w:val="173"/>
        </w:trPr>
        <w:tc>
          <w:tcPr>
            <w:tcW w:w="4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$1,391,509</w:t>
            </w:r>
          </w:p>
        </w:tc>
      </w:tr>
      <w:tr>
        <w:trPr>
          <w:trHeight w:val="173"/>
        </w:trPr>
        <w:tc>
          <w:tcPr>
            <w:tcW w:w="4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this financial statement.</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 w:name="page7"/>
    <w:bookmarkEnd w:id="6"/>
    <w:p>
      <w:pPr>
        <w:ind w:left="2420"/>
        <w:spacing w:after="0"/>
        <w:rPr>
          <w:sz w:val="20"/>
          <w:szCs w:val="20"/>
          <w:color w:val="auto"/>
        </w:rPr>
      </w:pPr>
      <w:r>
        <w:rPr>
          <w:rFonts w:ascii="Courier New" w:cs="Courier New" w:eastAsia="Courier New" w:hAnsi="Courier New"/>
          <w:sz w:val="15"/>
          <w:szCs w:val="15"/>
          <w:color w:val="auto"/>
        </w:rPr>
        <w:t>J.B.S. LIMITED PARTNERSHIP</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 Limited Partnership)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Special Purpose Statement of Operations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December 31, 1995</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Note 1 - Description of organization and summary of significant accounting policies:</w:t>
      </w:r>
    </w:p>
    <w:p>
      <w:pPr>
        <w:spacing w:after="0" w:line="175" w:lineRule="exact"/>
        <w:rPr>
          <w:sz w:val="20"/>
          <w:szCs w:val="20"/>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7" w:lineRule="exact"/>
        <w:rPr>
          <w:rFonts w:ascii="Courier New" w:cs="Courier New" w:eastAsia="Courier New" w:hAnsi="Courier New"/>
          <w:sz w:val="15"/>
          <w:szCs w:val="15"/>
          <w:color w:val="auto"/>
        </w:rPr>
      </w:pPr>
    </w:p>
    <w:p>
      <w:pPr>
        <w:ind w:left="90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J.B.S. Limited Partnership (JBS) was organized on April 1, 1982 as a limited partnership under the laws of the Commonwealth of Massachusetts to manage and lease a shopping center in the city of Saugus, Massachusetts. The shopping center was leased by JBS from TM Massachusetts Shopping Center Limited Partnership (TM) under a net lease. Effective January 1, 1996 the net lease terminated and TM commenced management of the property.</w:t>
      </w:r>
    </w:p>
    <w:p>
      <w:pPr>
        <w:spacing w:after="0" w:line="177"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7" w:lineRule="exact"/>
        <w:rPr>
          <w:rFonts w:ascii="Courier New" w:cs="Courier New" w:eastAsia="Courier New" w:hAnsi="Courier New"/>
          <w:sz w:val="15"/>
          <w:szCs w:val="15"/>
          <w:color w:val="auto"/>
        </w:rPr>
      </w:pPr>
    </w:p>
    <w:p>
      <w:pPr>
        <w:ind w:left="90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special purpose statement has been prepared to present in accordance with generally accepted accounting principles only the revenues and expenses related to the operation of the property. Interest income and expense, depreciation and amortization, rent expenses and management fees have not been included in the accompanying statement. Since a complete presentation of the Partnership's operations would include these items, the accompanying special purpose statement is not intended to be a complete presentation of the Partnership's revenue and expenses for the year ended December 31, 1995.</w:t>
      </w:r>
    </w:p>
    <w:p>
      <w:pPr>
        <w:spacing w:after="0" w:line="178"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w:t>
      </w:r>
    </w:p>
    <w:p>
      <w:pPr>
        <w:spacing w:after="0" w:line="177"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shopping center's revenue is substantially from two major tenants.</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7" w:name="page8"/>
    <w:bookmarkEnd w:id="7"/>
    <w:p>
      <w:pPr>
        <w:ind w:left="2340"/>
        <w:spacing w:after="0"/>
        <w:rPr>
          <w:sz w:val="20"/>
          <w:szCs w:val="20"/>
          <w:color w:val="auto"/>
        </w:rPr>
      </w:pPr>
      <w:r>
        <w:rPr>
          <w:rFonts w:ascii="Courier New" w:cs="Courier New" w:eastAsia="Courier New" w:hAnsi="Courier New"/>
          <w:sz w:val="15"/>
          <w:szCs w:val="15"/>
          <w:color w:val="auto"/>
        </w:rPr>
        <w:t>Independent Auditors' Report</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Wynnewood Shopping Center,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Wynnewood, Pennsylvania</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balance sheet of Wynnewood Shopping Center, LP (A Pennsylvania Limited Partnership) as of December 31, 1995, and the related statements of operations, changes in partners' capital and cash flows for the year then ended. These financial statements are the responsibility of the Partnership's management. Our responsibility is to express an opinion on these financial statements based on our audit.</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Wynnewood Shopping Center, LP as of December 31, 1995, and the results of its operations and its cash flows for the year then ended in conformity with generally accepted accounting principles.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audit was conducted for the purpose of forming an opinion on the basic financial statements taken as a whole. The schedules of rental and general and administrative expenses on page ten are presented for the purpose of additional analysis and are not a required part of the basic financial statements. Such information has been subjected to the auditing procedures applied in the audit of the basic financial statements and, in our opinion, is fairly stated in all material respects in relation to the basic financial statements taken as a whole.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Landsburg Platt Raschiatore &amp; Dalton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1996</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5680" w:type="dxa"/>
            <w:vAlign w:val="bottom"/>
            <w:gridSpan w:val="3"/>
          </w:tcPr>
          <w:p>
            <w:pPr>
              <w:jc w:val="center"/>
              <w:ind w:left="1345"/>
              <w:spacing w:after="0"/>
              <w:rPr>
                <w:sz w:val="20"/>
                <w:szCs w:val="20"/>
                <w:color w:val="auto"/>
              </w:rPr>
            </w:pPr>
            <w:r>
              <w:rPr>
                <w:rFonts w:ascii="Courier New" w:cs="Courier New" w:eastAsia="Courier New" w:hAnsi="Courier New"/>
                <w:sz w:val="15"/>
                <w:szCs w:val="15"/>
                <w:color w:val="auto"/>
              </w:rPr>
              <w:t>WYNNEWOOD SHOPPING CENTER, LP</w:t>
            </w:r>
          </w:p>
        </w:tc>
      </w:tr>
      <w:tr>
        <w:trPr>
          <w:trHeight w:val="173"/>
        </w:trPr>
        <w:tc>
          <w:tcPr>
            <w:tcW w:w="4640" w:type="dxa"/>
            <w:vAlign w:val="bottom"/>
          </w:tcPr>
          <w:p>
            <w:pPr>
              <w:jc w:val="center"/>
              <w:ind w:left="2405"/>
              <w:spacing w:after="0"/>
              <w:rPr>
                <w:sz w:val="20"/>
                <w:szCs w:val="20"/>
                <w:color w:val="auto"/>
              </w:rPr>
            </w:pPr>
            <w:r>
              <w:rPr>
                <w:rFonts w:ascii="Courier New" w:cs="Courier New" w:eastAsia="Courier New" w:hAnsi="Courier New"/>
                <w:sz w:val="15"/>
                <w:szCs w:val="15"/>
                <w:color w:val="auto"/>
              </w:rPr>
              <w:t>(A LIMITED PARTNERSHIP)</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4640" w:type="dxa"/>
            <w:vAlign w:val="bottom"/>
          </w:tcPr>
          <w:p>
            <w:pPr>
              <w:jc w:val="center"/>
              <w:ind w:left="2385"/>
              <w:spacing w:after="0"/>
              <w:rPr>
                <w:sz w:val="20"/>
                <w:szCs w:val="20"/>
                <w:color w:val="auto"/>
              </w:rPr>
            </w:pPr>
            <w:r>
              <w:rPr>
                <w:rFonts w:ascii="Courier New" w:cs="Courier New" w:eastAsia="Courier New" w:hAnsi="Courier New"/>
                <w:sz w:val="15"/>
                <w:szCs w:val="15"/>
                <w:color w:val="auto"/>
              </w:rPr>
              <w:t>Balance Sheet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640" w:type="dxa"/>
            <w:vAlign w:val="bottom"/>
          </w:tcPr>
          <w:p>
            <w:pPr>
              <w:jc w:val="center"/>
              <w:ind w:left="2385"/>
              <w:spacing w:after="0"/>
              <w:rPr>
                <w:sz w:val="20"/>
                <w:szCs w:val="20"/>
                <w:color w:val="auto"/>
              </w:rPr>
            </w:pPr>
            <w:r>
              <w:rPr>
                <w:rFonts w:ascii="Courier New" w:cs="Courier New" w:eastAsia="Courier New" w:hAnsi="Courier New"/>
                <w:sz w:val="15"/>
                <w:szCs w:val="15"/>
                <w:color w:val="auto"/>
              </w:rPr>
              <w:t>December 31, 1995</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464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4"/>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Cash</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164,054</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(Note 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204,917</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82,877</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Due from related entity (Note 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453,348</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Rental property and equipment (Note 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Land</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1,200,000</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Rental property</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12,339,279</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Equipment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3,993</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Vehicles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28,997</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13,572,269</w:t>
            </w:r>
          </w:p>
        </w:tc>
      </w:tr>
      <w:tr>
        <w:trPr>
          <w:trHeight w:val="347"/>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471,835</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ind w:left="900"/>
              <w:spacing w:after="0"/>
              <w:rPr>
                <w:sz w:val="20"/>
                <w:szCs w:val="20"/>
                <w:color w:val="auto"/>
              </w:rPr>
            </w:pPr>
            <w:r>
              <w:rPr>
                <w:rFonts w:ascii="Courier New" w:cs="Courier New" w:eastAsia="Courier New" w:hAnsi="Courier New"/>
                <w:sz w:val="15"/>
                <w:szCs w:val="15"/>
                <w:color w:val="auto"/>
              </w:rPr>
              <w:t>Net rental property and equipment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13,100,434</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$13,553,782</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5680" w:type="dxa"/>
            <w:vAlign w:val="bottom"/>
            <w:gridSpan w:val="3"/>
          </w:tcPr>
          <w:p>
            <w:pPr>
              <w:jc w:val="center"/>
              <w:ind w:left="1345"/>
              <w:spacing w:after="0"/>
              <w:rPr>
                <w:sz w:val="20"/>
                <w:szCs w:val="20"/>
                <w:color w:val="auto"/>
              </w:rPr>
            </w:pPr>
            <w:r>
              <w:rPr>
                <w:rFonts w:ascii="Courier New" w:cs="Courier New" w:eastAsia="Courier New" w:hAnsi="Courier New"/>
                <w:sz w:val="15"/>
                <w:szCs w:val="15"/>
                <w:color w:val="auto"/>
              </w:rPr>
              <w:t>LIABILITIES AND PARTNERS' CAPITAL</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4,926</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Tenants security deposits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20,305</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Payroll taxes payable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1,934</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Loan payable, related party, current (Note 3)</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201,740</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230,934</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Loan payable, related party, net of current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640" w:type="dxa"/>
            <w:vAlign w:val="bottom"/>
          </w:tcPr>
          <w:p>
            <w:pPr>
              <w:ind w:left="620"/>
              <w:spacing w:after="0"/>
              <w:rPr>
                <w:sz w:val="20"/>
                <w:szCs w:val="20"/>
                <w:color w:val="auto"/>
              </w:rPr>
            </w:pPr>
            <w:r>
              <w:rPr>
                <w:rFonts w:ascii="Courier New" w:cs="Courier New" w:eastAsia="Courier New" w:hAnsi="Courier New"/>
                <w:sz w:val="15"/>
                <w:szCs w:val="15"/>
                <w:color w:val="auto"/>
              </w:rPr>
              <w:t>portion (Note 3)</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339,465</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570,399</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12,983,383</w:t>
            </w:r>
          </w:p>
        </w:tc>
      </w:tr>
      <w:tr>
        <w:trPr>
          <w:trHeight w:val="173"/>
        </w:trPr>
        <w:tc>
          <w:tcPr>
            <w:tcW w:w="46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$13,553,782</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the financial statements and independent auditors' report.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jc w:val="center"/>
        <w:ind w:right="3099"/>
        <w:spacing w:after="0"/>
        <w:rPr>
          <w:sz w:val="20"/>
          <w:szCs w:val="20"/>
          <w:color w:val="auto"/>
        </w:rPr>
      </w:pPr>
      <w:r>
        <w:rPr>
          <w:rFonts w:ascii="Courier New" w:cs="Courier New" w:eastAsia="Courier New" w:hAnsi="Courier New"/>
          <w:sz w:val="15"/>
          <w:szCs w:val="15"/>
          <w:color w:val="auto"/>
        </w:rPr>
        <w:t>WYNNEWOOD SHOPPING CENTER, LP</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 LIMITED PARTNERSHIP)</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Rental income, including tenant reimbursements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$2,045,739</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Rental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501,207</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Income from rental operations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1,544,532</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2,227</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Income from operations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1,546,759</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153,686</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Income before depreciation, interest</w:t>
            </w:r>
          </w:p>
        </w:tc>
        <w:tc>
          <w:tcPr>
            <w:tcW w:w="1080" w:type="dxa"/>
            <w:vAlign w:val="bottom"/>
          </w:tcPr>
          <w:p>
            <w:pPr>
              <w:spacing w:after="0"/>
              <w:rPr>
                <w:sz w:val="24"/>
                <w:szCs w:val="24"/>
                <w:color w:val="auto"/>
              </w:rPr>
            </w:pPr>
          </w:p>
        </w:tc>
      </w:tr>
      <w:tr>
        <w:trPr>
          <w:trHeight w:val="173"/>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expense and provision for vacancies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1,393,073</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300,155</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57,070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Provision for vacancies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629,487</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986,712</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406,361</w:t>
            </w:r>
          </w:p>
        </w:tc>
      </w:tr>
      <w:tr>
        <w:trPr>
          <w:trHeight w:val="173"/>
        </w:trPr>
        <w:tc>
          <w:tcPr>
            <w:tcW w:w="4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the financial statements and independent auditors' report.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jc w:val="center"/>
        <w:ind w:right="3119"/>
        <w:spacing w:after="0"/>
        <w:rPr>
          <w:sz w:val="20"/>
          <w:szCs w:val="20"/>
          <w:color w:val="auto"/>
        </w:rPr>
      </w:pPr>
      <w:r>
        <w:rPr>
          <w:rFonts w:ascii="Courier New" w:cs="Courier New" w:eastAsia="Courier New" w:hAnsi="Courier New"/>
          <w:sz w:val="15"/>
          <w:szCs w:val="15"/>
          <w:color w:val="auto"/>
        </w:rPr>
        <w:t>WYNNEWOOD SHOPPING CENTER, LP</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 LIMITED PARTNERSHIP)</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Statement of Changes in Partners' Capital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Harriet</w:t>
            </w:r>
          </w:p>
        </w:tc>
        <w:tc>
          <w:tcPr>
            <w:tcW w:w="1080" w:type="dxa"/>
            <w:vAlign w:val="bottom"/>
          </w:tcPr>
          <w:p>
            <w:pPr>
              <w:spacing w:after="0"/>
              <w:rPr>
                <w:sz w:val="14"/>
                <w:szCs w:val="14"/>
                <w:color w:val="auto"/>
              </w:rPr>
            </w:pPr>
          </w:p>
        </w:tc>
      </w:tr>
      <w:tr>
        <w:trPr>
          <w:trHeight w:val="173"/>
        </w:trPr>
        <w:tc>
          <w:tcPr>
            <w:tcW w:w="2520" w:type="dxa"/>
            <w:vAlign w:val="bottom"/>
          </w:tcPr>
          <w:p>
            <w:pPr>
              <w:spacing w:after="0"/>
              <w:rPr>
                <w:sz w:val="15"/>
                <w:szCs w:val="15"/>
                <w:color w:val="auto"/>
              </w:rPr>
            </w:pP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Wynnewood, Inc.</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Kravitz</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Capital, January 1, 1995</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$125,601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$12,434,470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$12,560,071</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Capital contributed</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16,951</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4,064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402,297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406,361</w:t>
            </w:r>
          </w:p>
        </w:tc>
      </w:tr>
      <w:tr>
        <w:trPr>
          <w:trHeight w:val="173"/>
        </w:trPr>
        <w:tc>
          <w:tcPr>
            <w:tcW w:w="25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Capital, December 31, 1995</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$129,665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$12,853,718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$12,983,383</w:t>
            </w:r>
          </w:p>
        </w:tc>
      </w:tr>
      <w:tr>
        <w:trPr>
          <w:trHeight w:val="173"/>
        </w:trPr>
        <w:tc>
          <w:tcPr>
            <w:tcW w:w="25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the financial statements and independent auditors' report.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WYNNEWOOD SHOPPING CENTER, LP</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4860" w:type="dxa"/>
            <w:vAlign w:val="bottom"/>
          </w:tcPr>
          <w:p>
            <w:pPr>
              <w:ind w:left="2520"/>
              <w:spacing w:after="0"/>
              <w:rPr>
                <w:sz w:val="20"/>
                <w:szCs w:val="20"/>
                <w:color w:val="auto"/>
              </w:rPr>
            </w:pPr>
            <w:r>
              <w:rPr>
                <w:rFonts w:ascii="Courier New" w:cs="Courier New" w:eastAsia="Courier New" w:hAnsi="Courier New"/>
                <w:sz w:val="15"/>
                <w:szCs w:val="15"/>
                <w:color w:val="auto"/>
              </w:rPr>
              <w:t>(A LIMITED PARTNERSHIP)</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60" w:type="dxa"/>
            <w:vAlign w:val="bottom"/>
          </w:tcPr>
          <w:p>
            <w:pPr>
              <w:ind w:left="2520"/>
              <w:spacing w:after="0"/>
              <w:rPr>
                <w:sz w:val="20"/>
                <w:szCs w:val="20"/>
                <w:color w:val="auto"/>
              </w:rPr>
            </w:pPr>
            <w:r>
              <w:rPr>
                <w:rFonts w:ascii="Courier New" w:cs="Courier New" w:eastAsia="Courier New" w:hAnsi="Courier New"/>
                <w:sz w:val="15"/>
                <w:szCs w:val="15"/>
                <w:color w:val="auto"/>
              </w:rPr>
              <w:t>Statement of Cash Flows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 1995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$ 406,361</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Depreciation</w:t>
            </w:r>
          </w:p>
        </w:tc>
        <w:tc>
          <w:tcPr>
            <w:tcW w:w="1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300,155</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assets: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1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68,061</w:t>
            </w: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(10,244)</w:t>
            </w: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Due from related entity</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liabilities: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w:t>
            </w:r>
          </w:p>
        </w:tc>
        <w:tc>
          <w:tcPr>
            <w:tcW w:w="1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1,663</w:t>
            </w: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Tenants security deposits</w:t>
            </w:r>
          </w:p>
        </w:tc>
        <w:tc>
          <w:tcPr>
            <w:tcW w:w="1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963</w:t>
            </w: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Accrued expenses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(255,793)</w:t>
            </w: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Payroll taxes payable</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509,642</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Improvements to rental property</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(414,984)</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Purchase of equipment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Purchase of vehicle</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(28,997)</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(445,099)</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Partners' capital contributions</w:t>
            </w:r>
          </w:p>
        </w:tc>
        <w:tc>
          <w:tcPr>
            <w:tcW w:w="1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16,951</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related party loan</w:t>
            </w:r>
          </w:p>
        </w:tc>
        <w:tc>
          <w:tcPr>
            <w:tcW w:w="1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288,000</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Payments on related party loan</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(391,495)</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financing activities</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(86,544)</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decrease in cash</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(22,001)</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1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186,055</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$ 164,054</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Supplementary disclosure of cash flow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Cash paid for interest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58,505</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Increase in accounts receivable for prior period</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26,363</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Non-cash financing activity:</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Reclassification of prior period accrued expense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to related party loan principal</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44,700</w:t>
            </w:r>
          </w:p>
        </w:tc>
      </w:tr>
      <w:tr>
        <w:trPr>
          <w:trHeight w:val="173"/>
        </w:trPr>
        <w:tc>
          <w:tcPr>
            <w:tcW w:w="486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the financial statements and independent auditors' report.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jc w:val="center"/>
        <w:ind w:right="3099"/>
        <w:spacing w:after="0"/>
        <w:rPr>
          <w:sz w:val="20"/>
          <w:szCs w:val="20"/>
          <w:color w:val="auto"/>
        </w:rPr>
      </w:pPr>
      <w:r>
        <w:rPr>
          <w:rFonts w:ascii="Courier New" w:cs="Courier New" w:eastAsia="Courier New" w:hAnsi="Courier New"/>
          <w:sz w:val="15"/>
          <w:szCs w:val="15"/>
          <w:color w:val="auto"/>
        </w:rPr>
        <w:t>WYNNEWOOD SHOPPING CENTER, LP</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 LIMITED PARTNERSHIP)</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December 31,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8"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The accounting policies of Wynnewood Shopping Center, LP conform to generally accepted accounting principles. A summary of the more significant accounting policies is as follows:</w:t>
      </w:r>
    </w:p>
    <w:p>
      <w:pPr>
        <w:spacing w:after="0" w:line="175" w:lineRule="exact"/>
        <w:rPr>
          <w:sz w:val="20"/>
          <w:szCs w:val="20"/>
          <w:color w:val="auto"/>
        </w:rPr>
      </w:pPr>
    </w:p>
    <w:p>
      <w:pPr>
        <w:ind w:left="360" w:right="3099"/>
        <w:spacing w:after="0" w:line="244" w:lineRule="auto"/>
        <w:rPr>
          <w:sz w:val="20"/>
          <w:szCs w:val="20"/>
          <w:color w:val="auto"/>
        </w:rPr>
      </w:pPr>
      <w:r>
        <w:rPr>
          <w:rFonts w:ascii="Courier New" w:cs="Courier New" w:eastAsia="Courier New" w:hAnsi="Courier New"/>
          <w:sz w:val="15"/>
          <w:szCs w:val="15"/>
          <w:color w:val="auto"/>
        </w:rPr>
        <w:t>Wynnewood Shopping Center, LP commenced activities on January 1, 1994. The Company manages the Wynnewood Shopping Center located in Wynnewood, Pennsylvania.</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Rental property and equipment</w:t>
      </w:r>
    </w:p>
    <w:p>
      <w:pPr>
        <w:spacing w:after="0" w:line="178" w:lineRule="exact"/>
        <w:rPr>
          <w:sz w:val="20"/>
          <w:szCs w:val="20"/>
          <w:color w:val="auto"/>
        </w:rPr>
      </w:pPr>
    </w:p>
    <w:p>
      <w:pPr>
        <w:ind w:left="360" w:right="3099"/>
        <w:spacing w:after="0" w:line="244" w:lineRule="auto"/>
        <w:rPr>
          <w:sz w:val="20"/>
          <w:szCs w:val="20"/>
          <w:color w:val="auto"/>
        </w:rPr>
      </w:pPr>
      <w:r>
        <w:rPr>
          <w:rFonts w:ascii="Courier New" w:cs="Courier New" w:eastAsia="Courier New" w:hAnsi="Courier New"/>
          <w:sz w:val="15"/>
          <w:szCs w:val="15"/>
          <w:color w:val="auto"/>
        </w:rPr>
        <w:t>The rental property is stated at the fair market value of the land and shopping center when contributed to the partnership by the limited partner. Improvements to the rental property and equipment are stated at cost. Property and equipment are depreciated over the estimated useful lives of the assets. Depreciation is calculated using the straight-line method.</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The limited partnership is not a taxpaying entity for federal and state income tax purposes, and thus no income tax expense has been recorded in the statements. The results of partnership operations are included on the income tax returns of each partner.</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 receivable</w:t>
      </w:r>
    </w:p>
    <w:p>
      <w:pPr>
        <w:spacing w:after="0" w:line="178" w:lineRule="exact"/>
        <w:rPr>
          <w:sz w:val="20"/>
          <w:szCs w:val="20"/>
          <w:color w:val="auto"/>
        </w:rPr>
      </w:pPr>
    </w:p>
    <w:p>
      <w:pPr>
        <w:ind w:left="360" w:right="3019"/>
        <w:spacing w:after="0" w:line="243" w:lineRule="auto"/>
        <w:rPr>
          <w:sz w:val="20"/>
          <w:szCs w:val="20"/>
          <w:color w:val="auto"/>
        </w:rPr>
      </w:pPr>
      <w:r>
        <w:rPr>
          <w:rFonts w:ascii="Courier New" w:cs="Courier New" w:eastAsia="Courier New" w:hAnsi="Courier New"/>
          <w:sz w:val="15"/>
          <w:szCs w:val="15"/>
          <w:color w:val="auto"/>
        </w:rPr>
        <w:t>The partners write-off bad debts as they become uncollectible. The partners believe all receivables to be collectible.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Due from related entity</w:t>
      </w:r>
    </w:p>
    <w:p>
      <w:pPr>
        <w:spacing w:after="0" w:line="178" w:lineRule="exact"/>
        <w:rPr>
          <w:sz w:val="20"/>
          <w:szCs w:val="20"/>
          <w:color w:val="auto"/>
        </w:rPr>
      </w:pPr>
    </w:p>
    <w:p>
      <w:pPr>
        <w:ind w:left="360" w:right="3279"/>
        <w:spacing w:after="0" w:line="244" w:lineRule="auto"/>
        <w:rPr>
          <w:sz w:val="20"/>
          <w:szCs w:val="20"/>
          <w:color w:val="auto"/>
        </w:rPr>
      </w:pPr>
      <w:r>
        <w:rPr>
          <w:rFonts w:ascii="Courier New" w:cs="Courier New" w:eastAsia="Courier New" w:hAnsi="Courier New"/>
          <w:sz w:val="15"/>
          <w:szCs w:val="15"/>
          <w:color w:val="auto"/>
        </w:rPr>
        <w:t>This amount represents advances to a related entity which are not partnership distributions. The advances are expected to be repaid within the next operating cycle and are non-interest bearing.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Loan payable, related party</w:t>
      </w:r>
    </w:p>
    <w:p>
      <w:pPr>
        <w:spacing w:after="0" w:line="178" w:lineRule="exact"/>
        <w:rPr>
          <w:sz w:val="20"/>
          <w:szCs w:val="20"/>
          <w:color w:val="auto"/>
        </w:rPr>
      </w:pPr>
    </w:p>
    <w:p>
      <w:pPr>
        <w:ind w:left="360" w:right="3099"/>
        <w:spacing w:after="0" w:line="244" w:lineRule="auto"/>
        <w:rPr>
          <w:sz w:val="20"/>
          <w:szCs w:val="20"/>
          <w:color w:val="auto"/>
        </w:rPr>
      </w:pPr>
      <w:r>
        <w:rPr>
          <w:rFonts w:ascii="Courier New" w:cs="Courier New" w:eastAsia="Courier New" w:hAnsi="Courier New"/>
          <w:sz w:val="15"/>
          <w:szCs w:val="15"/>
          <w:color w:val="auto"/>
        </w:rPr>
        <w:t>The loan represents advances to the limited partnership by the limited partner. The loan is payable in monthly installments of $20,000, including interest of 8.5%. The loan is due in July 1998.</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13" w:name="page14"/>
    <w:bookmarkEnd w:id="13"/>
    <w:tbl>
      <w:tblPr>
        <w:tblLayout w:type="fixed"/>
        <w:tblInd w:w="36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Maturities of the related party loan are as follows:</w:t>
            </w:r>
          </w:p>
        </w:tc>
        <w:tc>
          <w:tcPr>
            <w:tcW w:w="1080" w:type="dxa"/>
            <w:vAlign w:val="bottom"/>
          </w:tcPr>
          <w:p>
            <w:pPr>
              <w:spacing w:after="0"/>
              <w:rPr>
                <w:sz w:val="14"/>
                <w:szCs w:val="14"/>
                <w:color w:val="auto"/>
              </w:rPr>
            </w:pPr>
          </w:p>
        </w:tc>
      </w:tr>
      <w:tr>
        <w:trPr>
          <w:trHeight w:val="867"/>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Year ended</w:t>
            </w:r>
          </w:p>
        </w:tc>
        <w:tc>
          <w:tcPr>
            <w:tcW w:w="1080" w:type="dxa"/>
            <w:vAlign w:val="bottom"/>
          </w:tcPr>
          <w:p>
            <w:pPr>
              <w:spacing w:after="0"/>
              <w:rPr>
                <w:sz w:val="24"/>
                <w:szCs w:val="24"/>
                <w:color w:val="auto"/>
              </w:rPr>
            </w:pP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15"/>
                <w:szCs w:val="15"/>
                <w:color w:val="auto"/>
              </w:rPr>
            </w:pP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52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$201,740</w:t>
            </w:r>
          </w:p>
        </w:tc>
      </w:tr>
      <w:tr>
        <w:trPr>
          <w:trHeight w:val="347"/>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219,568</w:t>
            </w:r>
          </w:p>
        </w:tc>
      </w:tr>
      <w:tr>
        <w:trPr>
          <w:trHeight w:val="347"/>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119,897</w:t>
            </w:r>
          </w:p>
        </w:tc>
      </w:tr>
      <w:tr>
        <w:trPr>
          <w:trHeight w:val="173"/>
        </w:trPr>
        <w:tc>
          <w:tcPr>
            <w:tcW w:w="50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$541,205</w:t>
            </w:r>
          </w:p>
        </w:tc>
      </w:tr>
      <w:tr>
        <w:trPr>
          <w:trHeight w:val="173"/>
        </w:trPr>
        <w:tc>
          <w:tcPr>
            <w:tcW w:w="50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Minimum future rental income</w:t>
      </w:r>
    </w:p>
    <w:p>
      <w:pPr>
        <w:spacing w:after="0" w:line="178" w:lineRule="exact"/>
        <w:rPr>
          <w:sz w:val="20"/>
          <w:szCs w:val="20"/>
          <w:color w:val="auto"/>
        </w:rPr>
      </w:pPr>
    </w:p>
    <w:p>
      <w:pPr>
        <w:ind w:left="360" w:right="3019"/>
        <w:spacing w:after="0" w:line="243" w:lineRule="auto"/>
        <w:rPr>
          <w:sz w:val="20"/>
          <w:szCs w:val="20"/>
          <w:color w:val="auto"/>
        </w:rPr>
      </w:pPr>
      <w:r>
        <w:rPr>
          <w:rFonts w:ascii="Courier New" w:cs="Courier New" w:eastAsia="Courier New" w:hAnsi="Courier New"/>
          <w:sz w:val="15"/>
          <w:szCs w:val="15"/>
          <w:color w:val="auto"/>
        </w:rPr>
        <w:t>Minimum future rental income expected for each of the next five years and in the aggregate is as follows:</w:t>
      </w:r>
    </w:p>
    <w:p>
      <w:pPr>
        <w:spacing w:after="0" w:line="200" w:lineRule="exact"/>
        <w:rPr>
          <w:sz w:val="20"/>
          <w:szCs w:val="20"/>
          <w:color w:val="auto"/>
        </w:rPr>
      </w:pPr>
    </w:p>
    <w:p>
      <w:pPr>
        <w:spacing w:after="0" w:line="32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Year ended</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December 31,</w:t>
      </w:r>
    </w:p>
    <w:p>
      <w:pPr>
        <w:spacing w:after="0" w:line="35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  695,041</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575,262</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559,090</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535,509</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369,641</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1,510,649</w:t>
            </w:r>
          </w:p>
        </w:tc>
      </w:tr>
      <w:tr>
        <w:trPr>
          <w:trHeight w:val="173"/>
        </w:trPr>
        <w:tc>
          <w:tcPr>
            <w:tcW w:w="4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 minimum future rental income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$4,245,192</w:t>
            </w:r>
          </w:p>
        </w:tc>
      </w:tr>
      <w:tr>
        <w:trPr>
          <w:trHeight w:val="173"/>
        </w:trPr>
        <w:tc>
          <w:tcPr>
            <w:tcW w:w="4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3019"/>
        <w:spacing w:after="0" w:line="270" w:lineRule="auto"/>
        <w:rPr>
          <w:sz w:val="20"/>
          <w:szCs w:val="20"/>
          <w:color w:val="auto"/>
        </w:rPr>
      </w:pPr>
      <w:r>
        <w:rPr>
          <w:rFonts w:ascii="Courier New" w:cs="Courier New" w:eastAsia="Courier New" w:hAnsi="Courier New"/>
          <w:sz w:val="14"/>
          <w:szCs w:val="14"/>
          <w:color w:val="auto"/>
        </w:rPr>
        <w:t>Minimum future rental income does not include percentage rent that may be received under certain leases. Percentage rent is computed as a percent of the gross receipts received from sales in excess of a specified base amount.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5 Percentage of occupancy</w:t>
      </w:r>
    </w:p>
    <w:p>
      <w:pPr>
        <w:spacing w:after="0" w:line="178" w:lineRule="exact"/>
        <w:rPr>
          <w:sz w:val="20"/>
          <w:szCs w:val="20"/>
          <w:color w:val="auto"/>
        </w:rPr>
      </w:pPr>
    </w:p>
    <w:p>
      <w:pPr>
        <w:ind w:left="360" w:right="3199"/>
        <w:spacing w:after="0" w:line="244" w:lineRule="auto"/>
        <w:rPr>
          <w:sz w:val="20"/>
          <w:szCs w:val="20"/>
          <w:color w:val="auto"/>
        </w:rPr>
      </w:pPr>
      <w:r>
        <w:rPr>
          <w:rFonts w:ascii="Courier New" w:cs="Courier New" w:eastAsia="Courier New" w:hAnsi="Courier New"/>
          <w:sz w:val="15"/>
          <w:szCs w:val="15"/>
          <w:color w:val="auto"/>
        </w:rPr>
        <w:t>As of December 31, 1995, the Shopping Center was at 85% of total capacity. Of the total 251,797 square footage available for occupancy, 212,799 was occupied.</w:t>
      </w:r>
    </w:p>
    <w:p>
      <w:pPr>
        <w:spacing w:after="0" w:line="175" w:lineRule="exact"/>
        <w:rPr>
          <w:sz w:val="20"/>
          <w:szCs w:val="20"/>
          <w:color w:val="auto"/>
        </w:rPr>
      </w:pPr>
    </w:p>
    <w:p>
      <w:pPr>
        <w:ind w:left="360" w:right="3279"/>
        <w:spacing w:after="0" w:line="243" w:lineRule="auto"/>
        <w:rPr>
          <w:sz w:val="20"/>
          <w:szCs w:val="20"/>
          <w:color w:val="auto"/>
        </w:rPr>
      </w:pPr>
      <w:r>
        <w:rPr>
          <w:rFonts w:ascii="Courier New" w:cs="Courier New" w:eastAsia="Courier New" w:hAnsi="Courier New"/>
          <w:sz w:val="15"/>
          <w:szCs w:val="15"/>
          <w:color w:val="auto"/>
        </w:rPr>
        <w:t>Monthly gross rents at full occupancy would amount to $83,407 the Company currently collects $67,888.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Estimates</w:t>
      </w:r>
    </w:p>
    <w:p>
      <w:pPr>
        <w:spacing w:after="0" w:line="178" w:lineRule="exact"/>
        <w:rPr>
          <w:sz w:val="20"/>
          <w:szCs w:val="20"/>
          <w:color w:val="auto"/>
        </w:rPr>
      </w:pPr>
    </w:p>
    <w:p>
      <w:pPr>
        <w:ind w:left="360" w:right="3099"/>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Subsequent event</w:t>
      </w:r>
    </w:p>
    <w:p>
      <w:pPr>
        <w:spacing w:after="0" w:line="178" w:lineRule="exact"/>
        <w:rPr>
          <w:sz w:val="20"/>
          <w:szCs w:val="20"/>
          <w:color w:val="auto"/>
        </w:rPr>
      </w:pPr>
    </w:p>
    <w:p>
      <w:pPr>
        <w:ind w:left="360" w:right="3099"/>
        <w:spacing w:after="0" w:line="244" w:lineRule="auto"/>
        <w:rPr>
          <w:sz w:val="20"/>
          <w:szCs w:val="20"/>
          <w:color w:val="auto"/>
        </w:rPr>
      </w:pPr>
      <w:r>
        <w:rPr>
          <w:rFonts w:ascii="Courier New" w:cs="Courier New" w:eastAsia="Courier New" w:hAnsi="Courier New"/>
          <w:sz w:val="15"/>
          <w:szCs w:val="15"/>
          <w:color w:val="auto"/>
        </w:rPr>
        <w:t>On April 3, 1996, the Partnership entered into an agreement of sale for the shopping center located in Wynnewood, Pennsylvania. The sale has been scheduled for October 29, 1996.</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jc w:val="center"/>
        <w:ind w:right="3099"/>
        <w:spacing w:after="0"/>
        <w:rPr>
          <w:sz w:val="20"/>
          <w:szCs w:val="20"/>
          <w:color w:val="auto"/>
        </w:rPr>
      </w:pPr>
      <w:r>
        <w:rPr>
          <w:rFonts w:ascii="Courier New" w:cs="Courier New" w:eastAsia="Courier New" w:hAnsi="Courier New"/>
          <w:sz w:val="15"/>
          <w:szCs w:val="15"/>
          <w:color w:val="auto"/>
        </w:rPr>
        <w:t>WYNNEWOOD SHOPPING CENTER, LP</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 LIMITED PARTNERSHIP)</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Schedules of Rental and General and Administrative Expenses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Rental expenses</w:t>
            </w:r>
          </w:p>
        </w:tc>
        <w:tc>
          <w:tcPr>
            <w:tcW w:w="940" w:type="dxa"/>
            <w:vAlign w:val="bottom"/>
          </w:tcPr>
          <w:p>
            <w:pPr>
              <w:spacing w:after="0"/>
              <w:rPr>
                <w:sz w:val="14"/>
                <w:szCs w:val="14"/>
                <w:color w:val="auto"/>
              </w:rPr>
            </w:pPr>
          </w:p>
        </w:tc>
      </w:tr>
      <w:tr>
        <w:trPr>
          <w:trHeight w:val="347"/>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Auto and truck</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4,145</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Dues and subscriptions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Insurance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71,109</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Maintenance and snow removal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13,921</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Office expense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Real estate taxes, gross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189,883</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Repairs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26,945</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Security</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2,119</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Supplies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Telephone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4,956</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Trash removal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3,528</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Utilities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60,504</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Wages, benefits and related taxes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117,621</w:t>
            </w:r>
          </w:p>
        </w:tc>
      </w:tr>
      <w:tr>
        <w:trPr>
          <w:trHeight w:val="173"/>
        </w:trPr>
        <w:tc>
          <w:tcPr>
            <w:tcW w:w="4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ind w:left="360"/>
              <w:spacing w:after="0"/>
              <w:rPr>
                <w:sz w:val="20"/>
                <w:szCs w:val="20"/>
                <w:color w:val="auto"/>
              </w:rPr>
            </w:pPr>
            <w:r>
              <w:rPr>
                <w:rFonts w:ascii="Courier New" w:cs="Courier New" w:eastAsia="Courier New" w:hAnsi="Courier New"/>
                <w:sz w:val="15"/>
                <w:szCs w:val="15"/>
                <w:color w:val="auto"/>
              </w:rPr>
              <w:t>Total rental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$501,207</w:t>
            </w:r>
          </w:p>
        </w:tc>
      </w:tr>
      <w:tr>
        <w:trPr>
          <w:trHeight w:val="173"/>
        </w:trPr>
        <w:tc>
          <w:tcPr>
            <w:tcW w:w="4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expenses</w:t>
            </w:r>
          </w:p>
        </w:tc>
        <w:tc>
          <w:tcPr>
            <w:tcW w:w="940" w:type="dxa"/>
            <w:vAlign w:val="bottom"/>
          </w:tcPr>
          <w:p>
            <w:pPr>
              <w:spacing w:after="0"/>
              <w:rPr>
                <w:sz w:val="24"/>
                <w:szCs w:val="24"/>
                <w:color w:val="auto"/>
              </w:rPr>
            </w:pPr>
          </w:p>
        </w:tc>
      </w:tr>
      <w:tr>
        <w:trPr>
          <w:trHeight w:val="347"/>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salary, benefits and related taxes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$108,533</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Consulting</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8,370</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Contributions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Other taxes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3,114</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Professional fees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32,694</w:t>
            </w:r>
          </w:p>
        </w:tc>
      </w:tr>
      <w:tr>
        <w:trPr>
          <w:trHeight w:val="173"/>
        </w:trPr>
        <w:tc>
          <w:tcPr>
            <w:tcW w:w="4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ind w:left="360"/>
              <w:spacing w:after="0"/>
              <w:rPr>
                <w:sz w:val="20"/>
                <w:szCs w:val="20"/>
                <w:color w:val="auto"/>
              </w:rPr>
            </w:pPr>
            <w:r>
              <w:rPr>
                <w:rFonts w:ascii="Courier New" w:cs="Courier New" w:eastAsia="Courier New" w:hAnsi="Courier New"/>
                <w:sz w:val="15"/>
                <w:szCs w:val="15"/>
                <w:color w:val="auto"/>
              </w:rPr>
              <w:t>Total general and administrative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$153,686</w:t>
            </w:r>
          </w:p>
        </w:tc>
      </w:tr>
      <w:tr>
        <w:trPr>
          <w:trHeight w:val="173"/>
        </w:trPr>
        <w:tc>
          <w:tcPr>
            <w:tcW w:w="4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independent auditors' report.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16" w:name="page17"/>
    <w:bookmarkEnd w:id="16"/>
    <w:p>
      <w:pPr>
        <w:ind w:left="2340"/>
        <w:spacing w:after="0"/>
        <w:rPr>
          <w:sz w:val="20"/>
          <w:szCs w:val="20"/>
          <w:color w:val="auto"/>
        </w:rPr>
      </w:pPr>
      <w:r>
        <w:rPr>
          <w:rFonts w:ascii="Courier New" w:cs="Courier New" w:eastAsia="Courier New" w:hAnsi="Courier New"/>
          <w:sz w:val="15"/>
          <w:szCs w:val="15"/>
          <w:color w:val="auto"/>
        </w:rPr>
        <w:t>Independent Auditor's Report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Trustees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8"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We have audited the accompanying Historical Summary of Gross Income and Direct Operating Expenses of Escondido Promenade Shopping Center, Escondido, California ("Historical Summary"), for the year ended December 31, 1995. This Historical Summary is the responsibility of the Center's management. Our responsibility is to express an opinion on the Historical Summary based on our audit.</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accompanying Historical Summary was prepared for the purpose of complying with the rules and regulations of the Securities and Exchange Commission as described in Note 2, and is not intended to be a complete presentation of the Center's income and expenses.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our opinion, the Historical Summary referred to above presents fairly, in all material aspects, the gross income and direct operating expenses described in Note 2 of Escondido Promenade Shopping Center for the year ended December 31, 1995, in conformity with generally accepted accounting principles.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Hurley &amp;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9, 1997</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7" w:name="page18"/>
    <w:bookmarkEnd w:id="17"/>
    <w:p>
      <w:pPr>
        <w:ind w:left="1980"/>
        <w:spacing w:after="0"/>
        <w:rPr>
          <w:sz w:val="20"/>
          <w:szCs w:val="20"/>
          <w:color w:val="auto"/>
        </w:rPr>
      </w:pPr>
      <w:r>
        <w:rPr>
          <w:rFonts w:ascii="Courier New" w:cs="Courier New" w:eastAsia="Courier New" w:hAnsi="Courier New"/>
          <w:sz w:val="15"/>
          <w:szCs w:val="15"/>
          <w:color w:val="auto"/>
        </w:rPr>
        <w:t>ESCONDIDO PROMENADE SHOPPING CENTER</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HISTORICAL SUMMARY OF GROSS INCOME AND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DIRECT OPERATING EXPENSES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INCOME:</w:t>
            </w:r>
          </w:p>
        </w:tc>
        <w:tc>
          <w:tcPr>
            <w:tcW w:w="1080" w:type="dxa"/>
            <w:vAlign w:val="bottom"/>
          </w:tcPr>
          <w:p>
            <w:pPr>
              <w:spacing w:after="0"/>
              <w:rPr>
                <w:sz w:val="14"/>
                <w:szCs w:val="14"/>
                <w:color w:val="auto"/>
              </w:rPr>
            </w:pP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Base rent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$2,977,020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Expense recoveries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886,620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20,260</w:t>
            </w:r>
          </w:p>
        </w:tc>
      </w:tr>
      <w:tr>
        <w:trPr>
          <w:trHeight w:val="173"/>
        </w:trPr>
        <w:tc>
          <w:tcPr>
            <w:tcW w:w="3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GROSS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$3,883,900</w:t>
            </w:r>
          </w:p>
        </w:tc>
      </w:tr>
      <w:tr>
        <w:trPr>
          <w:trHeight w:val="173"/>
        </w:trPr>
        <w:tc>
          <w:tcPr>
            <w:tcW w:w="3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DIRECT OPERATING EXPENSES:</w:t>
            </w:r>
          </w:p>
        </w:tc>
        <w:tc>
          <w:tcPr>
            <w:tcW w:w="1080" w:type="dxa"/>
            <w:vAlign w:val="bottom"/>
          </w:tcPr>
          <w:p>
            <w:pPr>
              <w:spacing w:after="0"/>
              <w:rPr>
                <w:sz w:val="24"/>
                <w:szCs w:val="24"/>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Bad debts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33,863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Supplies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25,705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30,509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63,661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Loan fees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121,304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118,617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Professional fees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82,265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Promotions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62,705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Property taxes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528,937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Repairs and maintenance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296,435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Utilities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107,443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on bonds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359,979</w:t>
            </w:r>
          </w:p>
        </w:tc>
      </w:tr>
      <w:tr>
        <w:trPr>
          <w:trHeight w:val="173"/>
        </w:trPr>
        <w:tc>
          <w:tcPr>
            <w:tcW w:w="3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TOTAL DIRECT OPERATING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$1,831,423</w:t>
            </w:r>
          </w:p>
        </w:tc>
      </w:tr>
      <w:tr>
        <w:trPr>
          <w:trHeight w:val="173"/>
        </w:trPr>
        <w:tc>
          <w:tcPr>
            <w:tcW w:w="3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4359" w:firstLine="1262"/>
        <w:spacing w:after="0" w:line="243" w:lineRule="auto"/>
        <w:rPr>
          <w:sz w:val="20"/>
          <w:szCs w:val="20"/>
          <w:color w:val="auto"/>
        </w:rPr>
      </w:pPr>
      <w:r>
        <w:rPr>
          <w:rFonts w:ascii="Courier New" w:cs="Courier New" w:eastAsia="Courier New" w:hAnsi="Courier New"/>
          <w:sz w:val="15"/>
          <w:szCs w:val="15"/>
          <w:color w:val="auto"/>
        </w:rPr>
        <w:t>The notes to historical summary of gross income and direct operating expenses are an integral part of this summary.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18" w:name="page19"/>
    <w:bookmarkEnd w:id="18"/>
    <w:p>
      <w:pPr>
        <w:ind w:left="1980"/>
        <w:spacing w:after="0"/>
        <w:rPr>
          <w:sz w:val="20"/>
          <w:szCs w:val="20"/>
          <w:color w:val="auto"/>
        </w:rPr>
      </w:pPr>
      <w:r>
        <w:rPr>
          <w:rFonts w:ascii="Courier New" w:cs="Courier New" w:eastAsia="Courier New" w:hAnsi="Courier New"/>
          <w:sz w:val="15"/>
          <w:szCs w:val="15"/>
          <w:color w:val="auto"/>
        </w:rPr>
        <w:t>ESCONDIDO PROMENADE SHOPPING CENTER</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HISTORICAL SUMMARY OF GROSS INCOME AND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DIRECT OPERATING EXPENSES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1995</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1 -</w:t>
      </w:r>
      <w:r>
        <w:rPr>
          <w:sz w:val="20"/>
          <w:szCs w:val="20"/>
          <w:color w:val="auto"/>
        </w:rPr>
        <w:tab/>
      </w:r>
      <w:r>
        <w:rPr>
          <w:rFonts w:ascii="Courier New" w:cs="Courier New" w:eastAsia="Courier New" w:hAnsi="Courier New"/>
          <w:sz w:val="14"/>
          <w:szCs w:val="14"/>
          <w:color w:val="auto"/>
        </w:rPr>
        <w:t>NATURE OF BUSINESS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Escondido Promenade Shopping Center (the "Center") is located at the intersection of Interstate 15 and West Valley Parkway in Escondido, California. The Center consists of a retail shopping center with approximately 220,503 square feet of rentable space.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Center's operations consist of leasing retail store space to various tenants. Expense recoveries represent property operating expenses billed to the tenants, including common area maintenance, real estate taxes and other recoverable costs. Expense recoveries are recognized in the period the expenses are incurred. All leases are classified as operating leases and expire at various times prior to 2013.</w:t>
      </w:r>
    </w:p>
    <w:p>
      <w:pPr>
        <w:spacing w:after="0" w:line="17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2 -</w:t>
      </w:r>
      <w:r>
        <w:rPr>
          <w:sz w:val="20"/>
          <w:szCs w:val="20"/>
          <w:color w:val="auto"/>
        </w:rPr>
        <w:tab/>
      </w:r>
      <w:r>
        <w:rPr>
          <w:rFonts w:ascii="Courier New" w:cs="Courier New" w:eastAsia="Courier New" w:hAnsi="Courier New"/>
          <w:sz w:val="14"/>
          <w:szCs w:val="14"/>
          <w:color w:val="auto"/>
        </w:rPr>
        <w:t>BASIS OF PRESENTATION</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FRIT Escondido Promenade, LLC purchased the Center on December 31, 1996. The Historical Summary of Gross Income and Direct Operating Expenses has been prepared for the purpose of complying with Regulation S-X, Rule 3-14 of the Securities and Exchange Commission ("SEC"), which requires certain information with respect to real estate operations acquired to be included with certain filings with the SEC. This Historical Summary includes the historical gross income and direct operating expenses of the Center, exclusive of the following expenses which are not comparable to the proposed future operations of the Center:</w:t>
      </w:r>
    </w:p>
    <w:p>
      <w:pPr>
        <w:spacing w:after="0" w:line="179" w:lineRule="exact"/>
        <w:rPr>
          <w:sz w:val="20"/>
          <w:szCs w:val="20"/>
          <w:color w:val="auto"/>
        </w:rPr>
      </w:pPr>
    </w:p>
    <w:p>
      <w:pPr>
        <w:ind w:left="900" w:right="3019" w:hanging="457"/>
        <w:spacing w:after="0" w:line="243" w:lineRule="auto"/>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on existing mortgages and borrowings exclusive of the bonds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property and equipment</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leasing fees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for income taxes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on receivable from affiliates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and expense on affiliate loans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fees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19" w:name="page20"/>
    <w:bookmarkEnd w:id="19"/>
    <w:p>
      <w:pPr>
        <w:jc w:val="center"/>
        <w:ind w:right="309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 Forma Condensed Balance Sheet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September 30, 1996</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Pro Forma Adjustments</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ind w:left="680"/>
              <w:spacing w:after="0"/>
              <w:rPr>
                <w:sz w:val="20"/>
                <w:szCs w:val="20"/>
                <w:color w:val="auto"/>
              </w:rPr>
            </w:pPr>
            <w:r>
              <w:rPr>
                <w:rFonts w:ascii="Courier New" w:cs="Courier New" w:eastAsia="Courier New" w:hAnsi="Courier New"/>
                <w:sz w:val="15"/>
                <w:szCs w:val="15"/>
                <w:color w:val="auto"/>
              </w:rPr>
              <w:t>Trust</w:t>
            </w:r>
          </w:p>
        </w:tc>
        <w:tc>
          <w:tcPr>
            <w:tcW w:w="500" w:type="dxa"/>
            <w:vAlign w:val="bottom"/>
          </w:tcPr>
          <w:p>
            <w:pPr>
              <w:spacing w:after="0"/>
              <w:rPr>
                <w:sz w:val="15"/>
                <w:szCs w:val="15"/>
                <w:color w:val="auto"/>
              </w:rPr>
            </w:pP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Debit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Credit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3740" w:type="dxa"/>
            <w:vAlign w:val="bottom"/>
          </w:tcPr>
          <w:p>
            <w:pPr>
              <w:spacing w:after="0"/>
              <w:rPr>
                <w:sz w:val="15"/>
                <w:szCs w:val="15"/>
                <w:color w:val="auto"/>
              </w:rPr>
            </w:pPr>
          </w:p>
        </w:tc>
        <w:tc>
          <w:tcPr>
            <w:tcW w:w="1480" w:type="dxa"/>
            <w:vAlign w:val="bottom"/>
          </w:tcPr>
          <w:p>
            <w:pPr>
              <w:ind w:left="680"/>
              <w:spacing w:after="0"/>
              <w:rPr>
                <w:sz w:val="20"/>
                <w:szCs w:val="20"/>
                <w:color w:val="auto"/>
              </w:rPr>
            </w:pPr>
            <w:r>
              <w:rPr>
                <w:rFonts w:ascii="Courier New" w:cs="Courier New" w:eastAsia="Courier New" w:hAnsi="Courier New"/>
                <w:sz w:val="15"/>
                <w:szCs w:val="15"/>
                <w:color w:val="auto"/>
              </w:rPr>
              <w:t>Actual</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4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Real Estate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$1,058,525</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56,500</w:t>
            </w: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$1,115,025</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(215,267)</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(215,267)</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843,258</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899,758</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Mortgage notes receivable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26,975</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26,975</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870,233</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926,733</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Cash and investments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9,666</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9,666</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Notes and accounts receivable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16,914</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16,914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31,784</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31,784</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$928,597</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$985,097</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Liabilities and Shareholders equity</w:t>
            </w: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37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Obligations under capital leases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$130,930</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$130,930</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Mortgages payable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89,515</w:t>
            </w:r>
          </w:p>
        </w:tc>
        <w:tc>
          <w:tcPr>
            <w:tcW w:w="500" w:type="dxa"/>
            <w:vAlign w:val="bottom"/>
          </w:tcPr>
          <w:p>
            <w:pPr>
              <w:spacing w:after="0"/>
              <w:rPr>
                <w:sz w:val="15"/>
                <w:szCs w:val="15"/>
                <w:color w:val="auto"/>
              </w:rPr>
            </w:pPr>
          </w:p>
        </w:tc>
        <w:tc>
          <w:tcPr>
            <w:tcW w:w="20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98,915</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Notes payable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18,880</w:t>
            </w:r>
          </w:p>
        </w:tc>
        <w:tc>
          <w:tcPr>
            <w:tcW w:w="500" w:type="dxa"/>
            <w:vAlign w:val="bottom"/>
          </w:tcPr>
          <w:p>
            <w:pPr>
              <w:spacing w:after="0"/>
              <w:rPr>
                <w:sz w:val="15"/>
                <w:szCs w:val="15"/>
                <w:color w:val="auto"/>
              </w:rPr>
            </w:pPr>
          </w:p>
        </w:tc>
        <w:tc>
          <w:tcPr>
            <w:tcW w:w="20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47,100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65,980</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Convertible Subordinated debentures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75,289</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75,289</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Senior notes and debentures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215,000</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215,000</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48,895</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48,895</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578,509</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635,009</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350,088</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350,088</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$928,597</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$985,097</w:t>
            </w:r>
          </w:p>
        </w:tc>
      </w:tr>
      <w:tr>
        <w:trPr>
          <w:trHeight w:val="173"/>
        </w:trPr>
        <w:tc>
          <w:tcPr>
            <w:tcW w:w="374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condensed pro forma balance sheet of the Trust gives effect to the acquisition of three shopping centers and four retail buildings during the year ended December 31, 1996. The acquisition of the retail buildings are reflected in the actual numbers at September 30, 1996 since they were purchased prior to that date. The pro forma adjustments assume the acquisition of Saugus Plaza, Wynnewood Shopping Center and Escondido Promenade Shopping Center took place on September 30,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4" w:right="1440" w:bottom="1440" w:gutter="0" w:footer="0" w:header="0"/>
        </w:sectPr>
      </w:pPr>
    </w:p>
    <w:bookmarkStart w:id="20" w:name="page21"/>
    <w:bookmarkEnd w:id="20"/>
    <w:p>
      <w:pPr>
        <w:jc w:val="center"/>
        <w:ind w:right="12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7" w:lineRule="exact"/>
        <w:rPr>
          <w:sz w:val="20"/>
          <w:szCs w:val="20"/>
          <w:color w:val="auto"/>
        </w:rPr>
      </w:pPr>
    </w:p>
    <w:p>
      <w:pPr>
        <w:jc w:val="center"/>
        <w:ind w:right="1260"/>
        <w:spacing w:after="0"/>
        <w:rPr>
          <w:sz w:val="20"/>
          <w:szCs w:val="20"/>
          <w:color w:val="auto"/>
        </w:rPr>
      </w:pPr>
      <w:r>
        <w:rPr>
          <w:rFonts w:ascii="Courier New" w:cs="Courier New" w:eastAsia="Courier New" w:hAnsi="Courier New"/>
          <w:sz w:val="15"/>
          <w:szCs w:val="15"/>
          <w:color w:val="auto"/>
        </w:rPr>
        <w:t>Pro Forma Condensed Statement of Operations</w:t>
      </w:r>
    </w:p>
    <w:p>
      <w:pPr>
        <w:spacing w:after="0" w:line="177"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Year ended December 31, 1995</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Pro Forma Adjustments</w:t>
            </w:r>
          </w:p>
        </w:tc>
        <w:tc>
          <w:tcPr>
            <w:tcW w:w="1160" w:type="dxa"/>
            <w:vAlign w:val="bottom"/>
          </w:tcPr>
          <w:p>
            <w:pPr>
              <w:spacing w:after="0"/>
              <w:rPr>
                <w:sz w:val="14"/>
                <w:szCs w:val="14"/>
                <w:color w:val="auto"/>
              </w:rPr>
            </w:pPr>
          </w:p>
        </w:tc>
      </w:tr>
      <w:tr>
        <w:trPr>
          <w:trHeight w:val="173"/>
        </w:trPr>
        <w:tc>
          <w:tcPr>
            <w:tcW w:w="468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Trust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Acquired</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Actual</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Properties</w:t>
            </w:r>
          </w:p>
        </w:tc>
        <w:tc>
          <w:tcPr>
            <w:tcW w:w="4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Debit</w:t>
            </w: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Credit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$142,841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$7,060</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$149,901</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7,455</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4,113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4,115</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154,389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7,082</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161,471</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39,268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$3,250</w:t>
            </w: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42,878</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34,901</w:t>
            </w: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w:t>
            </w: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35,875</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&amp; other charges</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7,305</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7,305</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expenses</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49,564</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2,360</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51,924</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131,038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2,720</w:t>
            </w:r>
          </w:p>
        </w:tc>
        <w:tc>
          <w:tcPr>
            <w:tcW w:w="4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4,224</w:t>
            </w: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137,982</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 of operations,and</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real estate</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23,351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4,362</w:t>
            </w:r>
          </w:p>
        </w:tc>
        <w:tc>
          <w:tcPr>
            <w:tcW w:w="4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4,224</w:t>
            </w: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23,489</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Investors' share of operations and loss on sale</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of real estate</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w:t>
            </w:r>
          </w:p>
        </w:tc>
        <w:tc>
          <w:tcPr>
            <w:tcW w:w="1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$23,110</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$4,362</w:t>
            </w:r>
          </w:p>
        </w:tc>
        <w:tc>
          <w:tcPr>
            <w:tcW w:w="4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$4,485</w:t>
            </w: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$22,987</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31,860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31,860</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$0.72</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$0.72</w:t>
            </w:r>
          </w:p>
        </w:tc>
      </w:tr>
      <w:tr>
        <w:trPr>
          <w:trHeight w:val="173"/>
        </w:trPr>
        <w:tc>
          <w:tcPr>
            <w:tcW w:w="468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jc w:val="both"/>
        <w:ind w:right="4240" w:firstLine="451"/>
        <w:spacing w:after="0" w:line="244" w:lineRule="auto"/>
        <w:rPr>
          <w:sz w:val="20"/>
          <w:szCs w:val="20"/>
          <w:color w:val="auto"/>
        </w:rPr>
      </w:pPr>
      <w:r>
        <w:rPr>
          <w:rFonts w:ascii="Courier New" w:cs="Courier New" w:eastAsia="Courier New" w:hAnsi="Courier New"/>
          <w:sz w:val="15"/>
          <w:szCs w:val="15"/>
          <w:color w:val="auto"/>
        </w:rPr>
        <w:t>The pro forma consensed statement of operations of the Trust gives effect to the acquisition of the Acquired Centers as though they were acquired at the beginning of the period presented.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260"/>
          </w:cols>
          <w:pgMar w:left="240" w:top="811" w:right="399" w:bottom="1440" w:gutter="0" w:footer="0" w:header="0"/>
        </w:sectPr>
      </w:pPr>
    </w:p>
    <w:bookmarkStart w:id="21" w:name="page22"/>
    <w:bookmarkEnd w:id="21"/>
    <w:p>
      <w:pPr>
        <w:jc w:val="center"/>
        <w:ind w:right="9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7"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color w:val="auto"/>
        </w:rPr>
        <w:t>Pro Forma Condensed Statement of Operations</w:t>
      </w:r>
    </w:p>
    <w:p>
      <w:pPr>
        <w:spacing w:after="0" w:line="177"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Nine months ended September 30, 1996</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Pro Forma Adjustments</w:t>
            </w:r>
          </w:p>
        </w:tc>
        <w:tc>
          <w:tcPr>
            <w:tcW w:w="1220" w:type="dxa"/>
            <w:vAlign w:val="bottom"/>
          </w:tcPr>
          <w:p>
            <w:pPr>
              <w:spacing w:after="0"/>
              <w:rPr>
                <w:sz w:val="14"/>
                <w:szCs w:val="14"/>
                <w:color w:val="auto"/>
              </w:rPr>
            </w:pPr>
          </w:p>
        </w:tc>
      </w:tr>
      <w:tr>
        <w:trPr>
          <w:trHeight w:val="173"/>
        </w:trPr>
        <w:tc>
          <w:tcPr>
            <w:tcW w:w="4280" w:type="dxa"/>
            <w:vAlign w:val="bottom"/>
          </w:tcPr>
          <w:p>
            <w:pPr>
              <w:spacing w:after="0"/>
              <w:rPr>
                <w:sz w:val="15"/>
                <w:szCs w:val="15"/>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Trust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Acquired</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Actual</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Properties</w:t>
            </w:r>
          </w:p>
        </w:tc>
        <w:tc>
          <w:tcPr>
            <w:tcW w:w="56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Debit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Credit</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Combined</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$121,555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$5,467</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$127,022</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6,976</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6,976</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3,148</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3,148</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131,679</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5,467</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137,146</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33,559</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w:t>
            </w:r>
          </w:p>
        </w:tc>
        <w:tc>
          <w:tcPr>
            <w:tcW w:w="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$2,296</w:t>
            </w: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36,195</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28,125</w:t>
            </w:r>
          </w:p>
        </w:tc>
        <w:tc>
          <w:tcPr>
            <w:tcW w:w="1120" w:type="dxa"/>
            <w:vAlign w:val="bottom"/>
          </w:tcPr>
          <w:p>
            <w:pPr>
              <w:spacing w:after="0"/>
              <w:rPr>
                <w:sz w:val="15"/>
                <w:szCs w:val="15"/>
                <w:color w:val="auto"/>
              </w:rPr>
            </w:pPr>
          </w:p>
        </w:tc>
        <w:tc>
          <w:tcPr>
            <w:tcW w:w="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28,856</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&amp; other charges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6,074</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6,074</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expenses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42,621</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1,884</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44,505</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110,379</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2,224</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3,027</w:t>
            </w: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115,630</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 or operations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21,300</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3,243</w:t>
            </w:r>
          </w:p>
        </w:tc>
        <w:tc>
          <w:tcPr>
            <w:tcW w:w="560" w:type="dxa"/>
            <w:vAlign w:val="bottom"/>
          </w:tcPr>
          <w:p>
            <w:pPr>
              <w:spacing w:after="0"/>
              <w:rPr>
                <w:sz w:val="24"/>
                <w:szCs w:val="2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3,027</w:t>
            </w:r>
          </w:p>
        </w:tc>
        <w:tc>
          <w:tcPr>
            <w:tcW w:w="1300" w:type="dxa"/>
            <w:vAlign w:val="bottom"/>
          </w:tcPr>
          <w:p>
            <w:pPr>
              <w:spacing w:after="0"/>
              <w:rPr>
                <w:sz w:val="24"/>
                <w:szCs w:val="24"/>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21,516</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Investors' share of operations</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w:t>
            </w:r>
          </w:p>
        </w:tc>
        <w:tc>
          <w:tcPr>
            <w:tcW w:w="1120" w:type="dxa"/>
            <w:vAlign w:val="bottom"/>
          </w:tcPr>
          <w:p>
            <w:pPr>
              <w:spacing w:after="0"/>
              <w:rPr>
                <w:sz w:val="24"/>
                <w:szCs w:val="24"/>
                <w:color w:val="auto"/>
              </w:rPr>
            </w:pPr>
          </w:p>
        </w:tc>
        <w:tc>
          <w:tcPr>
            <w:tcW w:w="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w:t>
            </w:r>
          </w:p>
        </w:tc>
        <w:tc>
          <w:tcPr>
            <w:tcW w:w="1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(522)</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$21,046</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$3,243</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$3,295</w:t>
            </w:r>
          </w:p>
        </w:tc>
        <w:tc>
          <w:tcPr>
            <w:tcW w:w="13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$20,994</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33,193</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33,193</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$0.63</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$0.63</w:t>
            </w:r>
          </w:p>
        </w:tc>
      </w:tr>
      <w:tr>
        <w:trPr>
          <w:trHeight w:val="173"/>
        </w:trPr>
        <w:tc>
          <w:tcPr>
            <w:tcW w:w="428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jc w:val="both"/>
        <w:ind w:right="3880" w:firstLine="451"/>
        <w:spacing w:after="0" w:line="244" w:lineRule="auto"/>
        <w:rPr>
          <w:sz w:val="20"/>
          <w:szCs w:val="20"/>
          <w:color w:val="auto"/>
        </w:rPr>
      </w:pPr>
      <w:r>
        <w:rPr>
          <w:rFonts w:ascii="Courier New" w:cs="Courier New" w:eastAsia="Courier New" w:hAnsi="Courier New"/>
          <w:sz w:val="15"/>
          <w:szCs w:val="15"/>
          <w:color w:val="auto"/>
        </w:rPr>
        <w:t>The pro forma condensed statement of operations of the Trust gives effect to the acquisition of the acquired centers as though they were acquired at the beginning of the period presented.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900"/>
          </w:cols>
          <w:pgMar w:left="240" w:top="638" w:right="759" w:bottom="1440" w:gutter="0" w:footer="0" w:header="0"/>
        </w:sectPr>
      </w:pPr>
    </w:p>
    <w:bookmarkStart w:id="22" w:name="page23"/>
    <w:bookmarkEnd w:id="22"/>
    <w:p>
      <w:pPr>
        <w:jc w:val="center"/>
        <w:ind w:right="309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NOTES TO PRO FORMA CONDENSED FINANCIAL STATEMENTS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8" w:lineRule="exact"/>
        <w:rPr>
          <w:sz w:val="20"/>
          <w:szCs w:val="20"/>
          <w:color w:val="auto"/>
        </w:rPr>
      </w:pPr>
    </w:p>
    <w:p>
      <w:pPr>
        <w:ind w:left="900" w:right="3019" w:hanging="901"/>
        <w:spacing w:after="0" w:line="243" w:lineRule="auto"/>
        <w:tabs>
          <w:tab w:leader="none" w:pos="880" w:val="left"/>
        </w:tabs>
        <w:rPr>
          <w:sz w:val="20"/>
          <w:szCs w:val="20"/>
          <w:color w:val="auto"/>
        </w:rPr>
      </w:pPr>
      <w:r>
        <w:rPr>
          <w:rFonts w:ascii="Courier New" w:cs="Courier New" w:eastAsia="Courier New" w:hAnsi="Courier New"/>
          <w:sz w:val="15"/>
          <w:szCs w:val="15"/>
          <w:color w:val="auto"/>
        </w:rPr>
        <w:t>Note (1)</w:t>
        <w:tab/>
        <w:t>Reflects the purchase of Acquired Centers in October and December 1996 as follows:</w:t>
      </w:r>
    </w:p>
    <w:p>
      <w:pPr>
        <w:spacing w:after="0" w:line="175"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78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of real</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estate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$56,500</w:t>
            </w:r>
          </w:p>
        </w:tc>
      </w:tr>
      <w:tr>
        <w:trPr>
          <w:trHeight w:val="173"/>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Mortgages payable</w:t>
            </w:r>
          </w:p>
        </w:tc>
        <w:tc>
          <w:tcPr>
            <w:tcW w:w="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(9,400)</w:t>
            </w:r>
          </w:p>
        </w:tc>
      </w:tr>
      <w:tr>
        <w:trPr>
          <w:trHeight w:val="173"/>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Borrowings under</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revolving</w:t>
            </w:r>
          </w:p>
        </w:tc>
        <w:tc>
          <w:tcPr>
            <w:tcW w:w="820" w:type="dxa"/>
            <w:vAlign w:val="bottom"/>
          </w:tcPr>
          <w:p>
            <w:pPr>
              <w:spacing w:after="0"/>
              <w:rPr>
                <w:sz w:val="15"/>
                <w:szCs w:val="15"/>
                <w:color w:val="auto"/>
              </w:rPr>
            </w:pPr>
          </w:p>
        </w:tc>
      </w:tr>
      <w:tr>
        <w:trPr>
          <w:trHeight w:val="173"/>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credit</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facilities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(47,100)</w:t>
            </w:r>
          </w:p>
        </w:tc>
      </w:tr>
    </w:tbl>
    <w:p>
      <w:pPr>
        <w:spacing w:after="0" w:line="178" w:lineRule="exact"/>
        <w:rPr>
          <w:sz w:val="20"/>
          <w:szCs w:val="20"/>
          <w:color w:val="auto"/>
        </w:rPr>
      </w:pPr>
    </w:p>
    <w:p>
      <w:pPr>
        <w:ind w:left="900" w:right="3099" w:hanging="901"/>
        <w:spacing w:after="0" w:line="244" w:lineRule="auto"/>
        <w:tabs>
          <w:tab w:leader="none" w:pos="880" w:val="left"/>
        </w:tabs>
        <w:rPr>
          <w:sz w:val="20"/>
          <w:szCs w:val="20"/>
          <w:color w:val="auto"/>
        </w:rPr>
      </w:pPr>
      <w:r>
        <w:rPr>
          <w:rFonts w:ascii="Courier New" w:cs="Courier New" w:eastAsia="Courier New" w:hAnsi="Courier New"/>
          <w:sz w:val="15"/>
          <w:szCs w:val="15"/>
          <w:color w:val="auto"/>
        </w:rPr>
        <w:t>Note (2)</w:t>
        <w:tab/>
        <w:t>Reflects interest expense on revolving credit facilities used to purchase Saugus Plaza Shopping Center, Wynnewood Shopping Center, and Escondido Promenade Shopping Center.</w:t>
      </w:r>
    </w:p>
    <w:p>
      <w:pPr>
        <w:spacing w:after="0" w:line="175" w:lineRule="exact"/>
        <w:rPr>
          <w:sz w:val="20"/>
          <w:szCs w:val="20"/>
          <w:color w:val="auto"/>
        </w:rPr>
      </w:pPr>
    </w:p>
    <w:p>
      <w:pPr>
        <w:ind w:left="900" w:right="3459" w:hanging="901"/>
        <w:spacing w:after="0" w:line="243" w:lineRule="auto"/>
        <w:tabs>
          <w:tab w:leader="none" w:pos="880" w:val="left"/>
        </w:tabs>
        <w:rPr>
          <w:sz w:val="20"/>
          <w:szCs w:val="20"/>
          <w:color w:val="auto"/>
        </w:rPr>
      </w:pPr>
      <w:r>
        <w:rPr>
          <w:rFonts w:ascii="Courier New" w:cs="Courier New" w:eastAsia="Courier New" w:hAnsi="Courier New"/>
          <w:sz w:val="15"/>
          <w:szCs w:val="15"/>
          <w:color w:val="auto"/>
        </w:rPr>
        <w:t>Note (3)</w:t>
        <w:tab/>
        <w:t>Reflects depreciation based on the book value of depreciable real estate purchased.</w:t>
      </w:r>
    </w:p>
    <w:p>
      <w:pPr>
        <w:spacing w:after="0" w:line="175" w:lineRule="exact"/>
        <w:rPr>
          <w:sz w:val="20"/>
          <w:szCs w:val="20"/>
          <w:color w:val="auto"/>
        </w:rPr>
      </w:pPr>
    </w:p>
    <w:p>
      <w:pPr>
        <w:jc w:val="center"/>
        <w:ind w:right="3379"/>
        <w:spacing w:after="0"/>
        <w:tabs>
          <w:tab w:leader="none" w:pos="1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Reflects minority interest in the earnings of Escondido Promenade.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23" w:name="page24"/>
    <w:bookmarkEnd w:id="23"/>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consent to the inclusion in this Form 8-K of our report dated October 18, 1996, on our audit of the special purpose statement of operations (exclusive of interest income and expense, depreciation and amortization, rent expense and management fees) of J.B.S. Limited Partnership (A Limited Partnership) for the year ended December 31, 1995. We also consent to the incorporation by reference of said report in the Registration Statements of Federal Realty Investment Trust on Form S-3 (File No. 33-15264, effective August 4, 1987), (File No. 33-63687, effective November 6, 1995) and (File No. 33-63955, effective November 3, 1995).</w:t>
      </w:r>
    </w:p>
    <w:p>
      <w:pPr>
        <w:spacing w:after="0" w:line="337"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HECHT AND COMPANY, P.C.</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1997</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87" w:right="1440" w:bottom="1440" w:gutter="0" w:footer="0" w:header="0"/>
        </w:sectPr>
      </w:pPr>
    </w:p>
    <w:bookmarkStart w:id="24" w:name="page25"/>
    <w:bookmarkEnd w:id="24"/>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inclusion in this Form 8-K of our report dated September 30, 1996, on our audit of the financial statements of Wynnewood Shopping Center, LP (A Pennsylvania Limited Partnership) for the year ended December 31, 1995. We also consent to the incorporation by reference of said report in the Registration Statements of Federal Realty Investment Trust on Forms S-3 (File No. 33-15264, effective August 4, 1987), (File No. 33-63687, effective November 6, 1995) and (File No. 33-63955, effective November 3, 1995).</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LANDSBURG PLATT RASCHIATORE &amp; DALTON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1997</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1440" w:gutter="0" w:footer="0" w:header="0"/>
        </w:sectPr>
      </w:pPr>
    </w:p>
    <w:bookmarkStart w:id="25" w:name="page26"/>
    <w:bookmarkEnd w:id="25"/>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independent public accountant, I hereby consent to the inclusion in this Form 8-K of our report dated January 9, 1997, on my audit of the Historical Summary of Gross Income and Direct Operating Expenses of Escondido Promenade Shopping Center, Escondido, California, for the year ended December 31, 1995. I also consent to the incorporation by reference of said report in the Registration Statements of Federal Realty Investment Trust on Forms S-3 (File No. 33-15264, effective August 4, 1987), (File No. 33-63687, effective November 6, 1995) and (File No. 33-63955, effective November 3, 1995).</w:t>
      </w:r>
    </w:p>
    <w:p>
      <w:pPr>
        <w:spacing w:after="0" w:line="35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HURLEY &amp; COMPANY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1997</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219"/>
      </w:cols>
      <w:pgMar w:left="24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2019-12-13T00:53:03Z</dcterms:created>
  <dcterms:modified xsi:type="dcterms:W3CDTF">2019-12-13T00:53:03Z</dcterms:modified>
</cp:coreProperties>
</file>