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333-135159</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PROSPECTUS SUPPLEMENT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(To Prospectus Dated June 20, 2006)</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32406B"/>
        </w:rPr>
        <w:t>$135,000,000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130810</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32406B"/>
        </w:rPr>
        <w:t>5.40% Notes due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32406B"/>
        </w:rPr>
        <w:t>The notes offered by this prospectus supplement will bear interest at the rate of 5.40% per year. Interest on the notes is payable on June 1 and December 1 of each year, beginning on June 1, 2007. The notes will mature on December 1, 2013. We may redeem some or all of the notes at any time before maturity. The redemption price is discussed under the caption “Description of Notes — Optional Redemption.”</w:t>
      </w:r>
    </w:p>
    <w:p>
      <w:pPr>
        <w:spacing w:after="0" w:line="13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notes will be unsecured senior obligations of our company and will rank equally with all of our other unsecured senior indebtedness.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right="340"/>
        <w:spacing w:after="0" w:line="262" w:lineRule="auto"/>
        <w:rPr>
          <w:rFonts w:ascii="Times New Roman" w:cs="Times New Roman" w:eastAsia="Times New Roman" w:hAnsi="Times New Roman"/>
          <w:sz w:val="22"/>
          <w:szCs w:val="22"/>
          <w:b w:val="1"/>
          <w:bCs w:val="1"/>
          <w:color w:val="32406B"/>
        </w:rPr>
      </w:pPr>
      <w:r>
        <w:rPr>
          <w:rFonts w:ascii="Times New Roman" w:cs="Times New Roman" w:eastAsia="Times New Roman" w:hAnsi="Times New Roman"/>
          <w:sz w:val="22"/>
          <w:szCs w:val="22"/>
          <w:b w:val="1"/>
          <w:bCs w:val="1"/>
          <w:color w:val="32406B"/>
        </w:rPr>
        <w:t xml:space="preserve">Investing in the notes involves risks. See “ </w:t>
      </w:r>
      <w:hyperlink w:anchor="page9">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32406B"/>
        </w:rPr>
        <w:t>” beginning on page S-5 of this prospectus supplement and in our Annual Report on Form 10-K filed with the SEC on March 3, 2006 and amended on March 10, 2006.</w:t>
      </w:r>
    </w:p>
    <w:p>
      <w:pPr>
        <w:spacing w:after="0" w:line="139"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32406B"/>
              </w:rPr>
              <w:t>Per</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color w:val="32406B"/>
              </w:rPr>
              <w:t>Public Offering Price</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32406B"/>
              </w:rPr>
              <w:t>Note</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0" w:type="dxa"/>
            <w:vAlign w:val="bottom"/>
          </w:tcPr>
          <w:p>
            <w:pPr>
              <w:spacing w:after="0"/>
              <w:rPr>
                <w:sz w:val="1"/>
                <w:szCs w:val="1"/>
                <w:color w:val="auto"/>
              </w:rPr>
            </w:pPr>
          </w:p>
        </w:tc>
      </w:tr>
      <w:tr>
        <w:trPr>
          <w:trHeight w:val="195"/>
        </w:trPr>
        <w:tc>
          <w:tcPr>
            <w:tcW w:w="798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32406B"/>
              </w:rPr>
              <w:t>100.000%</w:t>
            </w:r>
          </w:p>
        </w:tc>
        <w:tc>
          <w:tcPr>
            <w:tcW w:w="420" w:type="dxa"/>
            <w:vAlign w:val="bottom"/>
          </w:tcPr>
          <w:p>
            <w:pPr>
              <w:spacing w:after="0"/>
              <w:rPr>
                <w:sz w:val="16"/>
                <w:szCs w:val="16"/>
                <w:color w:val="auto"/>
              </w:rPr>
            </w:pPr>
          </w:p>
        </w:tc>
        <w:tc>
          <w:tcPr>
            <w:tcW w:w="220" w:type="dxa"/>
            <w:vAlign w:val="bottom"/>
            <w:tcBorders>
              <w:top w:val="single" w:sz="8" w:color="auto"/>
            </w:tcBorders>
          </w:tcPr>
          <w:p>
            <w:pPr>
              <w:jc w:val="right"/>
              <w:ind w:right="32"/>
              <w:spacing w:after="0" w:line="195" w:lineRule="exact"/>
              <w:rPr>
                <w:sz w:val="20"/>
                <w:szCs w:val="20"/>
                <w:color w:val="auto"/>
              </w:rPr>
            </w:pPr>
            <w:r>
              <w:rPr>
                <w:rFonts w:ascii="Times New Roman" w:cs="Times New Roman" w:eastAsia="Times New Roman" w:hAnsi="Times New Roman"/>
                <w:sz w:val="18"/>
                <w:szCs w:val="18"/>
                <w:color w:val="32406B"/>
                <w:w w:val="88"/>
              </w:rPr>
              <w:t>$</w:t>
            </w:r>
          </w:p>
        </w:tc>
        <w:tc>
          <w:tcPr>
            <w:tcW w:w="10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32406B"/>
              </w:rPr>
              <w:t>135,000,000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32406B"/>
              </w:rPr>
              <w:t>Underwriting Discount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0.625%</w:t>
            </w: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32406B"/>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843,750</w:t>
            </w:r>
          </w:p>
        </w:tc>
        <w:tc>
          <w:tcPr>
            <w:tcW w:w="0" w:type="dxa"/>
            <w:vAlign w:val="bottom"/>
          </w:tcPr>
          <w:p>
            <w:pPr>
              <w:spacing w:after="0"/>
              <w:rPr>
                <w:sz w:val="1"/>
                <w:szCs w:val="1"/>
                <w:color w:val="auto"/>
              </w:rPr>
            </w:pPr>
          </w:p>
        </w:tc>
      </w:tr>
      <w:tr>
        <w:trPr>
          <w:trHeight w:val="228"/>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32406B"/>
              </w:rPr>
              <w:t>Proceeds to Federal Realty (before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99.375%</w:t>
            </w: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32406B"/>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134,156,250</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32406B"/>
        </w:rPr>
        <w:t>Interest on the notes will accrue from December 1, 2006.</w:t>
      </w:r>
    </w:p>
    <w:p>
      <w:pPr>
        <w:spacing w:after="0" w:line="171" w:lineRule="exact"/>
        <w:rPr>
          <w:sz w:val="24"/>
          <w:szCs w:val="24"/>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32406B"/>
        </w:rPr>
        <w:t>The underwriters expect to deliver the notes to purchasers in book-entry only form through the facilities of The Depository Trust Company on or about December 1, 2006.</w:t>
      </w:r>
    </w:p>
    <w:p>
      <w:pPr>
        <w:spacing w:after="0" w:line="118" w:lineRule="exact"/>
        <w:rPr>
          <w:sz w:val="24"/>
          <w:szCs w:val="24"/>
          <w:color w:val="auto"/>
        </w:rPr>
      </w:pPr>
    </w:p>
    <w:p>
      <w:pPr>
        <w:ind w:right="460" w:firstLine="456"/>
        <w:spacing w:after="0" w:line="264" w:lineRule="auto"/>
        <w:rPr>
          <w:sz w:val="20"/>
          <w:szCs w:val="20"/>
          <w:color w:val="auto"/>
        </w:rPr>
      </w:pPr>
      <w:r>
        <w:rPr>
          <w:rFonts w:ascii="Times New Roman" w:cs="Times New Roman" w:eastAsia="Times New Roman" w:hAnsi="Times New Roman"/>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2406B"/>
        </w:rPr>
        <w:t>Joint Book-Running Managers</w:t>
      </w:r>
    </w:p>
    <w:p>
      <w:pPr>
        <w:spacing w:after="0" w:line="181" w:lineRule="exact"/>
        <w:rPr>
          <w:sz w:val="24"/>
          <w:szCs w:val="24"/>
          <w:color w:val="auto"/>
        </w:rPr>
      </w:pPr>
    </w:p>
    <w:p>
      <w:pPr>
        <w:spacing w:after="0"/>
        <w:tabs>
          <w:tab w:leader="none" w:pos="10060" w:val="left"/>
        </w:tabs>
        <w:rPr>
          <w:sz w:val="20"/>
          <w:szCs w:val="20"/>
          <w:color w:val="auto"/>
        </w:rPr>
      </w:pPr>
      <w:r>
        <w:rPr>
          <w:rFonts w:ascii="Times New Roman" w:cs="Times New Roman" w:eastAsia="Times New Roman" w:hAnsi="Times New Roman"/>
          <w:sz w:val="32"/>
          <w:szCs w:val="32"/>
          <w:b w:val="1"/>
          <w:bCs w:val="1"/>
          <w:color w:val="32406B"/>
        </w:rPr>
        <w:t>Wachovia Securities</w:t>
      </w:r>
      <w:r>
        <w:rPr>
          <w:sz w:val="20"/>
          <w:szCs w:val="20"/>
          <w:color w:val="auto"/>
        </w:rPr>
        <w:tab/>
      </w:r>
      <w:r>
        <w:rPr>
          <w:rFonts w:ascii="Times New Roman" w:cs="Times New Roman" w:eastAsia="Times New Roman" w:hAnsi="Times New Roman"/>
          <w:sz w:val="32"/>
          <w:szCs w:val="32"/>
          <w:b w:val="1"/>
          <w:bCs w:val="1"/>
          <w:color w:val="32406B"/>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224790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32406B"/>
        </w:rPr>
        <w:t>Bear, Stearns &amp; Co. Inc.</w:t>
      </w:r>
    </w:p>
    <w:p>
      <w:pPr>
        <w:spacing w:after="0" w:line="35"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32"/>
          <w:szCs w:val="32"/>
          <w:b w:val="1"/>
          <w:bCs w:val="1"/>
          <w:color w:val="32406B"/>
        </w:rPr>
        <w:t>Banc of America Securities LLC</w:t>
      </w:r>
    </w:p>
    <w:p>
      <w:pPr>
        <w:ind w:left="1720"/>
        <w:spacing w:after="0" w:line="237" w:lineRule="auto"/>
        <w:rPr>
          <w:sz w:val="20"/>
          <w:szCs w:val="20"/>
          <w:color w:val="auto"/>
        </w:rPr>
      </w:pPr>
      <w:r>
        <w:rPr>
          <w:rFonts w:ascii="Times New Roman" w:cs="Times New Roman" w:eastAsia="Times New Roman" w:hAnsi="Times New Roman"/>
          <w:sz w:val="32"/>
          <w:szCs w:val="32"/>
          <w:b w:val="1"/>
          <w:bCs w:val="1"/>
          <w:color w:val="32406B"/>
        </w:rPr>
        <w:t>Commerzbank Corporates &amp; Markets</w:t>
      </w:r>
    </w:p>
    <w:p>
      <w:pPr>
        <w:ind w:left="2640"/>
        <w:spacing w:after="0" w:line="238" w:lineRule="auto"/>
        <w:rPr>
          <w:sz w:val="20"/>
          <w:szCs w:val="20"/>
          <w:color w:val="auto"/>
        </w:rPr>
      </w:pPr>
      <w:r>
        <w:rPr>
          <w:rFonts w:ascii="Times New Roman" w:cs="Times New Roman" w:eastAsia="Times New Roman" w:hAnsi="Times New Roman"/>
          <w:sz w:val="32"/>
          <w:szCs w:val="32"/>
          <w:b w:val="1"/>
          <w:bCs w:val="1"/>
          <w:color w:val="32406B"/>
        </w:rPr>
        <w:t>JPMorgan</w:t>
      </w:r>
    </w:p>
    <w:p>
      <w:pPr>
        <w:ind w:left="3540"/>
        <w:spacing w:after="0" w:line="238" w:lineRule="auto"/>
        <w:rPr>
          <w:sz w:val="20"/>
          <w:szCs w:val="20"/>
          <w:color w:val="auto"/>
        </w:rPr>
      </w:pPr>
      <w:r>
        <w:rPr>
          <w:rFonts w:ascii="Times New Roman" w:cs="Times New Roman" w:eastAsia="Times New Roman" w:hAnsi="Times New Roman"/>
          <w:sz w:val="32"/>
          <w:szCs w:val="32"/>
          <w:b w:val="1"/>
          <w:bCs w:val="1"/>
          <w:color w:val="32406B"/>
        </w:rPr>
        <w:t>Piper Jaffray</w:t>
      </w:r>
    </w:p>
    <w:p>
      <w:pPr>
        <w:ind w:left="4460"/>
        <w:spacing w:after="0" w:line="238" w:lineRule="auto"/>
        <w:rPr>
          <w:sz w:val="20"/>
          <w:szCs w:val="20"/>
          <w:color w:val="auto"/>
        </w:rPr>
      </w:pPr>
      <w:r>
        <w:rPr>
          <w:rFonts w:ascii="Times New Roman" w:cs="Times New Roman" w:eastAsia="Times New Roman" w:hAnsi="Times New Roman"/>
          <w:sz w:val="32"/>
          <w:szCs w:val="32"/>
          <w:b w:val="1"/>
          <w:bCs w:val="1"/>
          <w:color w:val="32406B"/>
        </w:rPr>
        <w:t>PNC Capital Markets LLC</w:t>
      </w:r>
    </w:p>
    <w:p>
      <w:pPr>
        <w:jc w:val="right"/>
        <w:spacing w:after="0"/>
        <w:rPr>
          <w:sz w:val="20"/>
          <w:szCs w:val="20"/>
          <w:color w:val="auto"/>
        </w:rPr>
      </w:pPr>
      <w:r>
        <w:rPr>
          <w:rFonts w:ascii="Times New Roman" w:cs="Times New Roman" w:eastAsia="Times New Roman" w:hAnsi="Times New Roman"/>
          <w:sz w:val="32"/>
          <w:szCs w:val="32"/>
          <w:b w:val="1"/>
          <w:bCs w:val="1"/>
          <w:color w:val="32406B"/>
        </w:rPr>
        <w:t>SunTrust Robinson Humphrey</w:t>
      </w:r>
    </w:p>
    <w:p>
      <w:pPr>
        <w:sectPr>
          <w:pgSz w:w="11900" w:h="16838" w:orient="portrait"/>
          <w:cols w:equalWidth="0" w:num="1">
            <w:col w:w="11420"/>
          </w:cols>
          <w:pgMar w:left="240" w:top="226" w:right="239" w:bottom="1440" w:gutter="0" w:footer="0" w:header="0"/>
        </w:sectPr>
      </w:pP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32406B"/>
        </w:rPr>
        <w:t>The date of this prospectus supplement is November 28, 2006.</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54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Proposed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to</w:t>
            </w:r>
          </w:p>
        </w:tc>
        <w:tc>
          <w:tcPr>
            <w:tcW w:w="5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54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49"/>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5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5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54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7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Registration</w:t>
            </w:r>
          </w:p>
        </w:tc>
        <w:tc>
          <w:tcPr>
            <w:tcW w:w="0" w:type="dxa"/>
            <w:vAlign w:val="bottom"/>
          </w:tcPr>
          <w:p>
            <w:pPr>
              <w:spacing w:after="0"/>
              <w:rPr>
                <w:sz w:val="1"/>
                <w:szCs w:val="1"/>
                <w:color w:val="auto"/>
              </w:rPr>
            </w:pPr>
          </w:p>
        </w:tc>
      </w:tr>
      <w:tr>
        <w:trPr>
          <w:trHeight w:val="152"/>
        </w:trPr>
        <w:tc>
          <w:tcPr>
            <w:tcW w:w="634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Registered</w:t>
            </w:r>
          </w:p>
        </w:tc>
        <w:tc>
          <w:tcPr>
            <w:tcW w:w="540" w:type="dxa"/>
            <w:vAlign w:val="bottom"/>
          </w:tcPr>
          <w:p>
            <w:pPr>
              <w:spacing w:after="0"/>
              <w:rPr>
                <w:sz w:val="13"/>
                <w:szCs w:val="13"/>
                <w:color w:val="auto"/>
              </w:rPr>
            </w:pPr>
          </w:p>
        </w:tc>
        <w:tc>
          <w:tcPr>
            <w:tcW w:w="6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Security</w:t>
            </w:r>
          </w:p>
        </w:tc>
        <w:tc>
          <w:tcPr>
            <w:tcW w:w="540" w:type="dxa"/>
            <w:vAlign w:val="bottom"/>
          </w:tcPr>
          <w:p>
            <w:pPr>
              <w:spacing w:after="0"/>
              <w:rPr>
                <w:sz w:val="13"/>
                <w:szCs w:val="13"/>
                <w:color w:val="auto"/>
              </w:rPr>
            </w:pPr>
          </w:p>
        </w:tc>
        <w:tc>
          <w:tcPr>
            <w:tcW w:w="1500" w:type="dxa"/>
            <w:vAlign w:val="bottom"/>
            <w:gridSpan w:val="2"/>
          </w:tcPr>
          <w:p>
            <w:pPr>
              <w:jc w:val="center"/>
              <w:ind w:right="5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740" w:type="dxa"/>
            <w:vAlign w:val="bottom"/>
            <w:gridSpan w:val="2"/>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Fee (1)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5.40% Notes due 2013</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$135,000,000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14,445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800" w:hanging="452"/>
        <w:spacing w:after="0" w:line="27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Rules 456(b) and 457(r) of the Securities Act, and paid in connection with the filing of the preliminary prospectus supplement on November 28, 2006.</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supplement and the accompanying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state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4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4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18"/>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Cautionary Statement Concerning Forward-Looking Statements</w:t>
              </w:r>
            </w:hyperlink>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18"/>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Prospectus Supplement Summary</w:t>
              </w:r>
            </w:hyperlink>
          </w:p>
        </w:tc>
        <w:tc>
          <w:tcPr>
            <w:tcW w:w="2120" w:type="dxa"/>
            <w:vAlign w:val="bottom"/>
            <w:tcBorders>
              <w:top w:val="single" w:sz="8" w:color="0000EE"/>
            </w:tcBorders>
            <w:gridSpan w:val="6"/>
          </w:tcPr>
          <w:p>
            <w:pPr>
              <w:spacing w:after="0"/>
              <w:rPr>
                <w:sz w:val="17"/>
                <w:szCs w:val="17"/>
                <w:color w:val="auto"/>
              </w:rPr>
            </w:pPr>
          </w:p>
        </w:tc>
        <w:tc>
          <w:tcPr>
            <w:tcW w:w="64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Risk Factors</w:t>
              </w:r>
            </w:hyperlink>
          </w:p>
        </w:tc>
        <w:tc>
          <w:tcPr>
            <w:tcW w:w="10040" w:type="dxa"/>
            <w:vAlign w:val="bottom"/>
            <w:gridSpan w:val="16"/>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Use of Proceeds</w:t>
              </w:r>
            </w:hyperlink>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Ratios of Earnings to Fixed Charges</w:t>
              </w:r>
            </w:hyperlink>
          </w:p>
        </w:tc>
        <w:tc>
          <w:tcPr>
            <w:tcW w:w="838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Description of Notes</w:t>
              </w:r>
            </w:hyperlink>
          </w:p>
        </w:tc>
        <w:tc>
          <w:tcPr>
            <w:tcW w:w="946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Certain Federal Income Tax Considerations</w:t>
              </w:r>
            </w:hyperlink>
          </w:p>
        </w:tc>
        <w:tc>
          <w:tcPr>
            <w:tcW w:w="7860" w:type="dxa"/>
            <w:vAlign w:val="bottom"/>
            <w:gridSpan w:val="3"/>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21">
              <w:r>
                <w:rPr>
                  <w:rFonts w:ascii="Times New Roman" w:cs="Times New Roman" w:eastAsia="Times New Roman" w:hAnsi="Times New Roman"/>
                  <w:sz w:val="18"/>
                  <w:szCs w:val="18"/>
                  <w:color w:val="0000EE"/>
                  <w:w w:val="96"/>
                </w:rPr>
                <w:t>Underwriting</w:t>
              </w:r>
            </w:hyperlink>
          </w:p>
        </w:tc>
        <w:tc>
          <w:tcPr>
            <w:tcW w:w="9980" w:type="dxa"/>
            <w:vAlign w:val="bottom"/>
            <w:gridSpan w:val="15"/>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Experts</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22">
              <w:r>
                <w:rPr>
                  <w:rFonts w:ascii="Times New Roman" w:cs="Times New Roman" w:eastAsia="Times New Roman" w:hAnsi="Times New Roman"/>
                  <w:sz w:val="18"/>
                  <w:szCs w:val="18"/>
                  <w:color w:val="0000EE"/>
                  <w:w w:val="95"/>
                </w:rPr>
                <w:t>Legal Matters</w:t>
              </w:r>
            </w:hyperlink>
          </w:p>
        </w:tc>
        <w:tc>
          <w:tcPr>
            <w:tcW w:w="9940" w:type="dxa"/>
            <w:vAlign w:val="bottom"/>
            <w:gridSpan w:val="1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Where You Can Find More Information</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34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40" w:type="dxa"/>
            <w:vAlign w:val="bottom"/>
            <w:gridSpan w:val="2"/>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18"/>
            <w:vMerge w:val="restart"/>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About this Prospectus</w:t>
              </w:r>
            </w:hyperlink>
          </w:p>
        </w:tc>
        <w:tc>
          <w:tcPr>
            <w:tcW w:w="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0940" w:type="dxa"/>
            <w:vAlign w:val="bottom"/>
            <w:gridSpan w:val="18"/>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Forward-Looking Information</w:t>
              </w:r>
            </w:hyperlink>
          </w:p>
        </w:tc>
        <w:tc>
          <w:tcPr>
            <w:tcW w:w="8800" w:type="dxa"/>
            <w:vAlign w:val="bottom"/>
            <w:gridSpan w:val="9"/>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The Company</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Use of Proceeds</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Ratios of Earnings to Combined Fixed Charges and Preferred Stock Dividends</w:t>
              </w:r>
            </w:hyperlink>
          </w:p>
        </w:tc>
        <w:tc>
          <w:tcPr>
            <w:tcW w:w="5400" w:type="dxa"/>
            <w:vAlign w:val="bottom"/>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Description of Debt Securities</w:t>
              </w:r>
            </w:hyperlink>
          </w:p>
        </w:tc>
        <w:tc>
          <w:tcPr>
            <w:tcW w:w="8800" w:type="dxa"/>
            <w:vAlign w:val="bottom"/>
            <w:gridSpan w:val="9"/>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Description of Shares of Beneficial Interest</w:t>
              </w:r>
            </w:hyperlink>
          </w:p>
        </w:tc>
        <w:tc>
          <w:tcPr>
            <w:tcW w:w="7880" w:type="dxa"/>
            <w:vAlign w:val="bottom"/>
            <w:gridSpan w:val="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53">
              <w:r>
                <w:rPr>
                  <w:rFonts w:ascii="Times New Roman" w:cs="Times New Roman" w:eastAsia="Times New Roman" w:hAnsi="Times New Roman"/>
                  <w:sz w:val="18"/>
                  <w:szCs w:val="18"/>
                  <w:color w:val="0000EE"/>
                  <w:w w:val="96"/>
                </w:rPr>
                <w:t>Federal Income Tax Consequences</w:t>
              </w:r>
            </w:hyperlink>
          </w:p>
        </w:tc>
        <w:tc>
          <w:tcPr>
            <w:tcW w:w="8480" w:type="dxa"/>
            <w:vAlign w:val="bottom"/>
            <w:gridSpan w:val="7"/>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Plan of Distribution</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Legal Matters</w:t>
              </w:r>
            </w:hyperlink>
          </w:p>
        </w:tc>
        <w:tc>
          <w:tcPr>
            <w:tcW w:w="9540" w:type="dxa"/>
            <w:vAlign w:val="bottom"/>
            <w:gridSpan w:val="12"/>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Experts</w:t>
              </w:r>
            </w:hyperlink>
          </w:p>
        </w:tc>
        <w:tc>
          <w:tcPr>
            <w:tcW w:w="9940" w:type="dxa"/>
            <w:vAlign w:val="bottom"/>
            <w:gridSpan w:val="1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814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Where You Can Find More Information</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or the Exchange Act, and the Private Securities Litigation Reform Act of 1995. In particular, the risk factors included or incorporated by reference in this prospectus supplement and the accompanying prospectus describe forward-looking information. The risk factors, including those contained in our Annual Report on Form 10-K filed with the Securities and Exchange Commission, or the SEC, on March 3, 2006 and amended on March 10, 2006,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62" w:lineRule="exact"/>
        <w:rPr>
          <w:sz w:val="20"/>
          <w:szCs w:val="20"/>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or that we may be unable to renew leases or re-let space at favorable rents as leases expire;</w:t>
      </w:r>
    </w:p>
    <w:p>
      <w:pPr>
        <w:spacing w:after="0" w:line="90" w:lineRule="exact"/>
        <w:rPr>
          <w:rFonts w:ascii="Times New Roman" w:cs="Times New Roman" w:eastAsia="Times New Roman" w:hAnsi="Times New Roman"/>
          <w:sz w:val="18"/>
          <w:szCs w:val="18"/>
          <w:color w:val="auto"/>
        </w:rPr>
      </w:pPr>
    </w:p>
    <w:p>
      <w:pPr>
        <w:ind w:left="780" w:right="500" w:hanging="326"/>
        <w:spacing w:after="0" w:line="334" w:lineRule="auto"/>
        <w:tabs>
          <w:tab w:leader="none" w:pos="7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Times New Roman" w:cs="Times New Roman" w:eastAsia="Times New Roman" w:hAnsi="Times New Roman"/>
          <w:sz w:val="16"/>
          <w:szCs w:val="16"/>
          <w:color w:val="auto"/>
        </w:rPr>
      </w:pPr>
    </w:p>
    <w:p>
      <w:pPr>
        <w:ind w:left="780" w:right="120" w:hanging="326"/>
        <w:spacing w:after="0" w:line="275"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number of properties we acquire for our own account, and therefore the amount of capital we invest in acquisitions, may be impacted by our real estate partnership;</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acquisitions may fail to perform as expected,</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at our properties and result in unanticipated costs, and</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we may not be able to sell properties when appropriate;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90" w:lineRule="exact"/>
        <w:rPr>
          <w:rFonts w:ascii="Times New Roman" w:cs="Times New Roman" w:eastAsia="Times New Roman" w:hAnsi="Times New Roman"/>
          <w:sz w:val="18"/>
          <w:szCs w:val="18"/>
          <w:color w:val="auto"/>
        </w:rPr>
      </w:pPr>
    </w:p>
    <w:p>
      <w:pPr>
        <w:ind w:left="780" w:right="420" w:hanging="326"/>
        <w:spacing w:after="0" w:line="262"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that are acceptable to us, our ability to meet existing financial covenants and the limitations imposed on our operations by those covenants, and the possibility of increases in interest rates that would result in increased interest expense; and</w:t>
      </w:r>
    </w:p>
    <w:p>
      <w:pPr>
        <w:spacing w:after="0" w:line="51" w:lineRule="exact"/>
        <w:rPr>
          <w:rFonts w:ascii="Times New Roman" w:cs="Times New Roman" w:eastAsia="Times New Roman" w:hAnsi="Times New Roman"/>
          <w:sz w:val="18"/>
          <w:szCs w:val="18"/>
          <w:color w:val="auto"/>
        </w:rPr>
      </w:pPr>
    </w:p>
    <w:p>
      <w:pPr>
        <w:ind w:left="780" w:right="240" w:hanging="326"/>
        <w:spacing w:after="0" w:line="262"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3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1" w:lineRule="exact"/>
        <w:rPr>
          <w:sz w:val="20"/>
          <w:szCs w:val="20"/>
          <w:color w:val="auto"/>
        </w:rPr>
      </w:pPr>
    </w:p>
    <w:p>
      <w:pPr>
        <w:ind w:right="14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Federal Realty Investment Trust is an equity real estate investment trust specializing in the ownership, management, development and redevelopment of high-quality retail and mixed-use properties. As of September 30, 2006, we owned or had an interest in 111 community and neighborhood shopping centers and mixed-use properties comprising approximately 18.6 million square feet, located primarily in densely populated and affluent communities throughout the Northeast and Mid-Atlantic United States, as well as California, and one apartment complex in Maryland. A joint venture in which we own a 30% interest owned six neighborhood shopping centers totaling approximately 0.7 million square feet as of September 30, 2006.</w:t>
      </w:r>
    </w:p>
    <w:p>
      <w:pPr>
        <w:spacing w:after="0" w:line="1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360"/>
          </w:cols>
          <w:pgMar w:left="240" w:top="45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3"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420"/>
          </w:cols>
          <w:pgMar w:left="240" w:top="455" w:right="2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6"/>
          <w:szCs w:val="16"/>
          <w:color w:val="auto"/>
        </w:rPr>
        <w:t>$135 million aggregate principal amount of 5.40% notes due 2013.</w:t>
      </w:r>
    </w:p>
    <w:p>
      <w:pPr>
        <w:spacing w:after="0" w:line="200" w:lineRule="exact"/>
        <w:rPr>
          <w:sz w:val="20"/>
          <w:szCs w:val="20"/>
          <w:color w:val="auto"/>
        </w:rPr>
      </w:pPr>
    </w:p>
    <w:p>
      <w:pPr>
        <w:sectPr>
          <w:pgSz w:w="11900" w:h="16838" w:orient="portrait"/>
          <w:cols w:equalWidth="0" w:num="2">
            <w:col w:w="3400" w:space="720"/>
            <w:col w:w="7300"/>
          </w:cols>
          <w:pgMar w:left="240" w:top="45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Maturity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redeemed prior to maturity as described below, the notes will mature on December 1, 2013.</w:t>
      </w:r>
    </w:p>
    <w:p>
      <w:pPr>
        <w:spacing w:after="0" w:line="200" w:lineRule="exact"/>
        <w:rPr>
          <w:sz w:val="20"/>
          <w:szCs w:val="20"/>
          <w:color w:val="auto"/>
        </w:rPr>
      </w:pPr>
    </w:p>
    <w:p>
      <w:pPr>
        <w:sectPr>
          <w:pgSz w:w="11900" w:h="16838" w:orient="portrait"/>
          <w:cols w:equalWidth="0" w:num="2">
            <w:col w:w="3400" w:space="720"/>
            <w:col w:w="7300"/>
          </w:cols>
          <w:pgMar w:left="240" w:top="45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Interest on the notes will be payable semi-annually in arrears on June 1 and December 1, commencing June 1, 2007, and at maturity.</w:t>
      </w:r>
    </w:p>
    <w:p>
      <w:pPr>
        <w:spacing w:after="0" w:line="172" w:lineRule="exact"/>
        <w:rPr>
          <w:sz w:val="20"/>
          <w:szCs w:val="20"/>
          <w:color w:val="auto"/>
        </w:rPr>
      </w:pPr>
    </w:p>
    <w:p>
      <w:pPr>
        <w:sectPr>
          <w:pgSz w:w="11900" w:h="16838" w:orient="portrait"/>
          <w:cols w:equalWidth="0" w:num="2">
            <w:col w:w="3400" w:space="720"/>
            <w:col w:w="7300"/>
          </w:cols>
          <w:pgMar w:left="240" w:top="455"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Ranking</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Times New Roman" w:cs="Times New Roman" w:eastAsia="Times New Roman" w:hAnsi="Times New Roman"/>
          <w:sz w:val="16"/>
          <w:szCs w:val="16"/>
          <w:color w:val="auto"/>
        </w:rPr>
        <w:t xml:space="preserve">The notes will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or equally, with all of our other unsecured and unsubordinated indebtedness, and the notes will be effectively subordinated to the prior claims of each secured mortgage lender to any specific property that secures such lender’s mortgage and to all of the unsecured indebtedness of our subsidiaries. After giving effect to this offering and to the use of proceeds from this offering, we will have outstanding approximately $286 million (excluding unamortized premium) of secured indebtedness collateralized by all or parts of 15 properties, approximately $78 million of indebtedness issued by our subsidiaries (which will be senior to the notes) and approximately $1,093 million of other unsecured indebtedness ranking equally with the notes.</w:t>
      </w:r>
    </w:p>
    <w:p>
      <w:pPr>
        <w:spacing w:after="0" w:line="200" w:lineRule="exact"/>
        <w:rPr>
          <w:sz w:val="20"/>
          <w:szCs w:val="20"/>
          <w:color w:val="auto"/>
        </w:rPr>
      </w:pPr>
    </w:p>
    <w:p>
      <w:pPr>
        <w:sectPr>
          <w:pgSz w:w="11900" w:h="16838" w:orient="portrait"/>
          <w:cols w:equalWidth="0" w:num="2">
            <w:col w:w="3400" w:space="720"/>
            <w:col w:w="7300"/>
          </w:cols>
          <w:pgMar w:left="240" w:top="455" w:right="23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net proceeds from this offering are estimated to be $134.0 million after deducting the underwriting discount and other estimated expenses of this offering. We expect to use these net proceeds for general corporate purposes, including repaying amounts outstanding under our revolving credit facility. See “Use of Proceeds” on page S-7 for more information.</w:t>
      </w:r>
    </w:p>
    <w:p>
      <w:pPr>
        <w:spacing w:after="0" w:line="190" w:lineRule="exact"/>
        <w:rPr>
          <w:sz w:val="20"/>
          <w:szCs w:val="20"/>
          <w:color w:val="auto"/>
        </w:rPr>
      </w:pPr>
    </w:p>
    <w:p>
      <w:pPr>
        <w:sectPr>
          <w:pgSz w:w="11900" w:h="16838" w:orient="portrait"/>
          <w:cols w:equalWidth="0" w:num="2">
            <w:col w:w="3400" w:space="720"/>
            <w:col w:w="730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Limitations on Incurrence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notes contain various covenants, including the following:</w:t>
      </w:r>
    </w:p>
    <w:p>
      <w:pPr>
        <w:spacing w:after="0" w:line="200" w:lineRule="exact"/>
        <w:rPr>
          <w:sz w:val="20"/>
          <w:szCs w:val="20"/>
          <w:color w:val="auto"/>
        </w:rPr>
      </w:pPr>
    </w:p>
    <w:p>
      <w:pPr>
        <w:sectPr>
          <w:pgSz w:w="11900" w:h="16838" w:orient="portrait"/>
          <w:cols w:equalWidth="0" w:num="2">
            <w:col w:w="3400" w:space="720"/>
            <w:col w:w="7300"/>
          </w:cols>
          <w:pgMar w:left="240" w:top="455" w:right="239" w:bottom="1440" w:gutter="0" w:footer="0" w:header="0"/>
          <w:type w:val="continuous"/>
        </w:sectPr>
      </w:pPr>
    </w:p>
    <w:p>
      <w:pPr>
        <w:spacing w:after="0" w:line="48" w:lineRule="exact"/>
        <w:rPr>
          <w:sz w:val="20"/>
          <w:szCs w:val="20"/>
          <w:color w:val="auto"/>
        </w:rPr>
      </w:pPr>
    </w:p>
    <w:p>
      <w:pPr>
        <w:ind w:left="4120" w:right="60"/>
        <w:spacing w:after="0" w:line="288" w:lineRule="auto"/>
        <w:rPr>
          <w:sz w:val="20"/>
          <w:szCs w:val="20"/>
          <w:color w:val="auto"/>
        </w:rPr>
      </w:pPr>
      <w:r>
        <w:rPr>
          <w:rFonts w:ascii="Times New Roman" w:cs="Times New Roman" w:eastAsia="Times New Roman" w:hAnsi="Times New Roman"/>
          <w:sz w:val="16"/>
          <w:szCs w:val="16"/>
          <w:color w:val="auto"/>
        </w:rPr>
        <w:t>(1) we will not, and will not permit any subsidiary to, incur any Debt if, immediately after 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Wachovia Bank National Association, as successor to First Union National Bank, Trustee) prior to the incurrence of such additional Debt and (b) the purchase price of any real estate assets or mortgages receivable acquired, and the amount of any securities offering proceeds received (to the extent such proceeds were not used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455"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4120"/>
        <w:spacing w:after="0" w:line="262" w:lineRule="auto"/>
        <w:rPr>
          <w:sz w:val="20"/>
          <w:szCs w:val="20"/>
          <w:color w:val="auto"/>
        </w:rPr>
      </w:pPr>
      <w:r>
        <w:rPr>
          <w:rFonts w:ascii="Times New Roman" w:cs="Times New Roman" w:eastAsia="Times New Roman" w:hAnsi="Times New Roman"/>
          <w:sz w:val="18"/>
          <w:szCs w:val="18"/>
          <w:color w:val="auto"/>
        </w:rPr>
        <w:t>acquire real estate assets or mortgages receivable or used to reduce Debt), by us or any subsidiary since the end of such calendar quarter, including those proceeds obtained in connection with the incurrence of such additional Debt;</w:t>
      </w:r>
    </w:p>
    <w:p>
      <w:pPr>
        <w:spacing w:after="0" w:line="186" w:lineRule="exact"/>
        <w:rPr>
          <w:sz w:val="20"/>
          <w:szCs w:val="20"/>
          <w:color w:val="auto"/>
        </w:rPr>
      </w:pPr>
    </w:p>
    <w:p>
      <w:pPr>
        <w:ind w:left="4360" w:hanging="250"/>
        <w:spacing w:after="0"/>
        <w:tabs>
          <w:tab w:leader="none" w:pos="4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and will not permit any subsidiary to, incur any Debt secured by any mortgage, lien,</w:t>
      </w:r>
    </w:p>
    <w:p>
      <w:pPr>
        <w:spacing w:after="0" w:line="21" w:lineRule="exact"/>
        <w:rPr>
          <w:rFonts w:ascii="Times New Roman" w:cs="Times New Roman" w:eastAsia="Times New Roman" w:hAnsi="Times New Roman"/>
          <w:sz w:val="18"/>
          <w:szCs w:val="18"/>
          <w:color w:val="auto"/>
        </w:rPr>
      </w:pPr>
    </w:p>
    <w:p>
      <w:pPr>
        <w:ind w:left="4120" w:right="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w:t>
      </w:r>
    </w:p>
    <w:p>
      <w:pPr>
        <w:spacing w:after="0" w:line="3" w:lineRule="exact"/>
        <w:rPr>
          <w:rFonts w:ascii="Times New Roman" w:cs="Times New Roman" w:eastAsia="Times New Roman" w:hAnsi="Times New Roman"/>
          <w:sz w:val="18"/>
          <w:szCs w:val="18"/>
          <w:color w:val="auto"/>
        </w:rPr>
      </w:pPr>
    </w:p>
    <w:p>
      <w:pPr>
        <w:ind w:left="4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provided that for purposes of this limitation, the amount of obligations under capital leases shown as a liability on our consolidated balance sheet shall be deducted from Debt and from Total Assets;</w:t>
      </w:r>
    </w:p>
    <w:p>
      <w:pPr>
        <w:spacing w:after="0" w:line="199" w:lineRule="exact"/>
        <w:rPr>
          <w:rFonts w:ascii="Times New Roman" w:cs="Times New Roman" w:eastAsia="Times New Roman" w:hAnsi="Times New Roman"/>
          <w:sz w:val="18"/>
          <w:szCs w:val="18"/>
          <w:color w:val="auto"/>
        </w:rPr>
      </w:pPr>
    </w:p>
    <w:p>
      <w:pPr>
        <w:ind w:left="4120" w:hanging="10"/>
        <w:spacing w:after="0" w:line="284" w:lineRule="auto"/>
        <w:tabs>
          <w:tab w:leader="none" w:pos="436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w:t>
      </w:r>
    </w:p>
    <w:p>
      <w:pPr>
        <w:ind w:left="4120" w:right="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120" w:right="40"/>
        <w:spacing w:after="0" w:line="255" w:lineRule="auto"/>
        <w:rPr>
          <w:sz w:val="20"/>
          <w:szCs w:val="20"/>
          <w:color w:val="auto"/>
        </w:rPr>
      </w:pPr>
      <w:r>
        <w:rPr>
          <w:rFonts w:ascii="Times New Roman" w:cs="Times New Roman" w:eastAsia="Times New Roman" w:hAnsi="Times New Roman"/>
          <w:sz w:val="18"/>
          <w:szCs w:val="18"/>
          <w:color w:val="auto"/>
        </w:rPr>
        <w:t>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193" w:lineRule="exact"/>
        <w:rPr>
          <w:sz w:val="20"/>
          <w:szCs w:val="20"/>
          <w:color w:val="auto"/>
        </w:rPr>
      </w:pPr>
    </w:p>
    <w:p>
      <w:pPr>
        <w:ind w:left="4120" w:right="40"/>
        <w:spacing w:after="0" w:line="262" w:lineRule="auto"/>
        <w:rPr>
          <w:sz w:val="20"/>
          <w:szCs w:val="20"/>
          <w:color w:val="auto"/>
        </w:rPr>
      </w:pPr>
      <w:r>
        <w:rPr>
          <w:rFonts w:ascii="Times New Roman" w:cs="Times New Roman" w:eastAsia="Times New Roman" w:hAnsi="Times New Roman"/>
          <w:sz w:val="18"/>
          <w:szCs w:val="18"/>
          <w:color w:val="auto"/>
        </w:rPr>
        <w:t>(4) we, together with our subsidiaries, will maintain an Unencumbered Total Asset Value in an amount not less than 150% of the aggregate outstanding principal amount of all of our and our subsidiaries’ unsecured Debt.</w:t>
      </w:r>
    </w:p>
    <w:p>
      <w:pPr>
        <w:sectPr>
          <w:pgSz w:w="11900" w:h="16838" w:orient="portrait"/>
          <w:cols w:equalWidth="0" w:num="1">
            <w:col w:w="11360"/>
          </w:cols>
          <w:pgMar w:left="240" w:top="455" w:right="29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notes are redeemable at any time at our option, in whole or in part, at a redemption price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15 basis points (0.15%), plus, in each case, accrued interest thereon to the redemption date. A detailed description is in “Description of Notes — Optional Redemption.”</w:t>
      </w:r>
    </w:p>
    <w:p>
      <w:pPr>
        <w:spacing w:after="0" w:line="139" w:lineRule="exact"/>
        <w:rPr>
          <w:sz w:val="20"/>
          <w:szCs w:val="20"/>
          <w:color w:val="auto"/>
        </w:rPr>
      </w:pPr>
    </w:p>
    <w:p>
      <w:pPr>
        <w:sectPr>
          <w:pgSz w:w="11900" w:h="16838" w:orient="portrait"/>
          <w:cols w:equalWidth="0" w:num="2">
            <w:col w:w="3400" w:space="720"/>
            <w:col w:w="7240"/>
          </w:cols>
          <w:pgMar w:left="240" w:top="455" w:right="2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6"/>
          <w:szCs w:val="16"/>
          <w:color w:val="auto"/>
        </w:rPr>
        <w:t>S-4</w:t>
      </w:r>
    </w:p>
    <w:p>
      <w:pPr>
        <w:sectPr>
          <w:pgSz w:w="11900" w:h="16838" w:orient="portrait"/>
          <w:cols w:equalWidth="0" w:num="1">
            <w:col w:w="11360"/>
          </w:cols>
          <w:pgMar w:left="240" w:top="455" w:right="29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the notes involves a significant degree of risk. You should carefully consider the following risk factors, together with all of the other information included or incorporated by reference in this prospectus supplement, including the additional risk factors included in our Annual Report on Form 10-K filed with the SEC on March 3, 2006 and amended on March 10, 2006, before you decide to purchase the notes. The risks and uncertainties described below and in the referenced Form 10-K, as amended,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intercompany cash flows to satisfy our obligations under the notes.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are structurally subordinated to the claims of our subsidiaries’ creditors and the subsidiaries’ preferred equity holders.</w:t>
      </w:r>
    </w:p>
    <w:p>
      <w:pPr>
        <w:spacing w:after="0" w:line="92"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the subsidiaries, the holders of any indebtedness of that subsidiary will be entitled to obtain payment of that indebtedness from the assets of that subsidiary before the holders of any of our general unsecured obligations, including the notes. At September 30, 2006, after giving effect to this offering, and to the issuance of the notes and the application of the net proceeds of the offering, our subsidiaries had approximately $78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are unsecured and are effectively subordinated to our secured indebtedness.</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2006, after giving effect to this offering and the application of the net proceeds, we had approximately $286 million (excluding unamortized premium) of secured debt outstanding, all of which was effectively senior to the notes to the extent of the value of the securing assets.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active public trading market for the notes may not develop.</w:t>
      </w:r>
    </w:p>
    <w:p>
      <w:pPr>
        <w:spacing w:after="0" w:line="9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liquidity of any market for the notes will depend upon various factors, including:</w:t>
      </w:r>
    </w:p>
    <w:p>
      <w:pPr>
        <w:spacing w:after="0" w:line="90" w:lineRule="exact"/>
        <w:rPr>
          <w:sz w:val="20"/>
          <w:szCs w:val="20"/>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notes;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for the notes;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for debt securities;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prospects;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companies in our industry generally.</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net proceeds to us from the sale of the notes offered by this prospectus supplement are estimated to be $134.0 million after deducting the underwriting discount and other estimated expenses of this offering payable by us. We intend to use these net proceeds for general corporate purposes, including repaying amounts outstanding under our revolving credit facility. As of October 31, 2006, we had approximately $85.0 million of debt outstanding on our revolving credit facility bearing interest at a weighted average annual rate, before amortization of debt fees, of 5.844% for the three month period ended October 31, 2006. Our revolving credit facility matures in July, 2010, subject to a one-year extension at our option. The borrowings under this facility were used for general corporate purposes, including working capital, property acquisitions and redevelopments. Affiliates of Wachovia Capital Markets, LLC, Citigroup Global Markets Inc. and affiliates of certain other underwriters are lenders under our revolving credit facility and will receive a pro rata portion of any proceeds used to reduce amounts outstanding under the credit facility.</w:t>
      </w:r>
    </w:p>
    <w:p>
      <w:pPr>
        <w:spacing w:after="0" w:line="2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RATIOS OF EARNINGS TO FIXED CHARGES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historical ratios of earnings to fixed charges for the periods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For the Nine Months</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72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Ended September 30,</w:t>
            </w:r>
          </w:p>
        </w:tc>
        <w:tc>
          <w:tcPr>
            <w:tcW w:w="480" w:type="dxa"/>
            <w:vAlign w:val="bottom"/>
          </w:tcPr>
          <w:p>
            <w:pPr>
              <w:spacing w:after="0"/>
              <w:rPr>
                <w:sz w:val="14"/>
                <w:szCs w:val="14"/>
                <w:color w:val="auto"/>
              </w:rPr>
            </w:pPr>
          </w:p>
        </w:tc>
        <w:tc>
          <w:tcPr>
            <w:tcW w:w="2440" w:type="dxa"/>
            <w:vAlign w:val="bottom"/>
            <w:gridSpan w:val="10"/>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4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2003</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2002</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2001</w:t>
            </w:r>
          </w:p>
        </w:tc>
        <w:tc>
          <w:tcPr>
            <w:tcW w:w="20" w:type="dxa"/>
            <w:vAlign w:val="bottom"/>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1.9x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1.8x</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1.8x</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1.7x</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1.6x</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1.2x</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1.4x</w:t>
            </w:r>
          </w:p>
        </w:tc>
        <w:tc>
          <w:tcPr>
            <w:tcW w:w="20" w:type="dxa"/>
            <w:vAlign w:val="bottom"/>
          </w:tcPr>
          <w:p>
            <w:pPr>
              <w:spacing w:after="0"/>
              <w:rPr>
                <w:sz w:val="18"/>
                <w:szCs w:val="18"/>
                <w:color w:val="auto"/>
              </w:rPr>
            </w:pPr>
          </w:p>
        </w:tc>
      </w:tr>
    </w:tbl>
    <w:p>
      <w:pPr>
        <w:spacing w:after="0" w:line="148"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73"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are offering $135 million of our 5.40% notes maturing on December 1, 2013, which may be redeemed prior to that date in accordance with their terms.</w:t>
      </w:r>
    </w:p>
    <w:p>
      <w:pPr>
        <w:spacing w:after="0" w:line="1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will pay interest on the notes semi-annually in arrears on June 1 and December 1 of each year, commencing June 1, 2007, to the registered holders of the notes on the preceding May 15 and November 15.</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defeasance and covenant defeasance provisions of the senior indenture apply to the notes. The notes will not be entitled to the benefit of any sinking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15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senior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senior indenture consisting of notes or other unsecured evidences of indebtedness.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90" w:lineRule="exact"/>
        <w:rPr>
          <w:sz w:val="20"/>
          <w:szCs w:val="20"/>
          <w:color w:val="auto"/>
        </w:rPr>
      </w:pPr>
    </w:p>
    <w:p>
      <w:pPr>
        <w:ind w:right="120" w:firstLine="456"/>
        <w:spacing w:after="0" w:line="297" w:lineRule="auto"/>
        <w:rPr>
          <w:sz w:val="20"/>
          <w:szCs w:val="20"/>
          <w:color w:val="auto"/>
        </w:rPr>
      </w:pPr>
      <w:r>
        <w:rPr>
          <w:rFonts w:ascii="Times New Roman" w:cs="Times New Roman" w:eastAsia="Times New Roman" w:hAnsi="Times New Roman"/>
          <w:sz w:val="16"/>
          <w:szCs w:val="16"/>
          <w:color w:val="auto"/>
        </w:rPr>
        <w:t xml:space="preserve">The notes will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or equally, with all of our other unsecured and unsubordinated indebtedness, and the notes will be effectively subordinated to the prior claims of each secured mortgage lender to any specific property that secures such lender’s mortgage and to all of the unsecured indebtedness of our subsidiaries. After giving effect to this offering and to the use of proceeds from this offering, we will have outstanding approximately $286 million (excluding unamortized premium) of secured indebtedness collateralized by all or parts of 15 properties, approximately $78 million of indebtedness issued by our subsidiaries (which will be senior to the notes) and approximately $1,093 million of other unsecured indebtedness ranking equally with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15 basis points (0.15%), plus, in each case, accrued interest thereon to the redemption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w:t>
      </w:r>
    </w:p>
    <w:p>
      <w:pPr>
        <w:spacing w:after="0" w:line="88" w:lineRule="exact"/>
        <w:rPr>
          <w:sz w:val="20"/>
          <w:szCs w:val="20"/>
          <w:color w:val="auto"/>
        </w:rPr>
      </w:pPr>
    </w:p>
    <w:p>
      <w:pPr>
        <w:ind w:right="38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Treasury Rate</w:t>
      </w:r>
      <w:r>
        <w:rPr>
          <w:rFonts w:ascii="Times New Roman" w:cs="Times New Roman" w:eastAsia="Times New Roman" w:hAnsi="Times New Roman"/>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the Reference Treasury Dealer appointed by us.</w:t>
      </w:r>
    </w:p>
    <w:p>
      <w:pPr>
        <w:spacing w:after="0" w:line="171"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xml:space="preserve">” means (1) Citigroup Global Markets Inc. and other primary U.S. Government securities dealers in New York City selected by Wachovia Capital Markets, LLC, and their respective successors;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Citigroup Global Markets Inc. ceases to be a primary U.S. Government securities dealer (a “Primary Treasury Dealer”), we will substitute therefor another Primary Treasury Dealer; and (2) any other Primary Treasury Dealer selected by us.</w:t>
      </w:r>
    </w:p>
    <w:p>
      <w:pPr>
        <w:spacing w:after="0" w:line="133"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2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0" w:lineRule="exact"/>
        <w:rPr>
          <w:sz w:val="20"/>
          <w:szCs w:val="20"/>
          <w:color w:val="auto"/>
        </w:rPr>
      </w:pPr>
    </w:p>
    <w:p>
      <w:pPr>
        <w:ind w:right="2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Limitations on Incurrence of Debt</w:t>
      </w:r>
      <w:r>
        <w:rPr>
          <w:rFonts w:ascii="Times New Roman" w:cs="Times New Roman" w:eastAsia="Times New Roman" w:hAnsi="Times New Roman"/>
          <w:sz w:val="18"/>
          <w:szCs w:val="18"/>
          <w:color w:val="auto"/>
        </w:rPr>
        <w:t>. The notes will provide that we will not, and will not permit any subsidiary to, incur any Debt if, immediately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4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spacing w:after="0" w:line="301" w:lineRule="auto"/>
        <w:rPr>
          <w:sz w:val="20"/>
          <w:szCs w:val="20"/>
          <w:color w:val="auto"/>
        </w:rPr>
      </w:pPr>
      <w:r>
        <w:rPr>
          <w:rFonts w:ascii="Times New Roman" w:cs="Times New Roman" w:eastAsia="Times New Roman" w:hAnsi="Times New Roman"/>
          <w:sz w:val="16"/>
          <w:szCs w:val="16"/>
          <w:color w:val="auto"/>
        </w:rPr>
        <w:t xml:space="preserve">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03"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 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44" w:lineRule="exact"/>
        <w:rPr>
          <w:sz w:val="20"/>
          <w:szCs w:val="20"/>
          <w:color w:val="auto"/>
        </w:rPr>
      </w:pPr>
    </w:p>
    <w:p>
      <w:pPr>
        <w:ind w:right="4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Maintenance of Unencumbered Total Asset Value</w:t>
      </w:r>
      <w:r>
        <w:rPr>
          <w:rFonts w:ascii="Times New Roman" w:cs="Times New Roman" w:eastAsia="Times New Roman" w:hAnsi="Times New Roman"/>
          <w:sz w:val="16"/>
          <w:szCs w:val="16"/>
          <w:color w:val="auto"/>
        </w:rPr>
        <w:t>. The notes will provide that we, together with our subsidiaries, will at all times maintain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Unencumbered Total Asset Value in an amount not less than 150% of the aggregate outstanding principal amount of all our and our subsidiaries’ unsecured Debt.</w:t>
      </w:r>
    </w:p>
    <w:p>
      <w:pPr>
        <w:spacing w:after="0" w:line="70"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notes will provide that we will, and will cause each of our subsidiaries to, maintain insurance with financially sound and reputable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companies against such risks and in such amounts as is customarily maintained by persons engaged in similar businesses or as may be required by applicable law, and that we will from time to time deliver to the Agent (as defined in our Credit Agreement)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w:t>
      </w:r>
    </w:p>
    <w:p>
      <w:pPr>
        <w:spacing w:after="0" w:line="8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3"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Debt Service Charge</w:t>
      </w:r>
      <w:r>
        <w:rPr>
          <w:rFonts w:ascii="Times New Roman" w:cs="Times New Roman" w:eastAsia="Times New Roman" w:hAnsi="Times New Roman"/>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6"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Income Available for Debt Service</w:t>
      </w:r>
      <w:r>
        <w:rPr>
          <w:rFonts w:ascii="Times New Roman" w:cs="Times New Roman" w:eastAsia="Times New Roman" w:hAnsi="Times New Roman"/>
          <w:sz w:val="18"/>
          <w:szCs w:val="18"/>
          <w:color w:val="auto"/>
        </w:rPr>
        <w:t>” for any period means our and our subsidiaries’ Funds from Operations plus amounts which have been deducted for interest on our and our subsidiaries’ Debt.</w:t>
      </w:r>
    </w:p>
    <w:p>
      <w:pPr>
        <w:spacing w:after="0" w:line="11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45"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33"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Funds from Operations</w:t>
      </w:r>
      <w:r>
        <w:rPr>
          <w:rFonts w:ascii="Times New Roman" w:cs="Times New Roman" w:eastAsia="Times New Roman" w:hAnsi="Times New Roman"/>
          <w:sz w:val="18"/>
          <w:szCs w:val="18"/>
          <w:color w:val="auto"/>
        </w:rPr>
        <w:t>” for any period means income available to common shareholders before depreciation and amortization of real estate assets and before extraordinary items less gain on sale of real estate.</w:t>
      </w:r>
    </w:p>
    <w:p>
      <w:pPr>
        <w:spacing w:after="0" w:line="116" w:lineRule="exact"/>
        <w:rPr>
          <w:sz w:val="20"/>
          <w:szCs w:val="20"/>
          <w:color w:val="auto"/>
        </w:rPr>
      </w:pPr>
    </w:p>
    <w:p>
      <w:pPr>
        <w:ind w:right="70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as of any date means the sum of (1) our and all of our subsidiaries’ Undepreciated Real Estate Assets and (2) all of our other assets determined in accordance with generally accepted accounting principles (but excluding goodwill).</w:t>
      </w:r>
    </w:p>
    <w:p>
      <w:pPr>
        <w:spacing w:after="0" w:line="116"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Undepreciated Real Estate Assets</w:t>
      </w:r>
      <w:r>
        <w:rPr>
          <w:rFonts w:ascii="Times New Roman" w:cs="Times New Roman" w:eastAsia="Times New Roman" w:hAnsi="Times New Roman"/>
          <w:sz w:val="18"/>
          <w:szCs w:val="18"/>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16"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“Unencumbered Total Asset Value” </w:t>
      </w:r>
      <w:r>
        <w:rPr>
          <w:rFonts w:ascii="Times New Roman" w:cs="Times New Roman" w:eastAsia="Times New Roman" w:hAnsi="Times New Roman"/>
          <w:sz w:val="18"/>
          <w:szCs w:val="18"/>
          <w:color w:val="auto"/>
        </w:rPr>
        <w:t>as of any date means the sum of (a) those Undepreciated Real Estate Assets not encumbered by any mortgage,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5" w:lineRule="exact"/>
        <w:rPr>
          <w:sz w:val="20"/>
          <w:szCs w:val="20"/>
          <w:color w:val="auto"/>
        </w:rPr>
      </w:pPr>
    </w:p>
    <w:p>
      <w:pPr>
        <w:jc w:val="center"/>
        <w:ind w:left="280" w:right="420"/>
        <w:spacing w:after="0" w:line="447" w:lineRule="auto"/>
        <w:rPr>
          <w:sz w:val="20"/>
          <w:szCs w:val="20"/>
          <w:color w:val="auto"/>
        </w:rPr>
      </w:pPr>
      <w:r>
        <w:rPr>
          <w:rFonts w:ascii="Times New Roman" w:cs="Times New Roman" w:eastAsia="Times New Roman" w:hAnsi="Times New Roman"/>
          <w:sz w:val="18"/>
          <w:szCs w:val="18"/>
          <w:color w:val="auto"/>
        </w:rPr>
        <w:t>See “Description of Debt Securities — Certain Covenants” in the accompanying prospectus for a description of additional covenants applicable to us. S-11</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Form</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have established a depositary arrangement with The Depository Trust Company (the “Depositary”) with respect to the notes, the terms of which are summarized below. Upon issuance, each of the notes will be represented by a single Global Security (as defined in the senior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its nominee, as the case may be, will be the sole Holder (as defined in the senior indenture) of the notes for all purposes under the senior indenture. Except as otherwise provided in this section, the Beneficial Owners (as defined in the senior indenture) of the Global Security representing the notes will not be entitled to receive physical delivery of certificated notes and will not be considered the Holders thereof for any purpose under the senior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38"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senior indenture) under the senior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4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6"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maintain a custodial relationship with a Direct Participant, either directly or indirectly (“Indirect Participants”). The rules applicable to the Depositary and its Participants are on file with the SEC.</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3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32"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9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38"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20"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CERTAIN FEDERAL INCOME TAX CONSIDERATIONS</w:t>
      </w:r>
    </w:p>
    <w:p>
      <w:pPr>
        <w:spacing w:after="0" w:line="173" w:lineRule="exact"/>
        <w:rPr>
          <w:sz w:val="20"/>
          <w:szCs w:val="20"/>
          <w:color w:val="auto"/>
        </w:rPr>
      </w:pPr>
    </w:p>
    <w:p>
      <w:pPr>
        <w:ind w:firstLine="456"/>
        <w:spacing w:after="0" w:line="283" w:lineRule="auto"/>
        <w:rPr>
          <w:sz w:val="20"/>
          <w:szCs w:val="20"/>
          <w:color w:val="auto"/>
        </w:rPr>
      </w:pPr>
      <w:r>
        <w:rPr>
          <w:rFonts w:ascii="Times New Roman" w:cs="Times New Roman" w:eastAsia="Times New Roman" w:hAnsi="Times New Roman"/>
          <w:sz w:val="16"/>
          <w:szCs w:val="16"/>
          <w:color w:val="auto"/>
        </w:rPr>
        <w:t>Subject to the preliminary considerations set forth in the prospectus, the following is a general discussion of the material U.S. federal income tax considerations applicable to initial holders of the notes. This discussion is based on the Internal Revenue Code of 1986, as amended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does not address all the tax consequences that may be relevant to a particular holder or to holders subject to special treatment under the Code, such as financial institutions, broker dealers, insurance companies, former U.S. citizens or long-term residents, tax-exempt organizations, persons that are, or that hold their notes through, partnerships or other pass-through entities, U.S. Holders (as defined below) whose functional currency is not the U.S. dollar, or persons that hold notes as part of a straddle, hedge, conversion, synthetic security or constructive sale transaction for U.S. federal income tax purposes. Except as specifically provided below with respect to Non-U.S. Holders (as defined below), the discussion is limited to holders of notes that are U.S. Holders and that hold their notes as capital assets within the meaning of the Code.</w:t>
      </w:r>
    </w:p>
    <w:p>
      <w:pPr>
        <w:spacing w:after="0" w:line="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b w:val="1"/>
          <w:bCs w:val="1"/>
          <w:color w:val="auto"/>
        </w:rPr>
        <w:t>Holders are encouraged to consult their own tax advisors as to the particular U.S. federal income tax consequences to them of acquiring, owning and disposing of the notes, as well as the effects of state, local and non-U.S. tax laws.</w:t>
      </w:r>
    </w:p>
    <w:p>
      <w:pPr>
        <w:spacing w:after="0" w:line="13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 note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 (A) a court in the United States is able to exercise primary supervision over the administration of the trust and one or more U.S. persons have the authority to control all substantial decisions of the trust, or (B) it has a valid election in place to be treated as a United States person. A “Non-U.S. Holder” means a beneficial owner of a note that is not a U.S. Holder or an entity or arrangement treated as a partnership for U.S. federal income tax purposes.</w:t>
      </w:r>
    </w:p>
    <w:p>
      <w:pPr>
        <w:spacing w:after="0" w:line="14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 of partnerships are encouraged to consult their tax advisors as to the particular U.S. federal income tax consequences applicable to them.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88"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on the Notes. </w:t>
      </w:r>
      <w:r>
        <w:rPr>
          <w:rFonts w:ascii="Times New Roman" w:cs="Times New Roman" w:eastAsia="Times New Roman" w:hAnsi="Times New Roman"/>
          <w:sz w:val="18"/>
          <w:szCs w:val="18"/>
          <w:color w:val="auto"/>
        </w:rPr>
        <w:t>A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generally will be required to include interest earned on the notes as ordinary income when received or accrued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the U.S. Holder’s regular method of tax accounting. In general, if the terms of a debt instrument entitle a holder to receive payments other than certain fixed periodic interest that exceed the issue price of the instrument, the holder may be required to recognize additional interest as “original issue discount” over the term of the instrument. The notes are not expected to be issued with original issue discount for U.S. federal income tax purposes.</w:t>
      </w:r>
    </w:p>
    <w:p>
      <w:pPr>
        <w:spacing w:after="0" w:line="129"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of the Notes. </w:t>
      </w:r>
      <w:r>
        <w:rPr>
          <w:rFonts w:ascii="Times New Roman" w:cs="Times New Roman" w:eastAsia="Times New Roman" w:hAnsi="Times New Roman"/>
          <w:sz w:val="18"/>
          <w:szCs w:val="18"/>
          <w:color w:val="auto"/>
        </w:rPr>
        <w:t>Upon the sale, exchange, redemption or other taxable disposition of a note, a U.S. Holder will generally recognize capital gain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equal to the difference (if any) between the amount realized (other than amounts attributable to accrued but unpaid stated interest, which will be taxable as ordinary income) and such U.S. Holder’s tax basis in the note. The U.S. Holder’s tax basis in a note generally will be the purchase price for the note. Such gain or loss shall be treated as long-term capital gain or loss if the note was held for more than one year. Subject to limited exceptions, capital losses cannot be used to offset a U.S. Holder’s ordinary income.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rules governing the United States federal income taxation of Non-U.S. Holders are complex and no attempt will be made herein to provide more than a summary of such rules. Prospective Non-U.S. Holders are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encouraged to consult with their own tax advisors to determine the impact of federal, state, local and non-U.S. tax laws with regard to the notes.</w:t>
      </w:r>
    </w:p>
    <w:p>
      <w:pPr>
        <w:spacing w:after="0" w:line="167" w:lineRule="exact"/>
        <w:rPr>
          <w:sz w:val="20"/>
          <w:szCs w:val="20"/>
          <w:color w:val="auto"/>
        </w:rPr>
      </w:pPr>
    </w:p>
    <w:p>
      <w:pPr>
        <w:ind w:right="2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on the Notes. </w:t>
      </w:r>
      <w:r>
        <w:rPr>
          <w:rFonts w:ascii="Times New Roman" w:cs="Times New Roman" w:eastAsia="Times New Roman" w:hAnsi="Times New Roman"/>
          <w:sz w:val="18"/>
          <w:szCs w:val="18"/>
          <w:color w:val="auto"/>
        </w:rPr>
        <w:t>Subject to the discussion on backup withholding below, a Non-U.S. Holder generally will not be subject to U.S. federal income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withholding tax on payments of interest on a note, provided that:</w:t>
      </w:r>
    </w:p>
    <w:p>
      <w:pPr>
        <w:spacing w:after="0" w:line="34" w:lineRule="exact"/>
        <w:rPr>
          <w:sz w:val="20"/>
          <w:szCs w:val="20"/>
          <w:color w:val="auto"/>
        </w:rPr>
      </w:pPr>
    </w:p>
    <w:p>
      <w:pPr>
        <w:ind w:left="780" w:right="20" w:hanging="326"/>
        <w:spacing w:after="0" w:line="334" w:lineRule="auto"/>
        <w:tabs>
          <w:tab w:leader="none" w:pos="7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1"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interest payments are not effectively connected with the conduct by the Non-U.S. Holder of a trade or business within the United States; and</w:t>
      </w:r>
    </w:p>
    <w:p>
      <w:pPr>
        <w:spacing w:after="0" w:line="90"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is effectively connected with the conduct of a U.S. trade or business,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applicable income tax treaty provides for a lower rate of, or exemption from, withholding tax.</w:t>
      </w:r>
    </w:p>
    <w:p>
      <w:pPr>
        <w:spacing w:after="0" w:line="171"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IRS Form W-8ECI. To claim the benefit of an income tax treaty, the Non-U.S. Holder must timely provide the appropriate, properly executed IRS forms.</w:t>
      </w:r>
    </w:p>
    <w:p>
      <w:pPr>
        <w:spacing w:after="0" w:line="109"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of the Notes. </w:t>
      </w:r>
      <w:r>
        <w:rPr>
          <w:rFonts w:ascii="Times New Roman" w:cs="Times New Roman" w:eastAsia="Times New Roman" w:hAnsi="Times New Roman"/>
          <w:sz w:val="18"/>
          <w:szCs w:val="18"/>
          <w:color w:val="auto"/>
        </w:rPr>
        <w:t>Subject to the discussion on backup withholding below, a Non-U.S. Holder generally will not be subject to U.S. federal income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withholding tax on gain from the sale, exchange, redemption or other taxable disposition of a note unless:</w:t>
      </w:r>
    </w:p>
    <w:p>
      <w:pPr>
        <w:spacing w:after="0" w:line="34" w:lineRule="exact"/>
        <w:rPr>
          <w:sz w:val="20"/>
          <w:szCs w:val="20"/>
          <w:color w:val="auto"/>
        </w:rPr>
      </w:pPr>
    </w:p>
    <w:p>
      <w:pPr>
        <w:ind w:left="780" w:right="44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38" w:lineRule="exact"/>
        <w:rPr>
          <w:rFonts w:ascii="Times New Roman" w:cs="Times New Roman" w:eastAsia="Times New Roman" w:hAnsi="Times New Roman"/>
          <w:sz w:val="18"/>
          <w:szCs w:val="18"/>
          <w:color w:val="auto"/>
        </w:rPr>
      </w:pPr>
    </w:p>
    <w:p>
      <w:pPr>
        <w:ind w:left="780" w:right="34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in the taxable year of disposition and meets certain other requirements.</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under an applicable tax treaty) 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by which capital gains from U.S. sources (including gains from the sale or other disposition of the notes) exceed capital losses allocable to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To claim the benefit of an income tax treaty, the Non-U.S. Holder must timely provide the appropriate, properly executed IRS forms.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92"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may apply. Any amount withheld from a payment to a U.S. Holder under the backup withholding rules generally is allowable as a credit against the U.S. Holder’s U.S. federal income tax liability, provided that the required information is timely furnished to the IRS.</w:t>
      </w:r>
    </w:p>
    <w:p>
      <w:pPr>
        <w:spacing w:after="0" w:line="14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Payments to a Non-U.S. Holder of the principal of, interest on and any premium with respect to, or the proceeds of a sale or other disposition of, a note generally will not be subject to backup withholding or additional information reporting, provided that (i) the Non-U.S. Holder certifies under penalties of perjury on IRS Form W-8BEN that it is not a United States person and certain other conditions are satisfied, or (ii) the Non-U.S. Holder otherwise establishes an exemption; provided that, in either case, neither we nor any withholding agent knows or has reason to know that the holder is a United States person or that the conditions of any other exemptions are in fact not satisfied. Any amounts so withheld may be refunded or credited against the Non-U.S. Holder’s U.S. federal income tax liability, if any, provided that the required information is timely furnished to the IRS.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320"/>
          </w:cols>
          <w:pgMar w:left="24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3"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Wachovia Capital Markets, LLC and Citigroup Global Markets Inc. are acting as joint book-running managers of the offering and as representatives of the underwriters named below.</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and a related pricing agreement, each dated the date of this prospectus supplement, each underwriter named below has agreed to purchase, and we have agreed to sell to that underwriter, the principal amount of the notes set forth opposite the underwriter’s name.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9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4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59"/>
        </w:trPr>
        <w:tc>
          <w:tcPr>
            <w:tcW w:w="98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Wachovia Capital Markets, LLC</w:t>
            </w:r>
          </w:p>
        </w:tc>
        <w:tc>
          <w:tcPr>
            <w:tcW w:w="4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$ 47,250,000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Bear, Stearns &amp; Co. Inc.</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Banc of America Securities LLC</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Commerzbank Capital Markets Corp.</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Inc.</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Jaffray &amp; Co.</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SunTrust Capital Markets, Inc.</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135,000,000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must purchase all of the notes if they purchase any of the notes.</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some of the notes directly to the public at the public offering price appearing on the cover page of this prospectus supplement and some of the notes to certain dealers at the public offering price less a concession not to exceed 0.375% of the principal amount of the notes. The underwriters may allow, and dealers may reallow, a concession not to exceed 0.250% of the principal amount of the notes on sales to other dealers. After the initial offering, the public offering price and concessions to dealers may be changed.</w:t>
      </w:r>
    </w:p>
    <w:p>
      <w:pPr>
        <w:spacing w:after="0" w:line="13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 (expressed as a percentage of the principal amount of the notes).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916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Paid by Federal Realty</w:t>
            </w:r>
          </w:p>
        </w:tc>
      </w:tr>
      <w:tr>
        <w:trPr>
          <w:trHeight w:val="21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20" w:type="dxa"/>
            <w:vAlign w:val="bottom"/>
          </w:tcPr>
          <w:p>
            <w:pPr>
              <w:spacing w:after="0"/>
              <w:rPr>
                <w:sz w:val="18"/>
                <w:szCs w:val="18"/>
                <w:color w:val="auto"/>
              </w:rPr>
            </w:pPr>
          </w:p>
        </w:tc>
      </w:tr>
    </w:tbl>
    <w:p>
      <w:pPr>
        <w:spacing w:after="0" w:line="14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offering, Wachovia Capital Markets, LLC and Citigroup Global Markets Inc.,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39"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The underwriters also may impose penalty bids. Penalty bids permit the underwriters to reclaim a selling concession from a syndicate member when Wachovia Capital Markets, LLC and Citigroup Global Markets Inc., in covering syndicate short positions or making stabilizing purchases, repurchase notes originally sold by that syndicate member.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that our total expenses for this offering (excluding the underwriting discount) will be $150,000.</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next to last paragraph of the cover page of this prospectus supplement.</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Certain of the underwriters and their affiliates have engaged in, and may in the future engage in, investment banking and other commercial dealings with us from time to time in the ordinary course of their business. In particular, affiliates of Wachovia Capital Markets, LLC, Citigroup Global Markets Inc. and affiliates of certain other underwriters are lenders under our existing revolving credit facility, and affiliates of Wachovia Capital Markets, LLC are the administrative agent, the syndication agent and the co-documentation agent, respectively, under such facility. In addition, an affiliate of Wachovia Capital Markets, LLC is the lender under a bridge facility we used recently to finance the acquisition of three properties in New England.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one or more of the underwriters.</w:t>
      </w:r>
    </w:p>
    <w:p>
      <w:pPr>
        <w:spacing w:after="0" w:line="17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consolidated balance sheets as of December 31, 2005 and 2004 and the consolidated statements of operations, common shareholders’ equity and cash flows for the three years ended December 31, 2005, 2004 and 2003 appearing in our Annual Report on Form 10-K, as amended, for the fiscal year ended December 31, 2005 and incorporated by reference into this prospectus supplement and elsewhere in the registration statement have been audited by Grant Thornton LLP, independent registered public accounting firm as indicated in their report with respect thereto, and are incorporated by reference herein and therein in reliance upon the authority of said firm as experts in giving said report.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The legality of the notes offered by this prospectus supplement will be passed upon for us by Pillsbury Winthrop Shaw Pittman LLP, Washington, DC. In addition, the description of federal income tax consequences contained in the accompanying prospectus under “Federal Income Tax Consequences” and in this prospectus supplement under “Certain Federal Income Tax Considerations” is, to the extent that it constitutes matters of law, summaries of legal matters or legal conclusions, based upon the opinion of Pillsbury Winthrop Shaw Pittman LLP. Sidley Austin LLP, New York, New York, will act as counsel to the underwriters.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Public Reference Section</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Any statement contained in this prospectus supplement, the accompanying prospectus or a document incorporated or deemed to be incorporated by reference in this prospectus supplement or the accompanying prospectus will be deemed to have been modified or superseded to the extent that a statement contained in this prospectus supplement, or in any subsequently filed document that also is or is deemed to be incorporated by reference in this prospectus supplement or the accompanying prospectus, modifies or supersedes that statement. Any statement so modified or superseded will not be deemed, except as so modified or superseded, to constitute a part of this prospectus supplement or the accompanying prospectus. We do not incorporate by reference into this prospectus supplement or the accompanying prospectus any documents or portions of documents that, in accordance with SEC rules, we “furnish” to the SEC, as opposed to those documents or portions of documents that we “file” with the SEC. As a result, the information that we furnish to the SEC is not and will not be a part of this prospectus supplement or the accompanying prospectus.</w:t>
      </w:r>
    </w:p>
    <w:p>
      <w:pPr>
        <w:spacing w:after="0" w:line="13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incorporate by reference the documents listed below as well as any future filings made with the SEC under Sections 13(a), 13(c), 14, or 15(d) of the Exchange Act (Exchange Act File No. 1-07533), from the date of this prospectus supplement until we terminate the offering hereunder.</w:t>
      </w:r>
    </w:p>
    <w:p>
      <w:pPr>
        <w:spacing w:after="0" w:line="39" w:lineRule="exact"/>
        <w:rPr>
          <w:sz w:val="20"/>
          <w:szCs w:val="20"/>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as amended, for the fiscal year ended December 31, 2005</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fiscal quarter ended March 31,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fiscal quarter ended June 30,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fiscal quarter ended September 30,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February 23,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February 28,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March 10,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July 13, 2006 (only with respect to Item 5.02 thereof)</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July 14,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July 31,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August 7, 2006</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340"/>
          </w:cols>
          <w:pgMar w:left="240" w:top="455" w:right="3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September 15,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September 27,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October 2, 2006</w:t>
      </w:r>
    </w:p>
    <w:p>
      <w:pPr>
        <w:spacing w:after="0" w:line="17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Andrew P. Blocher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(301) 998-8100 or (800) 658-8980</w:t>
      </w:r>
    </w:p>
    <w:p>
      <w:pPr>
        <w:spacing w:after="0" w:line="15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right="2460" w:firstLine="2064"/>
        <w:spacing w:after="0" w:line="392" w:lineRule="auto"/>
        <w:rPr>
          <w:sz w:val="20"/>
          <w:szCs w:val="20"/>
          <w:color w:val="auto"/>
        </w:rPr>
      </w:pPr>
      <w:r>
        <w:rPr>
          <w:rFonts w:ascii="Times New Roman" w:cs="Times New Roman" w:eastAsia="Times New Roman" w:hAnsi="Times New Roman"/>
          <w:sz w:val="18"/>
          <w:szCs w:val="18"/>
          <w:b w:val="1"/>
          <w:bCs w:val="1"/>
          <w:color w:val="auto"/>
        </w:rPr>
        <w:t xml:space="preserve">Debt Securities, Common Shares, Preferred Shares, Depositary Shares and Warrants </w:t>
      </w:r>
      <w:r>
        <w:rPr>
          <w:rFonts w:ascii="Times New Roman" w:cs="Times New Roman" w:eastAsia="Times New Roman" w:hAnsi="Times New Roman"/>
          <w:sz w:val="18"/>
          <w:szCs w:val="18"/>
          <w:color w:val="auto"/>
        </w:rPr>
        <w:t>We may from time to time offer, in one or more series, separately or together, the following:</w:t>
      </w:r>
    </w:p>
    <w:p>
      <w:pPr>
        <w:spacing w:after="0" w:line="1" w:lineRule="exact"/>
        <w:rPr>
          <w:sz w:val="20"/>
          <w:szCs w:val="20"/>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which may be either senior debt securities or subordinated debt securities;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of beneficial interest (and rights to acquire common shares that are attached to, or trade with, our common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 represented by depositary receipts;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Please read this prospectus and the applicable supplement carefully before you invest.</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102235</wp:posOffset>
            </wp:positionV>
            <wp:extent cx="15347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date of this prospectus is June 20, 2006.</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8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140" w:type="dxa"/>
            <w:vAlign w:val="bottom"/>
            <w:gridSpan w:val="11"/>
            <w:vMerge w:val="restart"/>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1140" w:type="dxa"/>
            <w:vAlign w:val="bottom"/>
            <w:gridSpan w:val="1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Description of Shares of Beneficial Interest</w:t>
              </w:r>
            </w:hyperlink>
          </w:p>
        </w:tc>
        <w:tc>
          <w:tcPr>
            <w:tcW w:w="80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53">
              <w:r>
                <w:rPr>
                  <w:rFonts w:ascii="Times New Roman" w:cs="Times New Roman" w:eastAsia="Times New Roman" w:hAnsi="Times New Roman"/>
                  <w:sz w:val="18"/>
                  <w:szCs w:val="18"/>
                  <w:color w:val="0000EE"/>
                  <w:w w:val="96"/>
                </w:rPr>
                <w:t>Federal Income Tax Consequences</w:t>
              </w:r>
            </w:hyperlink>
          </w:p>
        </w:tc>
        <w:tc>
          <w:tcPr>
            <w:tcW w:w="86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3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7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Federal Realty Investment Trust is an equity real estate investment trust specializing in the ownership, management, development and redevelopment of high-quality retail and mixed-use properties. As of March 31,</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2006, we owned or had a majority interest in 104 community and neighborhood shopping centers and mixed-use properties comprising approximately</w:t>
      </w:r>
    </w:p>
    <w:p>
      <w:pPr>
        <w:spacing w:after="0" w:line="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17.6 million square feet, located primarily in densely populated and affluent communities throughout the Northeast and Mid-Atlantic United States, as well as in California, and one apartment complex in Maryland.</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in our website is not a part of this prospectus.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for one or more of the following:</w:t>
      </w:r>
    </w:p>
    <w:p>
      <w:pPr>
        <w:spacing w:after="0" w:line="39" w:lineRule="exact"/>
        <w:rPr>
          <w:sz w:val="20"/>
          <w:szCs w:val="20"/>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properties;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redevelopment of existing properties;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3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RATIO OF EARNINGS TO COMBINED FIXED CHARGES AND PREFERRED STOCK DIVIDENDS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historical ratio of earnings to fixed charges and preferred stock dividends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For the Three Months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For the Years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2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2005</w:t>
            </w:r>
          </w:p>
        </w:tc>
        <w:tc>
          <w:tcPr>
            <w:tcW w:w="5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5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minority interests plus distributed income of equity investees and fixed charges (excluding capitalized interest) less minority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90" w:lineRule="exact"/>
        <w:rPr>
          <w:sz w:val="20"/>
          <w:szCs w:val="20"/>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9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39"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10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47" w:lineRule="exact"/>
        <w:rPr>
          <w:sz w:val="20"/>
          <w:szCs w:val="20"/>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series of debt securities offered.</w:t>
      </w:r>
    </w:p>
    <w:p>
      <w:pPr>
        <w:spacing w:after="0" w:line="90" w:lineRule="exact"/>
        <w:rPr>
          <w:rFonts w:ascii="Times New Roman" w:cs="Times New Roman" w:eastAsia="Times New Roman" w:hAnsi="Times New Roman"/>
          <w:sz w:val="18"/>
          <w:szCs w:val="18"/>
          <w:color w:val="auto"/>
        </w:rPr>
      </w:pPr>
    </w:p>
    <w:p>
      <w:pPr>
        <w:ind w:left="780" w:right="20" w:hanging="326"/>
        <w:spacing w:after="0" w:line="28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 determining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or dates.</w:t>
      </w:r>
    </w:p>
    <w:p>
      <w:pPr>
        <w:spacing w:after="0" w:line="30" w:lineRule="exact"/>
        <w:rPr>
          <w:rFonts w:ascii="Times New Roman" w:cs="Times New Roman" w:eastAsia="Times New Roman" w:hAnsi="Times New Roman"/>
          <w:sz w:val="18"/>
          <w:szCs w:val="18"/>
          <w:color w:val="auto"/>
        </w:rPr>
      </w:pPr>
    </w:p>
    <w:p>
      <w:pPr>
        <w:ind w:left="780" w:right="680" w:hanging="326"/>
        <w:spacing w:after="0" w:line="28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such rate or rates.</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90" w:lineRule="exact"/>
        <w:rPr>
          <w:rFonts w:ascii="Times New Roman" w:cs="Times New Roman" w:eastAsia="Times New Roman" w:hAnsi="Times New Roman"/>
          <w:sz w:val="18"/>
          <w:szCs w:val="18"/>
          <w:color w:val="auto"/>
        </w:rPr>
      </w:pPr>
    </w:p>
    <w:p>
      <w:pPr>
        <w:ind w:left="780" w:right="340" w:hanging="326"/>
        <w:spacing w:after="0" w:line="28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w:t>
      </w:r>
    </w:p>
    <w:p>
      <w:pPr>
        <w:spacing w:after="0" w:line="30" w:lineRule="exact"/>
        <w:rPr>
          <w:rFonts w:ascii="Times New Roman" w:cs="Times New Roman" w:eastAsia="Times New Roman" w:hAnsi="Times New Roman"/>
          <w:sz w:val="18"/>
          <w:szCs w:val="18"/>
          <w:color w:val="auto"/>
        </w:rPr>
      </w:pPr>
    </w:p>
    <w:p>
      <w:pPr>
        <w:ind w:left="780" w:right="160" w:hanging="326"/>
        <w:spacing w:after="0" w:line="28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debt securities may be surrendered for registration of transfer or exchange.</w:t>
      </w:r>
    </w:p>
    <w:p>
      <w:pPr>
        <w:spacing w:after="0" w:line="30" w:lineRule="exact"/>
        <w:rPr>
          <w:rFonts w:ascii="Times New Roman" w:cs="Times New Roman" w:eastAsia="Times New Roman" w:hAnsi="Times New Roman"/>
          <w:sz w:val="18"/>
          <w:szCs w:val="18"/>
          <w:color w:val="auto"/>
        </w:rPr>
      </w:pPr>
    </w:p>
    <w:p>
      <w:pPr>
        <w:ind w:left="780" w:right="100" w:hanging="326"/>
        <w:spacing w:after="0" w:line="26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 dollars),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and the other terms and conditions upon which, the offered debt securities may be redeemed, in whole or in part, at our option, if we have that option.</w:t>
      </w:r>
    </w:p>
    <w:p>
      <w:pPr>
        <w:spacing w:after="0" w:line="43" w:lineRule="exact"/>
        <w:rPr>
          <w:rFonts w:ascii="Times New Roman" w:cs="Times New Roman" w:eastAsia="Times New Roman" w:hAnsi="Times New Roman"/>
          <w:sz w:val="18"/>
          <w:szCs w:val="18"/>
          <w:color w:val="auto"/>
        </w:rPr>
      </w:pPr>
    </w:p>
    <w:p>
      <w:pPr>
        <w:ind w:left="780" w:right="100" w:hanging="326"/>
        <w:spacing w:after="0" w:line="26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4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90" w:lineRule="exact"/>
        <w:rPr>
          <w:rFonts w:ascii="Times New Roman" w:cs="Times New Roman" w:eastAsia="Times New Roman" w:hAnsi="Times New Roman"/>
          <w:sz w:val="18"/>
          <w:szCs w:val="18"/>
          <w:color w:val="auto"/>
        </w:rPr>
      </w:pPr>
    </w:p>
    <w:p>
      <w:pPr>
        <w:ind w:left="780" w:right="160" w:hanging="326"/>
        <w:spacing w:after="0" w:line="26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48" w:lineRule="exact"/>
        <w:rPr>
          <w:rFonts w:ascii="Times New Roman" w:cs="Times New Roman" w:eastAsia="Times New Roman" w:hAnsi="Times New Roman"/>
          <w:sz w:val="18"/>
          <w:szCs w:val="18"/>
          <w:color w:val="auto"/>
        </w:rPr>
      </w:pPr>
    </w:p>
    <w:p>
      <w:pPr>
        <w:ind w:left="780" w:right="120" w:hanging="326"/>
        <w:spacing w:after="0" w:line="28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 reference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index or pursuant to a formula or other method, the manner in which such amounts will be determined.</w:t>
      </w:r>
    </w:p>
    <w:p>
      <w:pPr>
        <w:spacing w:after="0" w:line="30" w:lineRule="exact"/>
        <w:rPr>
          <w:rFonts w:ascii="Times New Roman" w:cs="Times New Roman" w:eastAsia="Times New Roman" w:hAnsi="Times New Roman"/>
          <w:sz w:val="18"/>
          <w:szCs w:val="18"/>
          <w:color w:val="auto"/>
        </w:rPr>
      </w:pPr>
    </w:p>
    <w:p>
      <w:pPr>
        <w:ind w:left="780" w:right="60" w:hanging="326"/>
        <w:spacing w:after="0" w:line="28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 maturity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method by which such portion shall be determined.</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90" w:lineRule="exact"/>
        <w:rPr>
          <w:rFonts w:ascii="Times New Roman" w:cs="Times New Roman" w:eastAsia="Times New Roman" w:hAnsi="Times New Roman"/>
          <w:sz w:val="18"/>
          <w:szCs w:val="18"/>
          <w:color w:val="auto"/>
        </w:rPr>
      </w:pPr>
    </w:p>
    <w:p>
      <w:pPr>
        <w:ind w:left="780" w:right="280" w:hanging="326"/>
        <w:spacing w:after="0" w:line="28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 indenture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the offered debt securities.</w:t>
      </w:r>
    </w:p>
    <w:p>
      <w:pPr>
        <w:spacing w:after="0" w:line="30" w:lineRule="exact"/>
        <w:rPr>
          <w:rFonts w:ascii="Times New Roman" w:cs="Times New Roman" w:eastAsia="Times New Roman" w:hAnsi="Times New Roman"/>
          <w:sz w:val="18"/>
          <w:szCs w:val="18"/>
          <w:color w:val="auto"/>
        </w:rPr>
      </w:pPr>
    </w:p>
    <w:p>
      <w:pPr>
        <w:ind w:left="780" w:right="220" w:hanging="326"/>
        <w:spacing w:after="0" w:line="28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 held by non-U.S. persons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assessments or similar charges.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90" w:lineRule="exact"/>
        <w:rPr>
          <w:rFonts w:ascii="Times New Roman" w:cs="Times New Roman" w:eastAsia="Times New Roman" w:hAnsi="Times New Roman"/>
          <w:sz w:val="18"/>
          <w:szCs w:val="18"/>
          <w:color w:val="auto"/>
        </w:rPr>
      </w:pPr>
    </w:p>
    <w:p>
      <w:pPr>
        <w:ind w:left="780" w:right="460" w:hanging="326"/>
        <w:spacing w:after="0" w:line="28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are dated, if other than the original issuance date of the offered debt securities.</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series.</w:t>
      </w:r>
    </w:p>
    <w:p>
      <w:pPr>
        <w:spacing w:after="0" w:line="90" w:lineRule="exact"/>
        <w:rPr>
          <w:rFonts w:ascii="Times New Roman" w:cs="Times New Roman" w:eastAsia="Times New Roman" w:hAnsi="Times New Roman"/>
          <w:sz w:val="18"/>
          <w:szCs w:val="18"/>
          <w:color w:val="auto"/>
        </w:rPr>
      </w:pPr>
    </w:p>
    <w:p>
      <w:pPr>
        <w:ind w:left="780" w:right="180" w:hanging="326"/>
        <w:spacing w:after="0" w:line="28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90" w:lineRule="exact"/>
        <w:rPr>
          <w:rFonts w:ascii="Times New Roman" w:cs="Times New Roman" w:eastAsia="Times New Roman" w:hAnsi="Times New Roman"/>
          <w:sz w:val="18"/>
          <w:szCs w:val="18"/>
          <w:color w:val="auto"/>
        </w:rPr>
      </w:pPr>
    </w:p>
    <w:p>
      <w:pPr>
        <w:ind w:left="780" w:hanging="326"/>
        <w:spacing w:after="0" w:line="26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 permanent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48" w:lineRule="exact"/>
        <w:rPr>
          <w:rFonts w:ascii="Times New Roman" w:cs="Times New Roman" w:eastAsia="Times New Roman" w:hAnsi="Times New Roman"/>
          <w:sz w:val="18"/>
          <w:szCs w:val="18"/>
          <w:color w:val="auto"/>
        </w:rPr>
      </w:pPr>
    </w:p>
    <w:p>
      <w:pPr>
        <w:ind w:left="780" w:right="160" w:hanging="326"/>
        <w:spacing w:after="0" w:line="26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installation of principal or interest may be paid, only upon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certificates or other documents or satisfaction of other conditions in addition to those specified in the applicable indenture, the form of those certificates, documents or conditions.</w:t>
      </w:r>
    </w:p>
    <w:p>
      <w:pPr>
        <w:spacing w:after="0" w:line="43" w:lineRule="exact"/>
        <w:rPr>
          <w:rFonts w:ascii="Times New Roman" w:cs="Times New Roman" w:eastAsia="Times New Roman" w:hAnsi="Times New Roman"/>
          <w:sz w:val="18"/>
          <w:szCs w:val="18"/>
          <w:color w:val="auto"/>
        </w:rPr>
      </w:pPr>
    </w:p>
    <w:p>
      <w:pPr>
        <w:ind w:left="780" w:right="220" w:hanging="326"/>
        <w:spacing w:after="0" w:line="28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series will be payable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manner in which, or the person to whom, any interest on any bearer securities of the series will be payable.</w:t>
      </w:r>
    </w:p>
    <w:p>
      <w:pPr>
        <w:spacing w:after="0" w:line="30" w:lineRule="exact"/>
        <w:rPr>
          <w:rFonts w:ascii="Times New Roman" w:cs="Times New Roman" w:eastAsia="Times New Roman" w:hAnsi="Times New Roman"/>
          <w:sz w:val="18"/>
          <w:szCs w:val="18"/>
          <w:color w:val="auto"/>
        </w:rPr>
      </w:pPr>
    </w:p>
    <w:p>
      <w:pPr>
        <w:ind w:left="780" w:right="700" w:hanging="326"/>
        <w:spacing w:after="0" w:line="28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series that are different from or in addition to the definitions included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indenture, including, without limitation, the definition of “unrestricted subsidiary” to be used for such series.</w:t>
      </w:r>
    </w:p>
    <w:p>
      <w:pPr>
        <w:spacing w:after="0" w:line="30" w:lineRule="exact"/>
        <w:rPr>
          <w:rFonts w:ascii="Times New Roman" w:cs="Times New Roman" w:eastAsia="Times New Roman" w:hAnsi="Times New Roman"/>
          <w:sz w:val="18"/>
          <w:szCs w:val="18"/>
          <w:color w:val="auto"/>
        </w:rPr>
      </w:pPr>
    </w:p>
    <w:p>
      <w:pPr>
        <w:ind w:left="780" w:right="280" w:hanging="326"/>
        <w:spacing w:after="0" w:line="28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the subordinated indenture, the relative degree to which the offered debt securities shall be senior to or junior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whether currently outstanding or to be offered in the future, and to other debt, in right of payment.</w:t>
      </w:r>
    </w:p>
    <w:p>
      <w:pPr>
        <w:spacing w:after="0" w:line="30" w:lineRule="exact"/>
        <w:rPr>
          <w:rFonts w:ascii="Times New Roman" w:cs="Times New Roman" w:eastAsia="Times New Roman" w:hAnsi="Times New Roman"/>
          <w:sz w:val="18"/>
          <w:szCs w:val="18"/>
          <w:color w:val="auto"/>
        </w:rPr>
      </w:pPr>
    </w:p>
    <w:p>
      <w:pPr>
        <w:ind w:left="780" w:right="600" w:hanging="326"/>
        <w:spacing w:after="0" w:line="28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 guarantees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whether and the extent to which the guarantees are subordinated to other debt of the guarantors).</w:t>
      </w:r>
    </w:p>
    <w:p>
      <w:pPr>
        <w:spacing w:after="0" w:line="30" w:lineRule="exact"/>
        <w:rPr>
          <w:rFonts w:ascii="Times New Roman" w:cs="Times New Roman" w:eastAsia="Times New Roman" w:hAnsi="Times New Roman"/>
          <w:sz w:val="18"/>
          <w:szCs w:val="18"/>
          <w:color w:val="auto"/>
        </w:rPr>
      </w:pPr>
    </w:p>
    <w:p>
      <w:pPr>
        <w:ind w:left="780" w:right="100" w:hanging="326"/>
        <w:spacing w:after="0" w:line="28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our common shares, preferred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securities or property.</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90" w:lineRule="exact"/>
        <w:rPr>
          <w:rFonts w:ascii="Times New Roman" w:cs="Times New Roman" w:eastAsia="Times New Roman" w:hAnsi="Times New Roman"/>
          <w:sz w:val="18"/>
          <w:szCs w:val="18"/>
          <w:color w:val="auto"/>
        </w:rPr>
      </w:pPr>
    </w:p>
    <w:p>
      <w:pPr>
        <w:ind w:left="780" w:right="380" w:hanging="326"/>
        <w:spacing w:after="0" w:line="345" w:lineRule="auto"/>
        <w:tabs>
          <w:tab w:leader="none" w:pos="7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Other Terms. </w:t>
      </w:r>
      <w:r>
        <w:rPr>
          <w:rFonts w:ascii="Times New Roman" w:cs="Times New Roman" w:eastAsia="Times New Roman" w:hAnsi="Times New Roman"/>
          <w:sz w:val="16"/>
          <w:szCs w:val="16"/>
          <w:color w:val="auto"/>
        </w:rPr>
        <w:t>Any other terms not inconsistent with the terms of the applicable indenture pertaining to the offered debt securities or which may be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required or advisable under U.S. laws or regulations or advisable, as we determine, in connection with marketing of securities of the series.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94" w:lineRule="exact"/>
        <w:rPr>
          <w:sz w:val="20"/>
          <w:szCs w:val="20"/>
          <w:color w:val="auto"/>
        </w:rPr>
      </w:pPr>
    </w:p>
    <w:p>
      <w:pPr>
        <w:ind w:left="780" w:right="40" w:hanging="326"/>
        <w:spacing w:after="0" w:line="27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38" w:lineRule="exact"/>
        <w:rPr>
          <w:rFonts w:ascii="Times New Roman" w:cs="Times New Roman" w:eastAsia="Times New Roman" w:hAnsi="Times New Roman"/>
          <w:sz w:val="18"/>
          <w:szCs w:val="18"/>
          <w:color w:val="auto"/>
        </w:rPr>
      </w:pPr>
    </w:p>
    <w:p>
      <w:pPr>
        <w:ind w:left="780" w:right="160" w:hanging="326"/>
        <w:spacing w:after="0" w:line="27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spacing w:after="0" w:line="275" w:lineRule="auto"/>
        <w:rPr>
          <w:sz w:val="20"/>
          <w:szCs w:val="20"/>
          <w:color w:val="auto"/>
        </w:rPr>
      </w:pPr>
      <w:r>
        <w:rPr>
          <w:rFonts w:ascii="Times New Roman" w:cs="Times New Roman" w:eastAsia="Times New Roman" w:hAnsi="Times New Roman"/>
          <w:sz w:val="18"/>
          <w:szCs w:val="18"/>
          <w:color w:val="auto"/>
        </w:rPr>
        <w:t>and transfer. If we issue debt securities in bearer form, we will describe special offering restrictions and material U.S. federal income tax consequences relating to the offered debt securities in a prospectus supplement.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94"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94" w:lineRule="exact"/>
        <w:rPr>
          <w:sz w:val="20"/>
          <w:szCs w:val="20"/>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167" w:lineRule="exact"/>
        <w:rPr>
          <w:sz w:val="20"/>
          <w:szCs w:val="20"/>
          <w:color w:val="auto"/>
        </w:rPr>
      </w:pPr>
    </w:p>
    <w:p>
      <w:pPr>
        <w:jc w:val="both"/>
        <w:ind w:right="100" w:firstLine="456"/>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 amounts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is Wachovia Bank National Association, 401 S. Tryon Street,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Charlotte, North Carolina 28288. We will notify you of any change in the office’s location. At our option, however, we may make any interest payments on debt securities issued in registered form by:</w:t>
      </w:r>
    </w:p>
    <w:p>
      <w:pPr>
        <w:spacing w:after="0" w:line="69" w:lineRule="exact"/>
        <w:rPr>
          <w:sz w:val="20"/>
          <w:szCs w:val="20"/>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you specify;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specify.</w:t>
      </w:r>
    </w:p>
    <w:p>
      <w:pPr>
        <w:spacing w:after="0" w:line="17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will describe in a prospectus supplement how we will pay amounts owing on bearer securities. We will only pay amounts owing on bearer securities at an office outside the United States.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Unless we say otherwise in a prospectus supplement, you may transfer or exchange debt securities issued in registered form at an agency that we designate.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transfer or exchange debt securities without service charge, although we may require you to pay any related tax or other governmental charge.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92"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Each indenture contains the following covenants. Any additional material covenants applicable to any series of debt securities will be set forth in a prospectus supplement.</w:t>
      </w:r>
    </w:p>
    <w:p>
      <w:pPr>
        <w:spacing w:after="0" w:line="116" w:lineRule="exact"/>
        <w:rPr>
          <w:sz w:val="20"/>
          <w:szCs w:val="20"/>
          <w:color w:val="auto"/>
        </w:rPr>
      </w:pPr>
    </w:p>
    <w:p>
      <w:pPr>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 and keep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25"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94" w:lineRule="exact"/>
        <w:rPr>
          <w:sz w:val="20"/>
          <w:szCs w:val="20"/>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16" w:lineRule="exact"/>
        <w:rPr>
          <w:sz w:val="20"/>
          <w:szCs w:val="20"/>
          <w:color w:val="auto"/>
        </w:rPr>
      </w:pPr>
    </w:p>
    <w:p>
      <w:pPr>
        <w:ind w:right="340" w:firstLine="456"/>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of Financial Information. </w:t>
      </w:r>
      <w:r>
        <w:rPr>
          <w:rFonts w:ascii="Times New Roman" w:cs="Times New Roman" w:eastAsia="Times New Roman" w:hAnsi="Times New Roman"/>
          <w:sz w:val="16"/>
          <w:szCs w:val="16"/>
          <w:color w:val="auto"/>
        </w:rPr>
        <w:t>Whether or not we are subject to Section 13 or 15(d) of the Exchange Act, we will, within 15 days of each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 dates by which we would have been required to file annual reports, quarterly reports and other documents with the SEC if we were so subject:</w:t>
      </w:r>
    </w:p>
    <w:p>
      <w:pPr>
        <w:spacing w:after="0" w:line="1" w:lineRule="exact"/>
        <w:rPr>
          <w:sz w:val="20"/>
          <w:szCs w:val="20"/>
          <w:color w:val="auto"/>
        </w:rPr>
      </w:pPr>
    </w:p>
    <w:p>
      <w:pPr>
        <w:jc w:val="both"/>
        <w:ind w:left="780" w:right="80" w:hanging="326"/>
        <w:spacing w:after="0" w:line="26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1"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38"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may consolidate with, or sell, lease or convey all or substantially all of our assets, or merge with or into any other entity, provided that we satisfy all of the following conditions:</w:t>
      </w:r>
    </w:p>
    <w:p>
      <w:pPr>
        <w:spacing w:after="0" w:line="39" w:lineRule="exact"/>
        <w:rPr>
          <w:sz w:val="20"/>
          <w:szCs w:val="20"/>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company, or</w:t>
      </w:r>
    </w:p>
    <w:p>
      <w:pPr>
        <w:spacing w:after="0" w:line="90" w:lineRule="exact"/>
        <w:rPr>
          <w:rFonts w:ascii="Times New Roman" w:cs="Times New Roman" w:eastAsia="Times New Roman" w:hAnsi="Times New Roman"/>
          <w:sz w:val="18"/>
          <w:szCs w:val="18"/>
          <w:color w:val="auto"/>
        </w:rPr>
      </w:pPr>
    </w:p>
    <w:p>
      <w:pPr>
        <w:ind w:left="1260" w:right="160" w:hanging="455"/>
        <w:spacing w:after="0" w:line="262" w:lineRule="auto"/>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40" w:hanging="326"/>
        <w:spacing w:after="0" w:line="275"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transactions, no default or event of default under the debt securities shall have occurred and be continuing; and</w:t>
      </w:r>
    </w:p>
    <w:p>
      <w:pPr>
        <w:spacing w:after="0" w:line="38" w:lineRule="exact"/>
        <w:rPr>
          <w:rFonts w:ascii="Times New Roman" w:cs="Times New Roman" w:eastAsia="Times New Roman" w:hAnsi="Times New Roman"/>
          <w:sz w:val="18"/>
          <w:szCs w:val="18"/>
          <w:color w:val="auto"/>
        </w:rPr>
      </w:pPr>
    </w:p>
    <w:p>
      <w:pPr>
        <w:ind w:left="780" w:right="220" w:hanging="326"/>
        <w:spacing w:after="0" w:line="258"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88" w:lineRule="exact"/>
        <w:rPr>
          <w:sz w:val="20"/>
          <w:szCs w:val="20"/>
          <w:color w:val="auto"/>
        </w:rPr>
      </w:pPr>
    </w:p>
    <w:p>
      <w:pPr>
        <w:ind w:right="2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Generally. </w:t>
      </w:r>
      <w:r>
        <w:rPr>
          <w:rFonts w:ascii="Times New Roman" w:cs="Times New Roman" w:eastAsia="Times New Roman" w:hAnsi="Times New Roman"/>
          <w:sz w:val="16"/>
          <w:szCs w:val="16"/>
          <w:color w:val="auto"/>
        </w:rPr>
        <w:t>Unless we say otherwise in a prospectus supplement, the payment of principal, premium, if any, and interest on subordinated debt securities will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0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39" w:lineRule="exact"/>
        <w:rPr>
          <w:sz w:val="20"/>
          <w:szCs w:val="20"/>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9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90"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38"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38" w:lineRule="exact"/>
        <w:rPr>
          <w:rFonts w:ascii="Times New Roman" w:cs="Times New Roman" w:eastAsia="Times New Roman" w:hAnsi="Times New Roman"/>
          <w:sz w:val="18"/>
          <w:szCs w:val="18"/>
          <w:color w:val="auto"/>
        </w:rPr>
      </w:pPr>
    </w:p>
    <w:p>
      <w:pPr>
        <w:ind w:left="1260" w:right="100" w:hanging="455"/>
        <w:spacing w:after="0" w:line="262"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1" w:lineRule="exact"/>
        <w:rPr>
          <w:rFonts w:ascii="Times New Roman" w:cs="Times New Roman" w:eastAsia="Times New Roman" w:hAnsi="Times New Roman"/>
          <w:sz w:val="18"/>
          <w:szCs w:val="18"/>
          <w:color w:val="auto"/>
        </w:rPr>
      </w:pPr>
    </w:p>
    <w:p>
      <w:pPr>
        <w:ind w:left="780" w:right="220" w:hanging="326"/>
        <w:spacing w:after="0" w:line="275"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restrictions in the subordinated indenture upon the creation of additional senior debt.</w:t>
      </w:r>
    </w:p>
    <w:p>
      <w:pPr>
        <w:spacing w:after="0" w:line="167" w:lineRule="exact"/>
        <w:rPr>
          <w:sz w:val="20"/>
          <w:szCs w:val="20"/>
          <w:color w:val="auto"/>
        </w:rPr>
      </w:pPr>
    </w:p>
    <w:p>
      <w:pPr>
        <w:ind w:right="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 debt,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not:</w:t>
      </w:r>
    </w:p>
    <w:p>
      <w:pPr>
        <w:spacing w:after="0" w:line="34" w:lineRule="exact"/>
        <w:rPr>
          <w:sz w:val="20"/>
          <w:szCs w:val="20"/>
          <w:color w:val="auto"/>
        </w:rPr>
      </w:pPr>
    </w:p>
    <w:p>
      <w:pPr>
        <w:ind w:left="5680" w:right="4960" w:hanging="5226"/>
        <w:spacing w:after="0" w:line="447" w:lineRule="auto"/>
        <w:tabs>
          <w:tab w:leader="none" w:pos="7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 9</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90" w:lineRule="exact"/>
        <w:rPr>
          <w:sz w:val="20"/>
          <w:szCs w:val="20"/>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167" w:lineRule="exact"/>
        <w:rPr>
          <w:sz w:val="20"/>
          <w:szCs w:val="20"/>
          <w:color w:val="auto"/>
        </w:rPr>
      </w:pPr>
    </w:p>
    <w:p>
      <w:pPr>
        <w:ind w:right="1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distributing any assets if:</w:t>
      </w:r>
    </w:p>
    <w:p>
      <w:pPr>
        <w:spacing w:after="0" w:line="34" w:lineRule="exact"/>
        <w:rPr>
          <w:sz w:val="20"/>
          <w:szCs w:val="20"/>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51" w:lineRule="exact"/>
        <w:rPr>
          <w:sz w:val="20"/>
          <w:szCs w:val="20"/>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90" w:lineRule="exact"/>
        <w:rPr>
          <w:rFonts w:ascii="Times New Roman" w:cs="Times New Roman" w:eastAsia="Times New Roman" w:hAnsi="Times New Roman"/>
          <w:sz w:val="18"/>
          <w:szCs w:val="18"/>
          <w:color w:val="auto"/>
        </w:rPr>
      </w:pPr>
    </w:p>
    <w:p>
      <w:pPr>
        <w:ind w:left="780" w:right="160" w:hanging="326"/>
        <w:spacing w:after="0" w:line="275"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88" w:lineRule="exact"/>
        <w:rPr>
          <w:sz w:val="20"/>
          <w:szCs w:val="20"/>
          <w:color w:val="auto"/>
        </w:rPr>
      </w:pPr>
    </w:p>
    <w:p>
      <w:pPr>
        <w:ind w:right="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 subordinated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w:t>
      </w:r>
    </w:p>
    <w:p>
      <w:pPr>
        <w:spacing w:after="0" w:line="34" w:lineRule="exact"/>
        <w:rPr>
          <w:sz w:val="20"/>
          <w:szCs w:val="20"/>
          <w:color w:val="auto"/>
        </w:rPr>
      </w:pPr>
    </w:p>
    <w:p>
      <w:pPr>
        <w:ind w:left="460" w:right="160" w:firstLine="443"/>
        <w:spacing w:after="0" w:line="275" w:lineRule="auto"/>
        <w:tabs>
          <w:tab w:leader="none" w:pos="10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on any debt security of that series when it becomes due and payable, if the default continues for a period of 30 days.</w:t>
      </w:r>
    </w:p>
    <w:p>
      <w:pPr>
        <w:spacing w:after="0" w:line="38" w:lineRule="exact"/>
        <w:rPr>
          <w:rFonts w:ascii="Times New Roman" w:cs="Times New Roman" w:eastAsia="Times New Roman" w:hAnsi="Times New Roman"/>
          <w:sz w:val="18"/>
          <w:szCs w:val="18"/>
          <w:color w:val="auto"/>
        </w:rPr>
      </w:pPr>
    </w:p>
    <w:p>
      <w:pPr>
        <w:ind w:left="460" w:right="140" w:firstLine="443"/>
        <w:spacing w:after="0" w:line="275" w:lineRule="auto"/>
        <w:tabs>
          <w:tab w:leader="none" w:pos="10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38" w:lineRule="exact"/>
        <w:rPr>
          <w:rFonts w:ascii="Times New Roman" w:cs="Times New Roman" w:eastAsia="Times New Roman" w:hAnsi="Times New Roman"/>
          <w:sz w:val="18"/>
          <w:szCs w:val="18"/>
          <w:color w:val="auto"/>
        </w:rPr>
      </w:pPr>
    </w:p>
    <w:p>
      <w:pPr>
        <w:ind w:left="1060" w:hanging="157"/>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firstLine="443"/>
        <w:spacing w:after="0" w:line="262" w:lineRule="auto"/>
        <w:tabs>
          <w:tab w:leader="none" w:pos="10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1"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90" w:lineRule="exact"/>
        <w:rPr>
          <w:rFonts w:ascii="Times New Roman" w:cs="Times New Roman" w:eastAsia="Times New Roman" w:hAnsi="Times New Roman"/>
          <w:sz w:val="18"/>
          <w:szCs w:val="18"/>
          <w:color w:val="auto"/>
        </w:rPr>
      </w:pPr>
    </w:p>
    <w:p>
      <w:pPr>
        <w:ind w:left="460" w:right="120" w:firstLine="443"/>
        <w:spacing w:after="0" w:line="254" w:lineRule="auto"/>
        <w:tabs>
          <w:tab w:leader="none" w:pos="10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57" w:lineRule="exact"/>
        <w:rPr>
          <w:rFonts w:ascii="Times New Roman" w:cs="Times New Roman" w:eastAsia="Times New Roman" w:hAnsi="Times New Roman"/>
          <w:sz w:val="18"/>
          <w:szCs w:val="18"/>
          <w:color w:val="auto"/>
        </w:rPr>
      </w:pPr>
    </w:p>
    <w:p>
      <w:pPr>
        <w:ind w:left="1080" w:hanging="177"/>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and</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90 days.</w:t>
      </w:r>
    </w:p>
    <w:p>
      <w:pPr>
        <w:spacing w:after="0" w:line="90" w:lineRule="exact"/>
        <w:rPr>
          <w:sz w:val="20"/>
          <w:szCs w:val="20"/>
          <w:color w:val="auto"/>
        </w:rPr>
      </w:pPr>
    </w:p>
    <w:p>
      <w:pPr>
        <w:ind w:left="1080" w:hanging="177"/>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significant subsidiaries do any of the following:</w:t>
      </w:r>
    </w:p>
    <w:p>
      <w:pPr>
        <w:spacing w:after="0" w:line="90" w:lineRule="exact"/>
        <w:rPr>
          <w:rFonts w:ascii="Times New Roman" w:cs="Times New Roman" w:eastAsia="Times New Roman" w:hAnsi="Times New Roman"/>
          <w:sz w:val="18"/>
          <w:szCs w:val="18"/>
          <w:color w:val="auto"/>
        </w:rPr>
      </w:pPr>
    </w:p>
    <w:p>
      <w:pPr>
        <w:ind w:left="920" w:right="80" w:firstLine="421"/>
        <w:spacing w:after="0" w:line="275" w:lineRule="auto"/>
        <w:tabs>
          <w:tab w:leader="none" w:pos="157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 or any other case or proceeding to be adjudicated bankrupt or insolvent;</w:t>
      </w:r>
    </w:p>
    <w:p>
      <w:pPr>
        <w:spacing w:after="0" w:line="38" w:lineRule="exact"/>
        <w:rPr>
          <w:rFonts w:ascii="Times New Roman" w:cs="Times New Roman" w:eastAsia="Times New Roman" w:hAnsi="Times New Roman"/>
          <w:sz w:val="18"/>
          <w:szCs w:val="18"/>
          <w:color w:val="auto"/>
        </w:rPr>
      </w:pPr>
    </w:p>
    <w:p>
      <w:pPr>
        <w:ind w:left="920" w:right="40" w:firstLine="421"/>
        <w:spacing w:after="0" w:line="275" w:lineRule="auto"/>
        <w:tabs>
          <w:tab w:leader="none" w:pos="15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spacing w:after="0" w:line="38" w:lineRule="exact"/>
        <w:rPr>
          <w:rFonts w:ascii="Times New Roman" w:cs="Times New Roman" w:eastAsia="Times New Roman" w:hAnsi="Times New Roman"/>
          <w:sz w:val="18"/>
          <w:szCs w:val="18"/>
          <w:color w:val="auto"/>
        </w:rPr>
      </w:pPr>
    </w:p>
    <w:p>
      <w:pPr>
        <w:ind w:left="920" w:right="620" w:firstLine="421"/>
        <w:spacing w:after="0" w:line="275" w:lineRule="auto"/>
        <w:tabs>
          <w:tab w:leader="none" w:pos="157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 or</w:t>
      </w:r>
    </w:p>
    <w:p>
      <w:pPr>
        <w:spacing w:after="0" w:line="3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90" w:lineRule="exact"/>
        <w:rPr>
          <w:rFonts w:ascii="Times New Roman" w:cs="Times New Roman" w:eastAsia="Times New Roman" w:hAnsi="Times New Roman"/>
          <w:sz w:val="18"/>
          <w:szCs w:val="18"/>
          <w:color w:val="auto"/>
        </w:rPr>
      </w:pPr>
    </w:p>
    <w:p>
      <w:pPr>
        <w:ind w:left="1060" w:hanging="157"/>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the debt securities of that series.</w:t>
      </w:r>
    </w:p>
    <w:p>
      <w:pPr>
        <w:spacing w:after="0" w:line="167"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series may waive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past default except for:</w:t>
      </w:r>
    </w:p>
    <w:p>
      <w:pPr>
        <w:spacing w:after="0" w:line="34" w:lineRule="exact"/>
        <w:rPr>
          <w:sz w:val="20"/>
          <w:szCs w:val="20"/>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167"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that if an event of default occurs and continues,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 or the holders of not less than 25% in aggregate principal amount of the debt securities of the applicable series outstanding may declare all unpaid principal of, premium, if</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28" w:lineRule="exact"/>
        <w:rPr>
          <w:sz w:val="20"/>
          <w:szCs w:val="20"/>
          <w:color w:val="auto"/>
        </w:rPr>
      </w:pPr>
    </w:p>
    <w:p>
      <w:pPr>
        <w:jc w:val="both"/>
        <w:ind w:right="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that, after a declaration of acceleration, but before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48" w:lineRule="exact"/>
        <w:rPr>
          <w:sz w:val="20"/>
          <w:szCs w:val="20"/>
          <w:color w:val="auto"/>
        </w:rPr>
      </w:pP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all debt securities of the applicable series,</w:t>
      </w:r>
    </w:p>
    <w:p>
      <w:pPr>
        <w:spacing w:after="0" w:line="90" w:lineRule="exact"/>
        <w:rPr>
          <w:rFonts w:ascii="Times New Roman" w:cs="Times New Roman" w:eastAsia="Times New Roman" w:hAnsi="Times New Roman"/>
          <w:sz w:val="18"/>
          <w:szCs w:val="18"/>
          <w:color w:val="auto"/>
        </w:rPr>
      </w:pPr>
    </w:p>
    <w:p>
      <w:pPr>
        <w:ind w:left="1260" w:right="220" w:hanging="455"/>
        <w:spacing w:after="0" w:line="275" w:lineRule="auto"/>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38"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90" w:lineRule="exact"/>
        <w:rPr>
          <w:rFonts w:ascii="Times New Roman" w:cs="Times New Roman" w:eastAsia="Times New Roman" w:hAnsi="Times New Roman"/>
          <w:sz w:val="18"/>
          <w:szCs w:val="18"/>
          <w:color w:val="auto"/>
        </w:rPr>
      </w:pPr>
    </w:p>
    <w:p>
      <w:pPr>
        <w:ind w:left="1260" w:right="260" w:hanging="455"/>
        <w:spacing w:after="0" w:line="275" w:lineRule="auto"/>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38"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1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 than 120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3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Each indenture provides that no holders of debt securities of any series may institute any proceedings, judicial or otherwise,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 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34" w:lineRule="exact"/>
        <w:rPr>
          <w:sz w:val="20"/>
          <w:szCs w:val="20"/>
          <w:color w:val="auto"/>
        </w:rPr>
      </w:pPr>
    </w:p>
    <w:p>
      <w:pPr>
        <w:ind w:right="3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2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60" w:firstLine="456"/>
        <w:spacing w:after="0" w:line="275"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92"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1" w:lineRule="exact"/>
        <w:rPr>
          <w:sz w:val="20"/>
          <w:szCs w:val="20"/>
          <w:color w:val="auto"/>
        </w:rPr>
      </w:pPr>
    </w:p>
    <w:p>
      <w:pPr>
        <w:ind w:left="780" w:right="340" w:hanging="326"/>
        <w:spacing w:after="0" w:line="27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38"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Unless we say otherwise in a prospectus supplement, in order to exercise either defeasance or covenant defeasance as to the outstanding debt securities of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78" w:lineRule="exact"/>
        <w:rPr>
          <w:sz w:val="20"/>
          <w:szCs w:val="20"/>
          <w:color w:val="auto"/>
        </w:rPr>
      </w:pPr>
    </w:p>
    <w:p>
      <w:pPr>
        <w:ind w:left="780" w:hanging="326"/>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series, an amount in</w:t>
      </w:r>
    </w:p>
    <w:p>
      <w:pPr>
        <w:spacing w:after="0" w:line="21" w:lineRule="exact"/>
        <w:rPr>
          <w:rFonts w:ascii="Times New Roman" w:cs="Times New Roman" w:eastAsia="Times New Roman" w:hAnsi="Times New Roman"/>
          <w:sz w:val="18"/>
          <w:szCs w:val="18"/>
          <w:color w:val="auto"/>
        </w:rPr>
      </w:pPr>
    </w:p>
    <w:p>
      <w:pPr>
        <w:ind w:left="7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5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we issued the applicable debt securities, there has been a change in the applicable federal income tax law,</w:t>
      </w:r>
    </w:p>
    <w:p>
      <w:pPr>
        <w:spacing w:after="0" w:line="90" w:lineRule="exact"/>
        <w:rPr>
          <w:sz w:val="20"/>
          <w:szCs w:val="20"/>
          <w:color w:val="auto"/>
        </w:rPr>
      </w:pPr>
    </w:p>
    <w:p>
      <w:pPr>
        <w:ind w:left="800"/>
        <w:spacing w:after="0" w:line="262"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1" w:lineRule="exact"/>
        <w:rPr>
          <w:sz w:val="20"/>
          <w:szCs w:val="20"/>
          <w:color w:val="auto"/>
        </w:rPr>
      </w:pPr>
    </w:p>
    <w:p>
      <w:pPr>
        <w:ind w:left="780" w:right="60" w:hanging="326"/>
        <w:spacing w:after="0" w:line="258"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6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38"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38" w:lineRule="exact"/>
        <w:rPr>
          <w:rFonts w:ascii="Times New Roman" w:cs="Times New Roman" w:eastAsia="Times New Roman" w:hAnsi="Times New Roman"/>
          <w:sz w:val="18"/>
          <w:szCs w:val="18"/>
          <w:color w:val="auto"/>
        </w:rPr>
      </w:pPr>
    </w:p>
    <w:p>
      <w:pPr>
        <w:ind w:left="780" w:right="40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38" w:lineRule="exact"/>
        <w:rPr>
          <w:rFonts w:ascii="Times New Roman" w:cs="Times New Roman" w:eastAsia="Times New Roman" w:hAnsi="Times New Roman"/>
          <w:sz w:val="18"/>
          <w:szCs w:val="18"/>
          <w:color w:val="auto"/>
        </w:rPr>
      </w:pPr>
    </w:p>
    <w:p>
      <w:pPr>
        <w:ind w:left="780" w:hanging="326"/>
        <w:spacing w:after="0" w:line="262"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92" w:lineRule="exact"/>
        <w:rPr>
          <w:sz w:val="20"/>
          <w:szCs w:val="20"/>
          <w:color w:val="auto"/>
        </w:rPr>
      </w:pPr>
    </w:p>
    <w:p>
      <w:pPr>
        <w:ind w:right="380" w:firstLine="456"/>
        <w:spacing w:after="0" w:line="310" w:lineRule="auto"/>
        <w:rPr>
          <w:sz w:val="20"/>
          <w:szCs w:val="20"/>
          <w:color w:val="auto"/>
        </w:rPr>
      </w:pPr>
      <w:r>
        <w:rPr>
          <w:rFonts w:ascii="Times New Roman" w:cs="Times New Roman" w:eastAsia="Times New Roman" w:hAnsi="Times New Roman"/>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6" w:lineRule="exact"/>
        <w:rPr>
          <w:sz w:val="20"/>
          <w:szCs w:val="20"/>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coin or currency in which the principal or premium, if any, of any debt security or the interest thereon is payable;</w:t>
      </w:r>
    </w:p>
    <w:p>
      <w:pPr>
        <w:spacing w:after="0" w:line="90"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38" w:lineRule="exact"/>
        <w:rPr>
          <w:rFonts w:ascii="Times New Roman" w:cs="Times New Roman" w:eastAsia="Times New Roman" w:hAnsi="Times New Roman"/>
          <w:sz w:val="18"/>
          <w:szCs w:val="18"/>
          <w:color w:val="auto"/>
        </w:rPr>
      </w:pPr>
    </w:p>
    <w:p>
      <w:pPr>
        <w:ind w:left="780" w:right="380" w:hanging="326"/>
        <w:spacing w:after="0" w:line="275"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38" w:lineRule="exact"/>
        <w:rPr>
          <w:rFonts w:ascii="Times New Roman" w:cs="Times New Roman" w:eastAsia="Times New Roman" w:hAnsi="Times New Roman"/>
          <w:sz w:val="18"/>
          <w:szCs w:val="18"/>
          <w:color w:val="auto"/>
        </w:rPr>
      </w:pPr>
    </w:p>
    <w:p>
      <w:pPr>
        <w:ind w:left="780" w:right="20" w:hanging="326"/>
        <w:spacing w:after="0" w:line="258"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3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39" w:lineRule="exact"/>
        <w:rPr>
          <w:sz w:val="20"/>
          <w:szCs w:val="20"/>
          <w:color w:val="auto"/>
        </w:rPr>
      </w:pPr>
    </w:p>
    <w:p>
      <w:pPr>
        <w:ind w:left="780" w:right="520" w:hanging="326"/>
        <w:spacing w:after="0" w:line="275"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series;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series of debt securities or surrenders any of our rights or powers;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series of debt securities;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series;</w:t>
      </w:r>
    </w:p>
    <w:p>
      <w:pPr>
        <w:spacing w:after="0" w:line="90" w:lineRule="exact"/>
        <w:rPr>
          <w:rFonts w:ascii="Times New Roman" w:cs="Times New Roman" w:eastAsia="Times New Roman" w:hAnsi="Times New Roman"/>
          <w:sz w:val="18"/>
          <w:szCs w:val="18"/>
          <w:color w:val="auto"/>
        </w:rPr>
      </w:pPr>
    </w:p>
    <w:p>
      <w:pPr>
        <w:ind w:left="780" w:right="220" w:hanging="326"/>
        <w:spacing w:after="0" w:line="275"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260"/>
        <w:spacing w:after="0" w:line="275" w:lineRule="auto"/>
        <w:rPr>
          <w:sz w:val="20"/>
          <w:szCs w:val="20"/>
          <w:color w:val="auto"/>
        </w:rPr>
      </w:pPr>
      <w:r>
        <w:rPr>
          <w:rFonts w:ascii="Times New Roman" w:cs="Times New Roman" w:eastAsia="Times New Roman" w:hAnsi="Times New Roman"/>
          <w:sz w:val="18"/>
          <w:szCs w:val="18"/>
          <w:color w:val="auto"/>
        </w:rPr>
        <w:t>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52" w:lineRule="exact"/>
        <w:rPr>
          <w:sz w:val="20"/>
          <w:szCs w:val="20"/>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series not yet issued;</w:t>
      </w:r>
    </w:p>
    <w:p>
      <w:pPr>
        <w:spacing w:after="0" w:line="90"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38" w:lineRule="exact"/>
        <w:rPr>
          <w:rFonts w:ascii="Times New Roman" w:cs="Times New Roman" w:eastAsia="Times New Roman" w:hAnsi="Times New Roman"/>
          <w:sz w:val="18"/>
          <w:szCs w:val="18"/>
          <w:color w:val="auto"/>
        </w:rPr>
      </w:pPr>
    </w:p>
    <w:p>
      <w:pPr>
        <w:ind w:left="780" w:right="400" w:hanging="326"/>
        <w:spacing w:after="0" w:line="258" w:lineRule="auto"/>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55" w:lineRule="exact"/>
        <w:rPr>
          <w:rFonts w:ascii="Times New Roman" w:cs="Times New Roman" w:eastAsia="Times New Roman" w:hAnsi="Times New Roman"/>
          <w:sz w:val="18"/>
          <w:szCs w:val="18"/>
          <w:color w:val="auto"/>
        </w:rPr>
      </w:pPr>
    </w:p>
    <w:p>
      <w:pPr>
        <w:ind w:left="780" w:hanging="326"/>
        <w:spacing w:after="0" w:line="262" w:lineRule="auto"/>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32"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58" w:lineRule="exact"/>
        <w:rPr>
          <w:sz w:val="20"/>
          <w:szCs w:val="20"/>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90"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its face value and provides that upon redemption or acceleration of its stated maturity an amount less than its principal amount shall become due and payable.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each indenture and the debt securities will be governed by the laws of the State of New York.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SHARES OF BENEFICIAL INTEREST</w:t>
      </w:r>
    </w:p>
    <w:p>
      <w:pPr>
        <w:spacing w:after="0" w:line="17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92" w:lineRule="exact"/>
        <w:rPr>
          <w:sz w:val="20"/>
          <w:szCs w:val="20"/>
          <w:color w:val="auto"/>
        </w:rPr>
      </w:pPr>
    </w:p>
    <w:p>
      <w:pPr>
        <w:ind w:right="320" w:firstLine="456"/>
        <w:spacing w:after="0" w:line="298" w:lineRule="auto"/>
        <w:rPr>
          <w:sz w:val="20"/>
          <w:szCs w:val="20"/>
          <w:color w:val="auto"/>
        </w:rPr>
      </w:pPr>
      <w:r>
        <w:rPr>
          <w:rFonts w:ascii="Times New Roman" w:cs="Times New Roman" w:eastAsia="Times New Roman" w:hAnsi="Times New Roman"/>
          <w:sz w:val="17"/>
          <w:szCs w:val="17"/>
          <w:color w:val="auto"/>
        </w:rPr>
        <w:t xml:space="preserve">Our declaration of trust allows us to issue up to 100,000,000 common shares of beneficial interest, par value $.01 per share, and 15,000,000 preferred shares of beneficial interest, par value $.01 per share. As of May 1, 2006, we had issued and outstanding 53,047,258 common shares, and 5,400,000 preferred shares which were designated as 8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7"/>
          <w:szCs w:val="17"/>
          <w:color w:val="auto"/>
        </w:rPr>
        <w:t>% Series B Cumulative Redeemable Preferred Shares, which we refer to as the Series B preferred shares.</w:t>
      </w:r>
    </w:p>
    <w:p>
      <w:pPr>
        <w:spacing w:after="0" w:line="25"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Each Series B preferred share is entitled to receive, when, as and if authorized by our Board of Trustees out of funds legally available for that purpose, cumulative dividends at the rate of $2.125 per annum.</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B preferred shares and any other class or series of our shares of beneficial interest ranking, as to the payment of dividends and the distribution of assets upon liquidation, dissolution or winding up, on a parity with the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4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Series B preferred shares shall be entitled to receive $25 per share, plus all accrued and unpaid dividends, before any distribution shall be made with respect to the common shares.</w:t>
      </w:r>
    </w:p>
    <w:p>
      <w:pPr>
        <w:spacing w:after="0" w:line="116" w:lineRule="exact"/>
        <w:rPr>
          <w:sz w:val="20"/>
          <w:szCs w:val="20"/>
          <w:color w:val="auto"/>
        </w:rPr>
      </w:pPr>
    </w:p>
    <w:p>
      <w:pPr>
        <w:ind w:right="1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actions without approval by you or any shareholder:</w:t>
      </w:r>
    </w:p>
    <w:p>
      <w:pPr>
        <w:spacing w:after="0" w:line="34" w:lineRule="exact"/>
        <w:rPr>
          <w:sz w:val="20"/>
          <w:szCs w:val="20"/>
          <w:color w:val="auto"/>
        </w:rPr>
      </w:pPr>
    </w:p>
    <w:p>
      <w:pPr>
        <w:ind w:left="780" w:hanging="326"/>
        <w:spacing w:after="0"/>
        <w:tabs>
          <w:tab w:leader="none" w:pos="7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classify or reclassify any authorized but unissued common shares or preferred shares into one or more classes or series of shares of beneficial interest;</w:t>
      </w:r>
    </w:p>
    <w:p>
      <w:pPr>
        <w:spacing w:after="0" w:line="113"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spacing w:after="0" w:line="339" w:lineRule="auto"/>
        <w:rPr>
          <w:sz w:val="20"/>
          <w:szCs w:val="20"/>
          <w:color w:val="auto"/>
        </w:rPr>
      </w:pPr>
      <w:r>
        <w:rPr>
          <w:rFonts w:ascii="Times New Roman" w:cs="Times New Roman" w:eastAsia="Times New Roman" w:hAnsi="Times New Roman"/>
          <w:sz w:val="16"/>
          <w:szCs w:val="16"/>
          <w:color w:val="auto"/>
        </w:rPr>
        <w:t>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Liability</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92"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B preferred shares and any other shares of beneficial interest having a priority over our common shares in the event of our liquidation, dissolution or winding up. As noted above under “— Authorized Shares,” our outstanding Series B preferred shares rank prior to our common shares with respect to the payment of dividends and as to the distribution of assets in the event of our liquidation, dissolution or winding up.</w:t>
      </w:r>
    </w:p>
    <w:p>
      <w:pPr>
        <w:spacing w:after="0" w:line="137"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outstanding common share owned by a shareholder entitles that holder to one vote on all matters submitted to a vote of common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at a meeting where the number of nominees exceeds the number of trustees to be elected, and the holders of a majority of all of the votes cast at a meeting of shareholders duly called and at which a quorum is present can elect a trustee at a meeting where the number of nominees is the same as the number of trustees to be elected, and in both cases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holder of a common share, you will not have any right to:</w:t>
      </w:r>
    </w:p>
    <w:p>
      <w:pPr>
        <w:spacing w:after="0" w:line="90" w:lineRule="exact"/>
        <w:rPr>
          <w:sz w:val="20"/>
          <w:szCs w:val="20"/>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51" w:lineRule="exact"/>
        <w:rPr>
          <w:sz w:val="20"/>
          <w:szCs w:val="20"/>
          <w:color w:val="auto"/>
        </w:rPr>
      </w:pPr>
    </w:p>
    <w:p>
      <w:pPr>
        <w:ind w:left="780" w:right="80" w:hanging="326"/>
        <w:spacing w:after="0" w:line="275"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where the number of nominees exceeds the number of trustees to be elected (which requires a plurality of all the votes cast at a meeting of our shareholders at which a quorum is present);</w:t>
      </w:r>
    </w:p>
    <w:p>
      <w:pPr>
        <w:spacing w:after="0" w:line="38" w:lineRule="exact"/>
        <w:rPr>
          <w:rFonts w:ascii="Times New Roman" w:cs="Times New Roman" w:eastAsia="Times New Roman" w:hAnsi="Times New Roman"/>
          <w:sz w:val="18"/>
          <w:szCs w:val="18"/>
          <w:color w:val="auto"/>
        </w:rPr>
      </w:pPr>
    </w:p>
    <w:p>
      <w:pPr>
        <w:ind w:left="780" w:right="20" w:hanging="326"/>
        <w:spacing w:after="0" w:line="258"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55" w:lineRule="exact"/>
        <w:rPr>
          <w:rFonts w:ascii="Times New Roman" w:cs="Times New Roman" w:eastAsia="Times New Roman" w:hAnsi="Times New Roman"/>
          <w:sz w:val="18"/>
          <w:szCs w:val="18"/>
          <w:color w:val="auto"/>
        </w:rPr>
      </w:pPr>
    </w:p>
    <w:p>
      <w:pPr>
        <w:ind w:left="780" w:right="180" w:hanging="326"/>
        <w:spacing w:after="0" w:line="26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1" w:lineRule="exact"/>
        <w:rPr>
          <w:rFonts w:ascii="Times New Roman" w:cs="Times New Roman" w:eastAsia="Times New Roman" w:hAnsi="Times New Roman"/>
          <w:sz w:val="18"/>
          <w:szCs w:val="18"/>
          <w:color w:val="auto"/>
        </w:rPr>
      </w:pPr>
    </w:p>
    <w:p>
      <w:pPr>
        <w:ind w:left="780" w:right="520" w:hanging="326"/>
        <w:spacing w:after="0" w:line="275"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the affirmative vote of two-thirds of all the votes entitled to be cast on the matter); and</w:t>
      </w:r>
    </w:p>
    <w:p>
      <w:pPr>
        <w:spacing w:after="0" w:line="38"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20"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16" w:lineRule="exact"/>
        <w:rPr>
          <w:sz w:val="20"/>
          <w:szCs w:val="20"/>
          <w:color w:val="auto"/>
        </w:rPr>
      </w:pPr>
    </w:p>
    <w:p>
      <w:pPr>
        <w:ind w:left="780" w:hanging="326"/>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law or the Internal Revenue Code;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16"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the declaration of trust, no holder of shares of beneficial interest has any preemptive rights to subscribe to any issuance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American Stock Transfer &amp; Trust Company, New York, New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 terms:</w:t>
      </w:r>
    </w:p>
    <w:p>
      <w:pPr>
        <w:spacing w:after="0" w:line="94" w:lineRule="exact"/>
        <w:rPr>
          <w:sz w:val="20"/>
          <w:szCs w:val="20"/>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rate(s), period(s), amounts and/or payment date(s) or method(s) of calculation of any of those terms that apply to those preferred shares;</w:t>
      </w:r>
    </w:p>
    <w:p>
      <w:pPr>
        <w:spacing w:after="0" w:line="113"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90" w:lineRule="exact"/>
        <w:rPr>
          <w:rFonts w:ascii="Times New Roman" w:cs="Times New Roman" w:eastAsia="Times New Roman" w:hAnsi="Times New Roman"/>
          <w:sz w:val="18"/>
          <w:szCs w:val="18"/>
          <w:color w:val="auto"/>
        </w:rPr>
      </w:pPr>
    </w:p>
    <w:p>
      <w:pPr>
        <w:ind w:left="780" w:right="520" w:hanging="326"/>
        <w:spacing w:after="0" w:line="275"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38" w:lineRule="exact"/>
        <w:rPr>
          <w:rFonts w:ascii="Times New Roman" w:cs="Times New Roman" w:eastAsia="Times New Roman" w:hAnsi="Times New Roman"/>
          <w:sz w:val="18"/>
          <w:szCs w:val="18"/>
          <w:color w:val="auto"/>
        </w:rPr>
      </w:pPr>
    </w:p>
    <w:p>
      <w:pPr>
        <w:ind w:left="780" w:right="380" w:hanging="326"/>
        <w:spacing w:after="0" w:line="275"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38" w:lineRule="exact"/>
        <w:rPr>
          <w:rFonts w:ascii="Times New Roman" w:cs="Times New Roman" w:eastAsia="Times New Roman" w:hAnsi="Times New Roman"/>
          <w:sz w:val="18"/>
          <w:szCs w:val="18"/>
          <w:color w:val="auto"/>
        </w:rPr>
      </w:pPr>
    </w:p>
    <w:p>
      <w:pPr>
        <w:ind w:left="780" w:right="260" w:hanging="326"/>
        <w:spacing w:after="0" w:line="275"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federal income tax consequences applicable to those preferred shares; and</w:t>
      </w:r>
    </w:p>
    <w:p>
      <w:pPr>
        <w:spacing w:after="0" w:line="90"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 rights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upon our liquidation, dissolution or winding up, rank:</w:t>
      </w:r>
    </w:p>
    <w:p>
      <w:pPr>
        <w:spacing w:after="0" w:line="34" w:lineRule="exact"/>
        <w:rPr>
          <w:sz w:val="20"/>
          <w:szCs w:val="20"/>
          <w:color w:val="auto"/>
        </w:rPr>
      </w:pPr>
    </w:p>
    <w:p>
      <w:pPr>
        <w:ind w:left="780" w:hanging="326"/>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67" w:lineRule="exact"/>
        <w:rPr>
          <w:sz w:val="20"/>
          <w:szCs w:val="20"/>
          <w:color w:val="auto"/>
        </w:rPr>
      </w:pPr>
    </w:p>
    <w:p>
      <w:pPr>
        <w:ind w:right="3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25" w:lineRule="exact"/>
        <w:rPr>
          <w:sz w:val="20"/>
          <w:szCs w:val="20"/>
          <w:color w:val="auto"/>
        </w:rPr>
      </w:pPr>
    </w:p>
    <w:p>
      <w:pPr>
        <w:ind w:right="3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mandatory redemption or redemption at our option, in whole or in part, in each case upon the terms, at the times and at the redemption prices set forth in that supplement.</w:t>
      </w:r>
    </w:p>
    <w:p>
      <w:pPr>
        <w:spacing w:after="0" w:line="1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39"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93" w:lineRule="exact"/>
        <w:rPr>
          <w:sz w:val="20"/>
          <w:szCs w:val="20"/>
          <w:color w:val="auto"/>
        </w:rPr>
      </w:pPr>
    </w:p>
    <w:p>
      <w:pPr>
        <w:ind w:right="1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may be required by applicable law or any applicable rules and regulations of the New York Stock Exchange.</w:t>
      </w:r>
    </w:p>
    <w:p>
      <w:pPr>
        <w:spacing w:after="0" w:line="11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Declaration of Trust provides that the holders of Series B preferred shares, together with the holders of any series or class of shares ranking on a parity with the Series B preferred shares, voting as a single class regardless of series, will be entitled to elect two additional trustees to serve on the Board of Trustees when six consecutive quarterly dividends payable to the holders of Series B preferred shares or any series or class of parity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shares are in arrears. Whenever all dividends in arrears on the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addition, the holders of the Series B preferred shares have such voting rights as are required by applicable law or any applicable rules and regulations of the New York Stock Exchange.</w:t>
      </w:r>
    </w:p>
    <w:p>
      <w:pPr>
        <w:spacing w:after="0" w:line="116" w:lineRule="exact"/>
        <w:rPr>
          <w:sz w:val="20"/>
          <w:szCs w:val="20"/>
          <w:color w:val="auto"/>
        </w:rPr>
      </w:pPr>
    </w:p>
    <w:p>
      <w:pPr>
        <w:ind w:right="2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supplement relating to the offering of those preferred shares. These terms typically will include:</w:t>
      </w:r>
    </w:p>
    <w:p>
      <w:pPr>
        <w:spacing w:after="0" w:line="34" w:lineRule="exact"/>
        <w:rPr>
          <w:sz w:val="20"/>
          <w:szCs w:val="20"/>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167" w:lineRule="exact"/>
        <w:rPr>
          <w:sz w:val="20"/>
          <w:szCs w:val="20"/>
          <w:color w:val="auto"/>
        </w:rPr>
      </w:pPr>
    </w:p>
    <w:p>
      <w:pPr>
        <w:ind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Transfer Agent and Registrar. </w:t>
      </w:r>
      <w:r>
        <w:rPr>
          <w:rFonts w:ascii="Times New Roman" w:cs="Times New Roman" w:eastAsia="Times New Roman" w:hAnsi="Times New Roman"/>
          <w:sz w:val="16"/>
          <w:szCs w:val="16"/>
          <w:color w:val="auto"/>
        </w:rPr>
        <w:t>The transfer agent and registrar for the Series B preferred shares is American Stock Transfer &amp; Trust Company, New York,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New York. We will identify the transfer agent and registrar for any additional series of preferred shares issued through this prospectus in a prospectus supplement.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8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receipts for depositary shares, each of which will represent a fractional interest of a share of a particular series of preferred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38"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28"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3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16"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 evidencing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2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35" w:lineRule="exact"/>
        <w:rPr>
          <w:sz w:val="20"/>
          <w:szCs w:val="20"/>
          <w:color w:val="auto"/>
        </w:rPr>
      </w:pPr>
    </w:p>
    <w:p>
      <w:pPr>
        <w:ind w:right="40" w:firstLine="456"/>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the Preferred Shares. </w:t>
      </w:r>
      <w:r>
        <w:rPr>
          <w:rFonts w:ascii="Times New Roman" w:cs="Times New Roman" w:eastAsia="Times New Roman" w:hAnsi="Times New Roman"/>
          <w:sz w:val="16"/>
          <w:szCs w:val="16"/>
          <w:color w:val="auto"/>
        </w:rPr>
        <w:t>When the depositary receives notice of any meeting at which the holders of preferred shares are entitled to vote,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06" w:lineRule="exact"/>
        <w:rPr>
          <w:sz w:val="20"/>
          <w:szCs w:val="20"/>
          <w:color w:val="auto"/>
        </w:rPr>
      </w:pPr>
    </w:p>
    <w:p>
      <w:pPr>
        <w:ind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Preference. </w:t>
      </w:r>
      <w:r>
        <w:rPr>
          <w:rFonts w:ascii="Times New Roman" w:cs="Times New Roman" w:eastAsia="Times New Roman" w:hAnsi="Times New Roman"/>
          <w:sz w:val="16"/>
          <w:szCs w:val="16"/>
          <w:color w:val="auto"/>
        </w:rPr>
        <w:t>In the event of our liquidation, dissolution or winding up, whether voluntary or involuntary, you will be entitled, as a record holder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depositary shares, to the fraction of the liquidation preference accorded each applicable preferred share, as has been set forth in a prospectus supplement.</w:t>
      </w:r>
    </w:p>
    <w:p>
      <w:pPr>
        <w:spacing w:after="0" w:line="6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38" w:lineRule="exact"/>
        <w:rPr>
          <w:sz w:val="20"/>
          <w:szCs w:val="20"/>
          <w:color w:val="auto"/>
        </w:rPr>
      </w:pPr>
    </w:p>
    <w:p>
      <w:pPr>
        <w:jc w:val="both"/>
        <w:ind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Amendment and Termination of the Deposit Agreement. </w:t>
      </w:r>
      <w:r>
        <w:rPr>
          <w:rFonts w:ascii="Times New Roman" w:cs="Times New Roman" w:eastAsia="Times New Roman" w:hAnsi="Times New Roman"/>
          <w:sz w:val="16"/>
          <w:szCs w:val="16"/>
          <w:color w:val="auto"/>
        </w:rPr>
        <w:t>We and the depositary may amend the form of depositary receipt and any provision of the deposit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3" w:lineRule="exact"/>
        <w:rPr>
          <w:sz w:val="20"/>
          <w:szCs w:val="20"/>
          <w:color w:val="auto"/>
        </w:rPr>
      </w:pPr>
    </w:p>
    <w:p>
      <w:pPr>
        <w:ind w:left="780" w:hanging="326"/>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260" w:hanging="326"/>
        <w:spacing w:after="0" w:line="275" w:lineRule="auto"/>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38"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16" w:lineRule="exact"/>
        <w:rPr>
          <w:sz w:val="20"/>
          <w:szCs w:val="20"/>
          <w:color w:val="auto"/>
        </w:rPr>
      </w:pPr>
    </w:p>
    <w:p>
      <w:pPr>
        <w:ind w:right="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a notice to us of its election to do so. Additionally, we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29" w:lineRule="exact"/>
        <w:rPr>
          <w:sz w:val="20"/>
          <w:szCs w:val="20"/>
          <w:color w:val="auto"/>
        </w:rPr>
      </w:pPr>
    </w:p>
    <w:p>
      <w:pPr>
        <w:jc w:val="both"/>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29" w:lineRule="exact"/>
        <w:rPr>
          <w:sz w:val="20"/>
          <w:szCs w:val="20"/>
          <w:color w:val="auto"/>
        </w:rPr>
      </w:pPr>
    </w:p>
    <w:p>
      <w:pPr>
        <w:ind w:right="1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 furnish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preferred shares.</w:t>
      </w:r>
    </w:p>
    <w:p>
      <w:pPr>
        <w:spacing w:after="0" w:line="115"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9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39" w:lineRule="exact"/>
        <w:rPr>
          <w:sz w:val="20"/>
          <w:szCs w:val="20"/>
          <w:color w:val="auto"/>
        </w:rPr>
      </w:pPr>
    </w:p>
    <w:p>
      <w:pPr>
        <w:ind w:left="780" w:right="200" w:hanging="326"/>
        <w:spacing w:after="0" w:line="310" w:lineRule="auto"/>
        <w:tabs>
          <w:tab w:leader="none" w:pos="7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6" w:lineRule="exact"/>
        <w:rPr>
          <w:rFonts w:ascii="Times New Roman" w:cs="Times New Roman" w:eastAsia="Times New Roman" w:hAnsi="Times New Roman"/>
          <w:sz w:val="16"/>
          <w:szCs w:val="16"/>
          <w:color w:val="auto"/>
        </w:rPr>
      </w:pPr>
    </w:p>
    <w:p>
      <w:pPr>
        <w:ind w:left="780" w:right="14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38"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stock or beneficial interests must be owned by 100 or more persons during at least 335 days of a taxable year of 12 months or during a proportionate part of a shorter taxable year.</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90" w:lineRule="exact"/>
        <w:rPr>
          <w:rFonts w:ascii="Times New Roman" w:cs="Times New Roman" w:eastAsia="Times New Roman" w:hAnsi="Times New Roman"/>
          <w:sz w:val="18"/>
          <w:szCs w:val="18"/>
          <w:color w:val="auto"/>
        </w:rPr>
      </w:pPr>
    </w:p>
    <w:p>
      <w:pPr>
        <w:ind w:left="780" w:right="880" w:hanging="326"/>
        <w:spacing w:after="0" w:line="275" w:lineRule="auto"/>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167"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color w:val="auto"/>
        </w:rPr>
        <w:t>. With certain exceptions described below, if any purported transfer of shares would violate any of the restrictions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3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per share equal to the market price (which is calculated as defined in our declaration of trust) on the date the shares were received, or</w:t>
      </w:r>
    </w:p>
    <w:p>
      <w:pPr>
        <w:spacing w:after="0" w:line="113" w:lineRule="exact"/>
        <w:rPr>
          <w:rFonts w:ascii="Times New Roman" w:cs="Times New Roman" w:eastAsia="Times New Roman" w:hAnsi="Times New Roman"/>
          <w:sz w:val="16"/>
          <w:szCs w:val="16"/>
          <w:color w:val="auto"/>
        </w:rPr>
      </w:pPr>
    </w:p>
    <w:p>
      <w:pPr>
        <w:ind w:left="1260" w:hanging="455"/>
        <w:spacing w:after="0"/>
        <w:tabs>
          <w:tab w:leader="none" w:pos="12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3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3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must both give us immediate written notice of such event and provide us such other information as requested in order to determine the effect, if any, of such transfer on our status as a REIT.</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20" w:lineRule="exact"/>
        <w:rPr>
          <w:sz w:val="20"/>
          <w:szCs w:val="20"/>
          <w:color w:val="auto"/>
        </w:rPr>
      </w:pPr>
    </w:p>
    <w:p>
      <w:pPr>
        <w:jc w:val="both"/>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36"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13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We may issue warrants for the purchase of common or preferred shares. If we offer warrants, we will describe the terms in a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90" w:lineRule="exact"/>
        <w:rPr>
          <w:sz w:val="20"/>
          <w:szCs w:val="20"/>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preferred shares or common shares that may be purchased on exercise of the warrant;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9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2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color w:val="auto"/>
        </w:rPr>
        <w:t>. 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52" w:lineRule="exact"/>
        <w:rPr>
          <w:sz w:val="20"/>
          <w:szCs w:val="20"/>
          <w:color w:val="auto"/>
        </w:rPr>
      </w:pPr>
    </w:p>
    <w:p>
      <w:pPr>
        <w:ind w:left="780" w:hanging="326"/>
        <w:spacing w:after="0"/>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shares; or</w:t>
      </w:r>
    </w:p>
    <w:p>
      <w:pPr>
        <w:spacing w:after="0" w:line="90" w:lineRule="exact"/>
        <w:rPr>
          <w:rFonts w:ascii="Times New Roman" w:cs="Times New Roman" w:eastAsia="Times New Roman" w:hAnsi="Times New Roman"/>
          <w:sz w:val="18"/>
          <w:szCs w:val="18"/>
          <w:color w:val="auto"/>
        </w:rPr>
      </w:pPr>
    </w:p>
    <w:p>
      <w:pPr>
        <w:ind w:left="780" w:right="40" w:hanging="326"/>
        <w:spacing w:after="0" w:line="275" w:lineRule="auto"/>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10% or more of the voting power of our shares within two years prior to the applicable date relating to the transaction.</w:t>
      </w:r>
    </w:p>
    <w:p>
      <w:pPr>
        <w:spacing w:after="0" w:line="120"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32"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39" w:lineRule="exact"/>
        <w:rPr>
          <w:sz w:val="20"/>
          <w:szCs w:val="20"/>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w:t>
      </w:r>
    </w:p>
    <w:p>
      <w:pPr>
        <w:spacing w:after="0" w:line="171"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16" w:lineRule="exact"/>
        <w:rPr>
          <w:sz w:val="20"/>
          <w:szCs w:val="20"/>
          <w:color w:val="auto"/>
        </w:rPr>
      </w:pPr>
    </w:p>
    <w:p>
      <w:pPr>
        <w:ind w:right="1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r>
        <w:rPr>
          <w:rFonts w:ascii="Times New Roman" w:cs="Times New Roman" w:eastAsia="Times New Roman" w:hAnsi="Times New Roman"/>
          <w:sz w:val="18"/>
          <w:szCs w:val="18"/>
          <w:color w:val="auto"/>
        </w:rPr>
        <w:t>. 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3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vote, in electing trustees:</w:t>
      </w:r>
    </w:p>
    <w:p>
      <w:pPr>
        <w:spacing w:after="0" w:line="90" w:lineRule="exact"/>
        <w:rPr>
          <w:sz w:val="20"/>
          <w:szCs w:val="20"/>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or more but less than one-third of such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of such shares,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outstanding shares.</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20"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3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2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Rights Plan</w:t>
      </w:r>
      <w:r>
        <w:rPr>
          <w:rFonts w:ascii="Times New Roman" w:cs="Times New Roman" w:eastAsia="Times New Roman" w:hAnsi="Times New Roman"/>
          <w:sz w:val="18"/>
          <w:szCs w:val="18"/>
          <w:color w:val="auto"/>
        </w:rPr>
        <w:t>. On April 13, 1989, we adopted a shareholder rights plan and declared a dividend distribution of one right for each outstanding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rights become exercisable upon the earlier to occur of</w:t>
      </w:r>
    </w:p>
    <w:p>
      <w:pPr>
        <w:spacing w:after="0" w:line="90" w:lineRule="exact"/>
        <w:rPr>
          <w:sz w:val="20"/>
          <w:szCs w:val="20"/>
          <w:color w:val="auto"/>
        </w:rPr>
      </w:pPr>
    </w:p>
    <w:p>
      <w:pPr>
        <w:ind w:left="780" w:right="480" w:hanging="326"/>
        <w:spacing w:after="0" w:line="275" w:lineRule="auto"/>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announcement that, without our prior consent, a person or group of affiliated or associated persons has acquired, or obtained the right to acquire, beneficial ownership of 20% or more of our common shares; or</w:t>
      </w:r>
    </w:p>
    <w:p>
      <w:pPr>
        <w:spacing w:after="0" w:line="38"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days following the commencement of (or a public announcement of an intention to make) a tender offer or exchange offer that would result in the beneficial ownership by a person or group of 20% or more of our common shares.</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the rights will expire on the earliest of</w:t>
      </w:r>
    </w:p>
    <w:p>
      <w:pPr>
        <w:spacing w:after="0" w:line="90" w:lineRule="exact"/>
        <w:rPr>
          <w:sz w:val="20"/>
          <w:szCs w:val="20"/>
          <w:color w:val="auto"/>
        </w:rPr>
      </w:pPr>
    </w:p>
    <w:p>
      <w:pPr>
        <w:ind w:left="780" w:hanging="326"/>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24, 2009;</w:t>
      </w:r>
    </w:p>
    <w:p>
      <w:pPr>
        <w:spacing w:after="0" w:line="90" w:lineRule="exact"/>
        <w:rPr>
          <w:rFonts w:ascii="Times New Roman" w:cs="Times New Roman" w:eastAsia="Times New Roman" w:hAnsi="Times New Roman"/>
          <w:sz w:val="18"/>
          <w:szCs w:val="18"/>
          <w:color w:val="auto"/>
        </w:rPr>
      </w:pPr>
    </w:p>
    <w:p>
      <w:pPr>
        <w:ind w:left="780" w:right="560" w:hanging="326"/>
        <w:spacing w:after="0" w:line="275" w:lineRule="auto"/>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merger transaction with a person or group who acquired common shares pursuant to a transaction approved by the Board of Trustees; or</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by us as described below.</w:t>
      </w:r>
    </w:p>
    <w:p>
      <w:pPr>
        <w:spacing w:after="0" w:line="171"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2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39"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1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one of our shareholders, including, without limitation, the right to vote or to receive dividends.</w:t>
      </w:r>
    </w:p>
    <w:p>
      <w:pPr>
        <w:spacing w:after="0" w:line="116"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color w:val="auto"/>
        </w:rPr>
        <w:t>. Under Maryland law, there is a presumption that the act of a trustee satisfies the required standard of care. An act of a trustee relating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affecting an acquisition or a potential acquisition of control is not subject under Maryland law to a higher duty or greater scrutiny than is applied to any other act of a trustee.</w:t>
      </w:r>
    </w:p>
    <w:p>
      <w:pPr>
        <w:spacing w:after="0" w:line="125" w:lineRule="exact"/>
        <w:rPr>
          <w:sz w:val="20"/>
          <w:szCs w:val="20"/>
          <w:color w:val="auto"/>
        </w:rPr>
      </w:pPr>
    </w:p>
    <w:p>
      <w:pPr>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Number of Trustees; Classified Board</w:t>
      </w:r>
      <w:r>
        <w:rPr>
          <w:rFonts w:ascii="Times New Roman" w:cs="Times New Roman" w:eastAsia="Times New Roman" w:hAnsi="Times New Roman"/>
          <w:sz w:val="18"/>
          <w:szCs w:val="18"/>
          <w:color w:val="auto"/>
        </w:rPr>
        <w:t>. The number of trustees may be increased or decreased pursuant to the bylaws, provided that the total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may not be less than five or more than 10. Under Maryland law and our declaration of trust, trustees, except for any trustees that may be elected by holders of preferred shares, are elected in three classes for staggered, three-year terms.</w:t>
      </w:r>
    </w:p>
    <w:p>
      <w:pPr>
        <w:spacing w:after="0" w:line="125" w:lineRule="exact"/>
        <w:rPr>
          <w:sz w:val="20"/>
          <w:szCs w:val="20"/>
          <w:color w:val="auto"/>
        </w:rPr>
      </w:pPr>
    </w:p>
    <w:p>
      <w:pPr>
        <w:ind w:right="2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color w:val="auto"/>
        </w:rPr>
        <w:t>. Under the declaration of trust, and subject to the rights of any holders of preferred shares, our shareholders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or without cause, at any meeting of shareholders called for that purpose, either by</w:t>
      </w:r>
    </w:p>
    <w:p>
      <w:pPr>
        <w:spacing w:after="0" w:line="34" w:lineRule="exact"/>
        <w:rPr>
          <w:sz w:val="20"/>
          <w:szCs w:val="20"/>
          <w:color w:val="auto"/>
        </w:rPr>
      </w:pPr>
    </w:p>
    <w:p>
      <w:pPr>
        <w:ind w:left="780" w:right="220" w:hanging="326"/>
        <w:spacing w:after="0" w:line="275" w:lineRule="auto"/>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38"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16"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Vacancies on the Board of Trustees.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The holders of the Series B preferred shares have the right to elect two additional trustees to the Board of Trustees under the circumstances described above under “— Preferred Shares — Voting Rights.”</w:t>
      </w:r>
    </w:p>
    <w:p>
      <w:pPr>
        <w:spacing w:after="0" w:line="116" w:lineRule="exact"/>
        <w:rPr>
          <w:sz w:val="20"/>
          <w:szCs w:val="20"/>
          <w:color w:val="auto"/>
        </w:rPr>
      </w:pPr>
    </w:p>
    <w:p>
      <w:pPr>
        <w:jc w:val="both"/>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Meetings of Shareholders. </w:t>
      </w:r>
      <w:r>
        <w:rPr>
          <w:rFonts w:ascii="Times New Roman" w:cs="Times New Roman" w:eastAsia="Times New Roman" w:hAnsi="Times New Roman"/>
          <w:sz w:val="18"/>
          <w:szCs w:val="18"/>
          <w:color w:val="auto"/>
        </w:rPr>
        <w:t>Our bylaws provide for an annual meeting of shareholders, to be held in May after delivery of the annual report to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3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8" w:lineRule="exact"/>
        <w:rPr>
          <w:sz w:val="20"/>
          <w:szCs w:val="20"/>
          <w:color w:val="auto"/>
        </w:rPr>
      </w:pPr>
    </w:p>
    <w:p>
      <w:pPr>
        <w:ind w:right="40" w:firstLine="456"/>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Notice for Shareholder Nominations and Shareholder New Business Proposals. </w:t>
      </w:r>
      <w:r>
        <w:rPr>
          <w:rFonts w:ascii="Times New Roman" w:cs="Times New Roman" w:eastAsia="Times New Roman" w:hAnsi="Times New Roman"/>
          <w:sz w:val="18"/>
          <w:szCs w:val="18"/>
          <w:color w:val="auto"/>
        </w:rPr>
        <w:t>Our bylaws require advance written notice for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48" w:lineRule="exact"/>
        <w:rPr>
          <w:sz w:val="20"/>
          <w:szCs w:val="20"/>
          <w:color w:val="auto"/>
        </w:rPr>
      </w:pPr>
    </w:p>
    <w:p>
      <w:pPr>
        <w:ind w:right="20" w:firstLine="456"/>
        <w:spacing w:after="0" w:line="228" w:lineRule="auto"/>
        <w:rPr>
          <w:sz w:val="20"/>
          <w:szCs w:val="20"/>
          <w:color w:val="auto"/>
        </w:rPr>
      </w:pPr>
      <w:r>
        <w:rPr>
          <w:rFonts w:ascii="Times New Roman" w:cs="Times New Roman" w:eastAsia="Times New Roman" w:hAnsi="Times New Roman"/>
          <w:sz w:val="18"/>
          <w:szCs w:val="18"/>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the special meeting and not later than the close of business on the later of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the special meeting or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52"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 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3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859 of the Code with respect to our taxable years ended through December 31, 2005;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39"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51" w:lineRule="exact"/>
        <w:rPr>
          <w:sz w:val="20"/>
          <w:szCs w:val="20"/>
          <w:color w:val="auto"/>
        </w:rPr>
      </w:pPr>
    </w:p>
    <w:p>
      <w:pPr>
        <w:ind w:left="780" w:right="40" w:hanging="326"/>
        <w:spacing w:after="0" w:line="275" w:lineRule="auto"/>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 alternative minimum tax” on any items of tax preference that we do not distribute or allocate to our shareholders;</w:t>
      </w:r>
    </w:p>
    <w:p>
      <w:pPr>
        <w:spacing w:after="0" w:line="90"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38" w:lineRule="exact"/>
        <w:rPr>
          <w:rFonts w:ascii="Times New Roman" w:cs="Times New Roman" w:eastAsia="Times New Roman" w:hAnsi="Times New Roman"/>
          <w:sz w:val="18"/>
          <w:szCs w:val="18"/>
          <w:color w:val="auto"/>
        </w:rPr>
      </w:pPr>
    </w:p>
    <w:p>
      <w:pPr>
        <w:ind w:left="780" w:right="160" w:hanging="326"/>
        <w:spacing w:after="0" w:line="275" w:lineRule="auto"/>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 Requirements for REIT Qualification</w:t>
      </w:r>
    </w:p>
    <w:p>
      <w:pPr>
        <w:spacing w:after="0" w:line="21" w:lineRule="exact"/>
        <w:rPr>
          <w:rFonts w:ascii="Times New Roman" w:cs="Times New Roman" w:eastAsia="Times New Roman" w:hAnsi="Times New Roman"/>
          <w:sz w:val="18"/>
          <w:szCs w:val="18"/>
          <w:color w:val="auto"/>
        </w:rPr>
      </w:pPr>
    </w:p>
    <w:p>
      <w:pPr>
        <w:ind w:left="78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57"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140"/>
        <w:spacing w:after="0" w:line="262" w:lineRule="auto"/>
        <w:rPr>
          <w:sz w:val="20"/>
          <w:szCs w:val="20"/>
          <w:color w:val="auto"/>
        </w:rPr>
      </w:pPr>
      <w:r>
        <w:rPr>
          <w:rFonts w:ascii="Times New Roman" w:cs="Times New Roman" w:eastAsia="Times New Roman" w:hAnsi="Times New Roman"/>
          <w:sz w:val="18"/>
          <w:szCs w:val="18"/>
          <w:color w:val="auto"/>
        </w:rPr>
        <w:t>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5" w:lineRule="exact"/>
        <w:rPr>
          <w:sz w:val="20"/>
          <w:szCs w:val="20"/>
          <w:color w:val="auto"/>
        </w:rPr>
      </w:pPr>
    </w:p>
    <w:p>
      <w:pPr>
        <w:jc w:val="both"/>
        <w:ind w:left="780" w:right="160" w:hanging="326"/>
        <w:spacing w:after="0" w:line="262" w:lineRule="auto"/>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1" w:lineRule="exact"/>
        <w:rPr>
          <w:rFonts w:ascii="Times New Roman" w:cs="Times New Roman" w:eastAsia="Times New Roman" w:hAnsi="Times New Roman"/>
          <w:sz w:val="18"/>
          <w:szCs w:val="18"/>
          <w:color w:val="auto"/>
        </w:rPr>
      </w:pPr>
    </w:p>
    <w:p>
      <w:pPr>
        <w:ind w:left="780" w:right="140" w:hanging="326"/>
        <w:spacing w:after="0" w:line="262" w:lineRule="auto"/>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5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90" w:lineRule="exact"/>
        <w:rPr>
          <w:rFonts w:ascii="Times New Roman" w:cs="Times New Roman" w:eastAsia="Times New Roman" w:hAnsi="Times New Roman"/>
          <w:sz w:val="18"/>
          <w:szCs w:val="18"/>
          <w:color w:val="auto"/>
        </w:rPr>
      </w:pPr>
    </w:p>
    <w:p>
      <w:pPr>
        <w:ind w:left="780" w:right="160" w:hanging="326"/>
        <w:spacing w:after="0" w:line="256" w:lineRule="auto"/>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90"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90"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38" w:lineRule="exact"/>
        <w:rPr>
          <w:rFonts w:ascii="Times New Roman" w:cs="Times New Roman" w:eastAsia="Times New Roman" w:hAnsi="Times New Roman"/>
          <w:sz w:val="18"/>
          <w:szCs w:val="18"/>
          <w:color w:val="auto"/>
        </w:rPr>
      </w:pPr>
    </w:p>
    <w:p>
      <w:pPr>
        <w:ind w:left="460" w:right="680" w:hanging="452"/>
        <w:spacing w:after="0" w:line="275"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38"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U.S. Department of Treasury (“Treasury”); and</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43" w:lineRule="exact"/>
        <w:rPr>
          <w:sz w:val="20"/>
          <w:szCs w:val="20"/>
          <w:color w:val="auto"/>
        </w:rPr>
      </w:pPr>
    </w:p>
    <w:p>
      <w:pPr>
        <w:jc w:val="both"/>
        <w:ind w:right="220" w:firstLine="456"/>
        <w:spacing w:after="0" w:line="258" w:lineRule="auto"/>
        <w:rPr>
          <w:sz w:val="20"/>
          <w:szCs w:val="20"/>
          <w:color w:val="auto"/>
        </w:rPr>
      </w:pPr>
      <w:r>
        <w:rPr>
          <w:rFonts w:ascii="Times New Roman" w:cs="Times New Roman" w:eastAsia="Times New Roman" w:hAnsi="Times New Roman"/>
          <w:sz w:val="18"/>
          <w:szCs w:val="18"/>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94" w:lineRule="exact"/>
        <w:rPr>
          <w:sz w:val="20"/>
          <w:szCs w:val="20"/>
          <w:color w:val="auto"/>
        </w:rPr>
      </w:pPr>
    </w:p>
    <w:p>
      <w:pPr>
        <w:ind w:left="780" w:right="60" w:hanging="326"/>
        <w:spacing w:after="0" w:line="256" w:lineRule="auto"/>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57" w:lineRule="exact"/>
        <w:rPr>
          <w:rFonts w:ascii="Times New Roman" w:cs="Times New Roman" w:eastAsia="Times New Roman" w:hAnsi="Times New Roman"/>
          <w:sz w:val="18"/>
          <w:szCs w:val="18"/>
          <w:color w:val="auto"/>
        </w:rPr>
      </w:pPr>
    </w:p>
    <w:p>
      <w:pPr>
        <w:ind w:left="780" w:right="200" w:hanging="326"/>
        <w:spacing w:after="0" w:line="262" w:lineRule="auto"/>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167" w:lineRule="exact"/>
        <w:rPr>
          <w:sz w:val="20"/>
          <w:szCs w:val="20"/>
          <w:color w:val="auto"/>
        </w:rPr>
      </w:pPr>
    </w:p>
    <w:p>
      <w:pPr>
        <w:jc w:val="both"/>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Rental Income. </w:t>
      </w:r>
      <w:r>
        <w:rPr>
          <w:rFonts w:ascii="Times New Roman" w:cs="Times New Roman" w:eastAsia="Times New Roman" w:hAnsi="Times New Roman"/>
          <w:sz w:val="18"/>
          <w:szCs w:val="18"/>
          <w:color w:val="auto"/>
        </w:rPr>
        <w:t>Our primary source of income derives from leasing properties. Rent that we receive from real property that we own and lease to tenants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qualify as “rents from real property” (which is qualifying income for purposes of the 75% and 95% gross income tests) only if several conditions are met under the REIT tax rules:</w:t>
      </w:r>
    </w:p>
    <w:p>
      <w:pPr>
        <w:spacing w:after="0" w:line="48" w:lineRule="exact"/>
        <w:rPr>
          <w:sz w:val="20"/>
          <w:szCs w:val="20"/>
          <w:color w:val="auto"/>
        </w:rPr>
      </w:pPr>
    </w:p>
    <w:p>
      <w:pPr>
        <w:ind w:left="780" w:right="80" w:hanging="326"/>
        <w:spacing w:after="0" w:line="275" w:lineRule="auto"/>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must not be based, in whole or in part, on the income or profits of any person although, generally, rent may be based on a fixed percentage or percentages of receipts or sales. We have not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100"/>
        <w:spacing w:after="0" w:line="275" w:lineRule="auto"/>
        <w:rPr>
          <w:sz w:val="20"/>
          <w:szCs w:val="20"/>
          <w:color w:val="auto"/>
        </w:rPr>
      </w:pPr>
      <w:r>
        <w:rPr>
          <w:rFonts w:ascii="Times New Roman" w:cs="Times New Roman" w:eastAsia="Times New Roman" w:hAnsi="Times New Roman"/>
          <w:sz w:val="18"/>
          <w:szCs w:val="18"/>
          <w:color w:val="auto"/>
        </w:rPr>
        <w:t>entered into any lease based in whole or part on the net income of any person and do not anticipate entering into such arrangements (except where we have determined that the rent received will not jeopardize our status as a REIT);</w:t>
      </w:r>
    </w:p>
    <w:p>
      <w:pPr>
        <w:spacing w:after="0" w:line="52" w:lineRule="exact"/>
        <w:rPr>
          <w:sz w:val="20"/>
          <w:szCs w:val="20"/>
          <w:color w:val="auto"/>
        </w:rPr>
      </w:pPr>
    </w:p>
    <w:p>
      <w:pPr>
        <w:ind w:left="780" w:hanging="326"/>
        <w:spacing w:after="0" w:line="253" w:lineRule="auto"/>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59" w:lineRule="exact"/>
        <w:rPr>
          <w:rFonts w:ascii="Times New Roman" w:cs="Times New Roman" w:eastAsia="Times New Roman" w:hAnsi="Times New Roman"/>
          <w:sz w:val="18"/>
          <w:szCs w:val="18"/>
          <w:color w:val="auto"/>
        </w:rPr>
      </w:pPr>
    </w:p>
    <w:p>
      <w:pPr>
        <w:ind w:left="780" w:right="40" w:hanging="326"/>
        <w:spacing w:after="0" w:line="255" w:lineRule="auto"/>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58" w:lineRule="exact"/>
        <w:rPr>
          <w:rFonts w:ascii="Times New Roman" w:cs="Times New Roman" w:eastAsia="Times New Roman" w:hAnsi="Times New Roman"/>
          <w:sz w:val="18"/>
          <w:szCs w:val="18"/>
          <w:color w:val="auto"/>
        </w:rPr>
      </w:pPr>
    </w:p>
    <w:p>
      <w:pPr>
        <w:ind w:left="780" w:right="240" w:hanging="326"/>
        <w:spacing w:after="0" w:line="258" w:lineRule="auto"/>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55" w:lineRule="exact"/>
        <w:rPr>
          <w:rFonts w:ascii="Times New Roman" w:cs="Times New Roman" w:eastAsia="Times New Roman" w:hAnsi="Times New Roman"/>
          <w:sz w:val="18"/>
          <w:szCs w:val="18"/>
          <w:color w:val="auto"/>
        </w:rPr>
      </w:pPr>
    </w:p>
    <w:p>
      <w:pPr>
        <w:ind w:left="780" w:right="20" w:hanging="326"/>
        <w:spacing w:after="0" w:line="254" w:lineRule="auto"/>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41"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an ongoing basis, we will use our best efforts not to:</w:t>
      </w:r>
    </w:p>
    <w:p>
      <w:pPr>
        <w:spacing w:after="0" w:line="90" w:lineRule="exact"/>
        <w:rPr>
          <w:sz w:val="20"/>
          <w:szCs w:val="20"/>
          <w:color w:val="auto"/>
        </w:rPr>
      </w:pPr>
    </w:p>
    <w:p>
      <w:pPr>
        <w:ind w:left="780" w:hanging="326"/>
        <w:spacing w:after="0" w:line="275" w:lineRule="auto"/>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rent for any property that is based in whole or in part on the income or profits of any person (except by reason of being based on a percentage of receipts or sales, as described above);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360" w:hanging="326"/>
        <w:spacing w:after="0" w:line="262"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51"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8" w:lineRule="exact"/>
        <w:rPr>
          <w:rFonts w:ascii="Times New Roman" w:cs="Times New Roman" w:eastAsia="Times New Roman" w:hAnsi="Times New Roman"/>
          <w:sz w:val="18"/>
          <w:szCs w:val="18"/>
          <w:color w:val="auto"/>
        </w:rPr>
      </w:pPr>
    </w:p>
    <w:p>
      <w:pPr>
        <w:jc w:val="both"/>
        <w:ind w:left="780" w:right="20" w:hanging="326"/>
        <w:spacing w:after="0" w:line="262"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Because the Code provisions applicable to REITs are complex, however, we may fail to meet one or more of the foregoing.</w:t>
      </w:r>
    </w:p>
    <w:p>
      <w:pPr>
        <w:spacing w:after="0" w:line="167" w:lineRule="exact"/>
        <w:rPr>
          <w:sz w:val="20"/>
          <w:szCs w:val="20"/>
          <w:color w:val="auto"/>
        </w:rPr>
      </w:pPr>
    </w:p>
    <w:p>
      <w:pPr>
        <w:ind w:right="24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Tax on Income From Property Acquired in Foreclosure. </w:t>
      </w:r>
      <w:r>
        <w:rPr>
          <w:rFonts w:ascii="Times New Roman" w:cs="Times New Roman" w:eastAsia="Times New Roman" w:hAnsi="Times New Roman"/>
          <w:sz w:val="16"/>
          <w:szCs w:val="16"/>
          <w:color w:val="auto"/>
        </w:rPr>
        <w:t>We will be subject to tax at the maximum corporate rate on any income from foreclosure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3" w:lineRule="exact"/>
        <w:rPr>
          <w:sz w:val="20"/>
          <w:szCs w:val="20"/>
          <w:color w:val="auto"/>
        </w:rPr>
      </w:pPr>
    </w:p>
    <w:p>
      <w:pPr>
        <w:ind w:left="780" w:hanging="326"/>
        <w:spacing w:after="0" w:line="275" w:lineRule="auto"/>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34" w:lineRule="auto"/>
        <w:rPr>
          <w:sz w:val="20"/>
          <w:szCs w:val="20"/>
          <w:color w:val="auto"/>
        </w:rPr>
      </w:pPr>
      <w:r>
        <w:rPr>
          <w:rFonts w:ascii="Times New Roman" w:cs="Times New Roman" w:eastAsia="Times New Roman" w:hAnsi="Times New Roman"/>
          <w:sz w:val="16"/>
          <w:szCs w:val="16"/>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 w:lineRule="exact"/>
        <w:rPr>
          <w:sz w:val="20"/>
          <w:szCs w:val="20"/>
          <w:color w:val="auto"/>
        </w:rPr>
      </w:pPr>
    </w:p>
    <w:p>
      <w:pPr>
        <w:ind w:left="780" w:right="300" w:hanging="326"/>
        <w:spacing w:after="0" w:line="275" w:lineRule="auto"/>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38" w:lineRule="exact"/>
        <w:rPr>
          <w:rFonts w:ascii="Times New Roman" w:cs="Times New Roman" w:eastAsia="Times New Roman" w:hAnsi="Times New Roman"/>
          <w:sz w:val="18"/>
          <w:szCs w:val="18"/>
          <w:color w:val="auto"/>
        </w:rPr>
      </w:pPr>
    </w:p>
    <w:p>
      <w:pPr>
        <w:ind w:left="780" w:right="200" w:hanging="326"/>
        <w:spacing w:after="0" w:line="262" w:lineRule="auto"/>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1"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38" w:lineRule="exact"/>
        <w:rPr>
          <w:rFonts w:ascii="Times New Roman" w:cs="Times New Roman" w:eastAsia="Times New Roman" w:hAnsi="Times New Roman"/>
          <w:sz w:val="18"/>
          <w:szCs w:val="18"/>
          <w:color w:val="auto"/>
        </w:rPr>
      </w:pPr>
    </w:p>
    <w:p>
      <w:pPr>
        <w:ind w:left="780" w:right="240" w:hanging="326"/>
        <w:spacing w:after="0" w:line="339" w:lineRule="auto"/>
        <w:tabs>
          <w:tab w:leader="none" w:pos="7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7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derived from any “prohibited transaction.” A “prohibited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subsidiary of a REIT. Not taking into account properties held by our taxable REIT subsidiaries, we believe that none of the assets we are treated as holding are held for sale to customers and that a sale of any such asset would not be in the ordinary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80"/>
        <w:spacing w:after="0" w:line="301" w:lineRule="auto"/>
        <w:rPr>
          <w:sz w:val="20"/>
          <w:szCs w:val="20"/>
          <w:color w:val="auto"/>
        </w:rPr>
      </w:pPr>
      <w:r>
        <w:rPr>
          <w:rFonts w:ascii="Times New Roman" w:cs="Times New Roman" w:eastAsia="Times New Roman" w:hAnsi="Times New Roman"/>
          <w:sz w:val="16"/>
          <w:szCs w:val="16"/>
          <w:color w:val="auto"/>
        </w:rPr>
        <w:t>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99"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 between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 taxable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 Tests. </w:t>
      </w:r>
      <w:r>
        <w:rPr>
          <w:rFonts w:ascii="Times New Roman" w:cs="Times New Roman" w:eastAsia="Times New Roman" w:hAnsi="Times New Roman"/>
          <w:sz w:val="18"/>
          <w:szCs w:val="18"/>
          <w:color w:val="auto"/>
        </w:rPr>
        <w:t>To maintain our qualification as a REIT, we also must satisfy the following asset tests at the close of each quarter of each taxable year:</w:t>
      </w:r>
    </w:p>
    <w:p>
      <w:pPr>
        <w:spacing w:after="0" w:line="94" w:lineRule="exact"/>
        <w:rPr>
          <w:sz w:val="20"/>
          <w:szCs w:val="20"/>
          <w:color w:val="auto"/>
        </w:rPr>
      </w:pPr>
    </w:p>
    <w:p>
      <w:pPr>
        <w:ind w:left="780" w:right="440" w:hanging="326"/>
        <w:spacing w:after="0" w:line="275"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38" w:lineRule="exact"/>
        <w:rPr>
          <w:rFonts w:ascii="Times New Roman" w:cs="Times New Roman" w:eastAsia="Times New Roman" w:hAnsi="Times New Roman"/>
          <w:sz w:val="18"/>
          <w:szCs w:val="18"/>
          <w:color w:val="auto"/>
        </w:rPr>
      </w:pPr>
    </w:p>
    <w:p>
      <w:pPr>
        <w:ind w:left="1260" w:right="460" w:hanging="455"/>
        <w:spacing w:after="0" w:line="275" w:lineRule="auto"/>
        <w:tabs>
          <w:tab w:leader="none" w:pos="12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stock in other REITs. We believe that the properties qualify as real estate assets.</w:t>
      </w:r>
    </w:p>
    <w:p>
      <w:pPr>
        <w:spacing w:after="0" w:line="38" w:lineRule="exact"/>
        <w:rPr>
          <w:rFonts w:ascii="Times New Roman" w:cs="Times New Roman" w:eastAsia="Times New Roman" w:hAnsi="Times New Roman"/>
          <w:sz w:val="18"/>
          <w:szCs w:val="18"/>
          <w:color w:val="auto"/>
        </w:rPr>
      </w:pPr>
    </w:p>
    <w:p>
      <w:pPr>
        <w:ind w:left="1260" w:right="60" w:hanging="455"/>
        <w:spacing w:after="0" w:line="262" w:lineRule="auto"/>
        <w:tabs>
          <w:tab w:leader="none" w:pos="12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1" w:lineRule="exact"/>
        <w:rPr>
          <w:rFonts w:ascii="Times New Roman" w:cs="Times New Roman" w:eastAsia="Times New Roman" w:hAnsi="Times New Roman"/>
          <w:sz w:val="18"/>
          <w:szCs w:val="18"/>
          <w:color w:val="auto"/>
        </w:rPr>
      </w:pPr>
    </w:p>
    <w:p>
      <w:pPr>
        <w:ind w:left="1260" w:right="120" w:hanging="455"/>
        <w:spacing w:after="0" w:line="275" w:lineRule="auto"/>
        <w:tabs>
          <w:tab w:leader="none" w:pos="12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8" w:lineRule="exact"/>
        <w:rPr>
          <w:rFonts w:ascii="Times New Roman" w:cs="Times New Roman" w:eastAsia="Times New Roman" w:hAnsi="Times New Roman"/>
          <w:sz w:val="18"/>
          <w:szCs w:val="18"/>
          <w:color w:val="auto"/>
        </w:rPr>
      </w:pPr>
    </w:p>
    <w:p>
      <w:pPr>
        <w:ind w:left="780" w:hanging="326"/>
        <w:spacing w:after="0" w:line="253"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35" w:lineRule="exact"/>
        <w:rPr>
          <w:sz w:val="20"/>
          <w:szCs w:val="20"/>
          <w:color w:val="auto"/>
        </w:rPr>
      </w:pPr>
    </w:p>
    <w:p>
      <w:pPr>
        <w:ind w:right="60" w:firstLine="456"/>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Relief from Consequences of Failing to Meet Asset Tests. </w:t>
      </w:r>
      <w:r>
        <w:rPr>
          <w:rFonts w:ascii="Times New Roman" w:cs="Times New Roman" w:eastAsia="Times New Roman" w:hAnsi="Times New Roman"/>
          <w:sz w:val="16"/>
          <w:szCs w:val="16"/>
          <w:color w:val="auto"/>
        </w:rPr>
        <w:t>If we fail to satisfy one or more of the asset tests for any quarter of a taxable year,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2" w:lineRule="exact"/>
        <w:rPr>
          <w:sz w:val="20"/>
          <w:szCs w:val="20"/>
          <w:color w:val="auto"/>
        </w:rPr>
      </w:pPr>
    </w:p>
    <w:p>
      <w:pPr>
        <w:ind w:firstLine="8"/>
        <w:spacing w:after="0" w:line="252" w:lineRule="auto"/>
        <w:tabs>
          <w:tab w:leader="none" w:pos="2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assest tests within 6 months following the quarter in which it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37"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Requirements. </w:t>
      </w:r>
      <w:r>
        <w:rPr>
          <w:rFonts w:ascii="Times New Roman" w:cs="Times New Roman" w:eastAsia="Times New Roman" w:hAnsi="Times New Roman"/>
          <w:sz w:val="18"/>
          <w:szCs w:val="18"/>
          <w:color w:val="auto"/>
        </w:rPr>
        <w:t>Each taxable year, we must distribute dividends (other than capital gain dividends and deemed distributions of retained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136"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3"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2" w:lineRule="exact"/>
        <w:rPr>
          <w:sz w:val="20"/>
          <w:szCs w:val="20"/>
          <w:color w:val="auto"/>
        </w:rPr>
      </w:pPr>
    </w:p>
    <w:p>
      <w:pPr>
        <w:ind w:right="1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Record Keeping Requirements</w:t>
      </w:r>
      <w:r>
        <w:rPr>
          <w:rFonts w:ascii="Times New Roman" w:cs="Times New Roman" w:eastAsia="Times New Roman" w:hAnsi="Times New Roman"/>
          <w:sz w:val="18"/>
          <w:szCs w:val="18"/>
          <w:color w:val="auto"/>
        </w:rPr>
        <w:t>. We must maintain certain records to qualify as a REIT. In addition, to avoid a monetary penalty, we must request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both"/>
        <w:ind w:right="1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the term “taxable U.S. shareholder” means a taxable holder of common or preferred shares that for U.S. federal income tax purposes is</w:t>
      </w:r>
    </w:p>
    <w:p>
      <w:pPr>
        <w:spacing w:after="0" w:line="90" w:lineRule="exact"/>
        <w:rPr>
          <w:sz w:val="20"/>
          <w:szCs w:val="20"/>
          <w:color w:val="auto"/>
        </w:rPr>
      </w:pPr>
    </w:p>
    <w:p>
      <w:pPr>
        <w:ind w:left="780" w:hanging="326"/>
        <w:spacing w:after="0"/>
        <w:tabs>
          <w:tab w:leader="none" w:pos="7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partnership, or other entity created or organized in or under the laws of the United States, any of its states or the District of Columbia;</w:t>
      </w:r>
    </w:p>
    <w:p>
      <w:pPr>
        <w:spacing w:after="0" w:line="113"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90" w:lineRule="exact"/>
        <w:rPr>
          <w:rFonts w:ascii="Times New Roman" w:cs="Times New Roman" w:eastAsia="Times New Roman" w:hAnsi="Times New Roman"/>
          <w:sz w:val="18"/>
          <w:szCs w:val="18"/>
          <w:color w:val="auto"/>
        </w:rPr>
      </w:pPr>
    </w:p>
    <w:p>
      <w:pPr>
        <w:ind w:left="780" w:right="140" w:hanging="326"/>
        <w:spacing w:after="0" w:line="258" w:lineRule="auto"/>
        <w:tabs>
          <w:tab w:leader="none" w:pos="7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70"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and Other Taxable U.S. Shareholder Distributions. </w:t>
      </w:r>
      <w:r>
        <w:rPr>
          <w:rFonts w:ascii="Times New Roman" w:cs="Times New Roman" w:eastAsia="Times New Roman" w:hAnsi="Times New Roman"/>
          <w:sz w:val="16"/>
          <w:szCs w:val="16"/>
          <w:color w:val="auto"/>
        </w:rPr>
        <w:t>As long as we qualify as a REIT, a taxable U.S. shareholder must take into account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distributions on our common and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9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41" w:lineRule="exact"/>
        <w:rPr>
          <w:sz w:val="20"/>
          <w:szCs w:val="20"/>
          <w:color w:val="auto"/>
        </w:rPr>
      </w:pPr>
    </w:p>
    <w:p>
      <w:pPr>
        <w:ind w:right="220" w:firstLine="456"/>
        <w:spacing w:after="0" w:line="301" w:lineRule="auto"/>
        <w:rPr>
          <w:sz w:val="20"/>
          <w:szCs w:val="20"/>
          <w:color w:val="auto"/>
        </w:rPr>
      </w:pPr>
      <w:r>
        <w:rPr>
          <w:rFonts w:ascii="Times New Roman" w:cs="Times New Roman" w:eastAsia="Times New Roman" w:hAnsi="Times New Roman"/>
          <w:sz w:val="16"/>
          <w:szCs w:val="16"/>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0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3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39" w:lineRule="exact"/>
        <w:rPr>
          <w:sz w:val="20"/>
          <w:szCs w:val="20"/>
          <w:color w:val="auto"/>
        </w:rPr>
      </w:pPr>
    </w:p>
    <w:p>
      <w:pPr>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who is not a dealer in securities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 any gain or loss realized upon a taxable disposition of the common or preferred shares as long-term capital gain or loss if the taxable U.S. shareholder has held its shares for more than one year and otherwise as short-term capital gain or loss. However, a taxable U.S. shareholder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9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4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4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3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Proposed Treasury Regulations would, if adopted, alter the method for recovering a taxable U.S. shareholder’s adjusted tax basis in any of our shares redeemed in a dividend equivalent redemption. Under the Proposed Treasury Regulations, a holder would be treated as realizing a capital loss on the date of the dividend equivalent redemption equal to the adjusted tax basis of the shares redeemed, subject to adjustments. The recognition of such loss would generally be deferred until the occurrence of specified events, such as, for example, the holder’s ceasing to actually or constructively own any shares. There can be no assurance that the Proposed Treasury Regulations will be adopted, or that they will be adopted in their current form.</w:t>
      </w:r>
    </w:p>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39"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7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provided in the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If a nonqualifying adjustment were made, the holders of preferred shares might be deemed to have received a taxable stock dividend.</w:t>
      </w:r>
    </w:p>
    <w:p>
      <w:pPr>
        <w:spacing w:after="0" w:line="13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15% for taxable years beginning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57" w:lineRule="exact"/>
        <w:rPr>
          <w:sz w:val="20"/>
          <w:szCs w:val="20"/>
          <w:color w:val="auto"/>
        </w:rPr>
      </w:pPr>
    </w:p>
    <w:p>
      <w:pPr>
        <w:ind w:left="780" w:hanging="326"/>
        <w:spacing w:after="0"/>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90"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60" w:hanging="326"/>
        <w:spacing w:after="0" w:line="275" w:lineRule="auto"/>
        <w:tabs>
          <w:tab w:leader="none" w:pos="7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Without legislation, the maximum tax rate on long-term capital gains will increase to 20% in 2011, and qualified dividend income will no longer be taxed at a preferential rate compared to ordinary income.</w:t>
      </w:r>
    </w:p>
    <w:p>
      <w:pPr>
        <w:spacing w:after="0" w:line="116" w:lineRule="exact"/>
        <w:rPr>
          <w:sz w:val="20"/>
          <w:szCs w:val="20"/>
          <w:color w:val="auto"/>
        </w:rPr>
      </w:pPr>
    </w:p>
    <w:p>
      <w:pPr>
        <w:ind w:right="60" w:firstLine="456"/>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Information Reporting and Backup Withholding. </w:t>
      </w:r>
      <w:r>
        <w:rPr>
          <w:rFonts w:ascii="Times New Roman" w:cs="Times New Roman" w:eastAsia="Times New Roman" w:hAnsi="Times New Roman"/>
          <w:sz w:val="16"/>
          <w:szCs w:val="16"/>
          <w:color w:val="auto"/>
        </w:rPr>
        <w:t>We will report to our shareholders and to the IRS the amount of dividends we pay during each calendar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64" w:lineRule="exact"/>
        <w:rPr>
          <w:sz w:val="20"/>
          <w:szCs w:val="20"/>
          <w:color w:val="auto"/>
        </w:rPr>
      </w:pPr>
    </w:p>
    <w:p>
      <w:pPr>
        <w:ind w:left="780" w:hanging="326"/>
        <w:spacing w:after="0"/>
        <w:tabs>
          <w:tab w:leader="none" w:pos="7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9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8" w:lineRule="exact"/>
        <w:rPr>
          <w:rFonts w:ascii="Times New Roman" w:cs="Times New Roman" w:eastAsia="Times New Roman" w:hAnsi="Times New Roman"/>
          <w:sz w:val="18"/>
          <w:szCs w:val="18"/>
          <w:color w:val="auto"/>
        </w:rPr>
      </w:pPr>
    </w:p>
    <w:p>
      <w:pPr>
        <w:ind w:left="780" w:right="620" w:hanging="326"/>
        <w:spacing w:after="0" w:line="275" w:lineRule="auto"/>
        <w:tabs>
          <w:tab w:leader="none" w:pos="7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132" w:lineRule="exact"/>
        <w:rPr>
          <w:sz w:val="20"/>
          <w:szCs w:val="20"/>
          <w:color w:val="auto"/>
        </w:rPr>
      </w:pPr>
    </w:p>
    <w:p>
      <w:pPr>
        <w:ind w:right="80" w:firstLine="456"/>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Ordinary Dividends</w:t>
      </w:r>
      <w:r>
        <w:rPr>
          <w:rFonts w:ascii="Times New Roman" w:cs="Times New Roman" w:eastAsia="Times New Roman" w:hAnsi="Times New Roman"/>
          <w:sz w:val="16"/>
          <w:szCs w:val="16"/>
          <w:color w:val="auto"/>
        </w:rPr>
        <w:t>. A non-U.S. shareholder that receives a distribution that is not attributable to gain from our sale or exchange of U.S. real property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33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 profits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38"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Capital Gain Dividends</w:t>
      </w:r>
      <w:r>
        <w:rPr>
          <w:rFonts w:ascii="Times New Roman" w:cs="Times New Roman" w:eastAsia="Times New Roman" w:hAnsi="Times New Roman"/>
          <w:sz w:val="18"/>
          <w:szCs w:val="18"/>
          <w:color w:val="auto"/>
        </w:rPr>
        <w:t>. Provided that a particular class of our shares is “regularly traded” on an established securities market in the United States,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13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41"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8" w:lineRule="exact"/>
        <w:rPr>
          <w:sz w:val="20"/>
          <w:szCs w:val="20"/>
          <w:color w:val="auto"/>
        </w:rPr>
      </w:pPr>
    </w:p>
    <w:p>
      <w:pPr>
        <w:ind w:right="100" w:firstLine="456"/>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Sale of Shares</w:t>
      </w:r>
      <w:r>
        <w:rPr>
          <w:rFonts w:ascii="Times New Roman" w:cs="Times New Roman" w:eastAsia="Times New Roman" w:hAnsi="Times New Roman"/>
          <w:sz w:val="16"/>
          <w:szCs w:val="16"/>
          <w:color w:val="auto"/>
        </w:rPr>
        <w:t>. A non-U.S. shareholder generally will not incur tax under FIRPTA on gain from the sale of its common or preferred shares as long as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1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32"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color w:val="auto"/>
        </w:rPr>
        <w:t>. We must report annually to the IRS and to each non-U.S. shareholder the amount of distributions paid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Backup withholding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58" w:lineRule="exact"/>
        <w:rPr>
          <w:sz w:val="20"/>
          <w:szCs w:val="20"/>
          <w:color w:val="auto"/>
        </w:rPr>
      </w:pPr>
    </w:p>
    <w:p>
      <w:pPr>
        <w:ind w:left="780" w:hanging="326"/>
        <w:spacing w:after="0"/>
        <w:tabs>
          <w:tab w:leader="none" w:pos="7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(a foreign corporation controlled by certain U.S. shareholders) for U.S. tax purposes; or</w:t>
      </w:r>
    </w:p>
    <w:p>
      <w:pPr>
        <w:spacing w:after="0" w:line="9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 are held by U.S. persons or if it is engaged in the conduct of a trade or business in the U.S.,</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Consequences</w:t>
      </w:r>
    </w:p>
    <w:p>
      <w:pPr>
        <w:spacing w:after="0" w:line="88" w:lineRule="exact"/>
        <w:rPr>
          <w:sz w:val="20"/>
          <w:szCs w:val="20"/>
          <w:color w:val="auto"/>
        </w:rPr>
      </w:pPr>
    </w:p>
    <w:p>
      <w:pPr>
        <w:jc w:val="both"/>
        <w:ind w:right="2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State and Local Taxes</w:t>
      </w:r>
      <w:r>
        <w:rPr>
          <w:rFonts w:ascii="Times New Roman" w:cs="Times New Roman" w:eastAsia="Times New Roman" w:hAnsi="Times New Roman"/>
          <w:sz w:val="16"/>
          <w:szCs w:val="16"/>
          <w:color w:val="auto"/>
        </w:rPr>
        <w:t>. We and/or you may be subject to state and local tax in various states and localities, including those states and localities in which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90" w:lineRule="exact"/>
        <w:rPr>
          <w:sz w:val="20"/>
          <w:szCs w:val="20"/>
          <w:color w:val="auto"/>
        </w:rPr>
      </w:pPr>
    </w:p>
    <w:p>
      <w:pPr>
        <w:ind w:left="780" w:right="460" w:hanging="326"/>
        <w:spacing w:after="0" w:line="275" w:lineRule="auto"/>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171"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32" w:lineRule="exact"/>
        <w:rPr>
          <w:sz w:val="20"/>
          <w:szCs w:val="20"/>
          <w:color w:val="auto"/>
        </w:rPr>
      </w:pPr>
    </w:p>
    <w:p>
      <w:pPr>
        <w:jc w:val="both"/>
        <w:ind w:right="10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39"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38"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and the Series B preferred shares, each of which are quoted on The New York Stock Exchange). No assurance can be given as to the liquidity of the trading market for any such securities.</w:t>
      </w:r>
    </w:p>
    <w:p>
      <w:pPr>
        <w:spacing w:after="0" w:line="132"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45"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The validity of the offered securities and the accuracy of the discussion under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Pursuant to the Securities Act of 1933 and the rules promulgated thereunder, we are required to, and have incorporated into this registration statement our Annual Report on Form 10-K for the year ended December 31, 2005.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2005,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2005 Form 10-K are incorporated by reference in reliance on Grant Thornton LLP’s report, given on their authority as experts in accounting and auditing.</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 xml:space="preserve">We file annual, quarterly and special reports, proxy statements and other information with the SEC. Our SEC filings are available to the public at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You may also read and copy any document we file at the SEC’s Public Reference Room at 100 F Street, N.E., Washington, D.C. 20549.</w:t>
      </w:r>
    </w:p>
    <w:p>
      <w:pPr>
        <w:spacing w:after="0" w:line="74"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3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31" w:lineRule="exact"/>
        <w:rPr>
          <w:sz w:val="20"/>
          <w:szCs w:val="20"/>
          <w:color w:val="auto"/>
        </w:rPr>
      </w:pPr>
    </w:p>
    <w:p>
      <w:pPr>
        <w:ind w:left="780" w:hanging="326"/>
        <w:spacing w:after="0"/>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2005;</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February 23,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February 28,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March 10,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shares contained in the Registration Statement on Form 8-A/A, filed June 6, 2002;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140" w:hanging="326"/>
        <w:spacing w:after="0" w:line="262" w:lineRule="auto"/>
        <w:tabs>
          <w:tab w:leader="none" w:pos="7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3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 xml:space="preserve">Copies of these filings are available at no cost at our website,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direct your request to:</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Andrew P. Blocher</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Vice President, Capital Markets and Investor Relations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1626 E. Jefferson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 998-8100 or (301) 658-8980</w:t>
      </w:r>
    </w:p>
    <w:p>
      <w:pPr>
        <w:spacing w:after="0" w:line="15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32406B"/>
        </w:rPr>
        <w:t>$135,000,000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219710</wp:posOffset>
            </wp:positionV>
            <wp:extent cx="2143760" cy="814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32406B"/>
        </w:rPr>
        <w:t>5.40% Notes due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1265555</wp:posOffset>
            </wp:positionV>
            <wp:extent cx="15347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32406B"/>
        </w:rPr>
        <w:t>PROSPECTUS SUPPLEMENT</w:t>
      </w:r>
    </w:p>
    <w:p>
      <w:pPr>
        <w:spacing w:after="0" w:line="11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32406B"/>
        </w:rPr>
        <w:t>November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213360</wp:posOffset>
            </wp:positionV>
            <wp:extent cx="15347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Wachovia Securities</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Citigroup</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Bear, Stearns &amp; Co. Inc.</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Banc of America Securities LLC</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Commerzbank Corporates &amp; Markets</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JPMorgan</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Piper Jaffray</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PNC Capital Markets LLC</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SunTrust Robinson Humphrey</w:t>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
      <w:numFmt w:val="bullet"/>
      <w:start w:val="1"/>
    </w:lvl>
    <w:lvl w:ilvl="1">
      <w:lvlJc w:val="left"/>
      <w:lvlText w:val="•"/>
      <w:numFmt w:val="bullet"/>
      <w:start w:val="1"/>
    </w:lvl>
  </w:abstractNum>
  <w:abstractNum w:abstractNumId="2">
    <w:nsid w:val="1D4ED43B"/>
    <w:multiLevelType w:val="hybridMultilevel"/>
    <w:lvl w:ilvl="0">
      <w:lvlJc w:val="left"/>
      <w:lvlText w:val="(%1)"/>
      <w:numFmt w:val="decimal"/>
      <w:start w:val="2"/>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lvl w:ilvl="1">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lvl w:ilvl="1">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4"/>
    </w:lvl>
    <w:lvl w:ilvl="1">
      <w:lvlJc w:val="left"/>
      <w:lvlText w:val="(%2)"/>
      <w:numFmt w:val="lowerLetter"/>
      <w:start w:val="1"/>
    </w:lvl>
  </w:abstractNum>
  <w:abstractNum w:abstractNumId="32">
    <w:nsid w:val="47398C89"/>
    <w:multiLevelType w:val="hybridMultilevel"/>
    <w:lvl w:ilvl="0">
      <w:lvlJc w:val="left"/>
      <w:lvlText w:val="%1."/>
      <w:numFmt w:val="decimal"/>
      <w:start w:val="7"/>
    </w:lvl>
    <w:lvl w:ilvl="1">
      <w:lvlJc w:val="left"/>
      <w:lvlText w:val="(%2)"/>
      <w:numFmt w:val="lowerLetter"/>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lvl w:ilvl="1">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lvl w:ilvl="1">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lvl w:ilvl="1">
      <w:lvlJc w:val="left"/>
      <w:lvlText w:val="•"/>
      <w:numFmt w:val="bullet"/>
      <w:start w:val="1"/>
    </w:lvl>
  </w:abstractNum>
  <w:abstractNum w:abstractNumId="74">
    <w:nsid w:val="3B0FD379"/>
    <w:multiLevelType w:val="hybridMultilevel"/>
    <w:lvl w:ilvl="0">
      <w:lvlJc w:val="left"/>
      <w:lvlText w:val="(%1)"/>
      <w:numFmt w:val="lowerRoman"/>
      <w:start w:val="2"/>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2019-12-11T17:35:26Z</dcterms:created>
  <dcterms:modified xsi:type="dcterms:W3CDTF">2019-12-11T17:35:26Z</dcterms:modified>
</cp:coreProperties>
</file>