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December 31, 2015</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On February 9, 2016, Federal Realty Investment Trust issued supplemental data pertaining to its operations, as well as a press release, to report its financial results for the quarter ended December 31, 2015.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2015 (including press release dated February 9, 2016)</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20" w:val="left"/>
          <w:tab w:leader="none" w:pos="47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February 9, 2016</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December 31, 2015</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Fourth Quarter and Full Year 2015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FF"/>
                <w:w w:val="79"/>
              </w:rPr>
            </w:pPr>
            <w:hyperlink w:anchor="page14">
              <w:r>
                <w:rPr>
                  <w:rFonts w:ascii="Arial" w:cs="Arial" w:eastAsia="Arial" w:hAnsi="Arial"/>
                  <w:sz w:val="18"/>
                  <w:szCs w:val="18"/>
                  <w:color w:val="0000FF"/>
                  <w:w w:val="79"/>
                </w:rPr>
                <w:t>12</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FF"/>
                <w:w w:val="79"/>
              </w:rPr>
            </w:pPr>
            <w:hyperlink w:anchor="page15">
              <w:r>
                <w:rPr>
                  <w:rFonts w:ascii="Arial" w:cs="Arial" w:eastAsia="Arial" w:hAnsi="Arial"/>
                  <w:sz w:val="18"/>
                  <w:szCs w:val="18"/>
                  <w:color w:val="0000FF"/>
                  <w:w w:val="79"/>
                </w:rPr>
                <w:t>13</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7">
              <w:r>
                <w:rPr>
                  <w:rFonts w:ascii="Arial" w:cs="Arial" w:eastAsia="Arial" w:hAnsi="Arial"/>
                  <w:sz w:val="18"/>
                  <w:szCs w:val="18"/>
                  <w:color w:val="0000FF"/>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18">
              <w:r>
                <w:rPr>
                  <w:rFonts w:ascii="Arial" w:cs="Arial" w:eastAsia="Arial" w:hAnsi="Arial"/>
                  <w:sz w:val="18"/>
                  <w:szCs w:val="18"/>
                  <w:color w:val="0000FF"/>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Pike &amp; Rose and Assembly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Significant Acquisitions and Dispositions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20</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7">
              <w:r>
                <w:rPr>
                  <w:rFonts w:ascii="Arial" w:cs="Arial" w:eastAsia="Arial" w:hAnsi="Arial"/>
                  <w:sz w:val="18"/>
                  <w:szCs w:val="18"/>
                  <w:color w:val="0000FF"/>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14</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2">
              <w:r>
                <w:rPr>
                  <w:rFonts w:ascii="Arial" w:cs="Arial" w:eastAsia="Arial" w:hAnsi="Arial"/>
                  <w:sz w:val="18"/>
                  <w:szCs w:val="18"/>
                  <w:color w:val="0000FF"/>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FF"/>
                <w:w w:val="79"/>
              </w:rPr>
            </w:pPr>
            <w:hyperlink w:anchor="page33">
              <w:r>
                <w:rPr>
                  <w:rFonts w:ascii="Arial" w:cs="Arial" w:eastAsia="Arial" w:hAnsi="Arial"/>
                  <w:sz w:val="18"/>
                  <w:szCs w:val="18"/>
                  <w:color w:val="0000FF"/>
                  <w:w w:val="79"/>
                </w:rPr>
                <w:t>31</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9, 2016,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9, 2016.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96"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92"/>
        </w:trPr>
        <w:tc>
          <w:tcPr>
            <w:tcW w:w="1380" w:type="dxa"/>
            <w:vAlign w:val="bottom"/>
          </w:tcPr>
          <w:p>
            <w:pPr>
              <w:spacing w:after="0"/>
              <w:rPr>
                <w:sz w:val="20"/>
                <w:szCs w:val="20"/>
                <w:color w:val="auto"/>
              </w:rPr>
            </w:pPr>
            <w:r>
              <w:rPr>
                <w:rFonts w:ascii="Arial" w:cs="Arial" w:eastAsia="Arial" w:hAnsi="Arial"/>
                <w:sz w:val="18"/>
                <w:szCs w:val="18"/>
                <w:i w:val="1"/>
                <w:iCs w:val="1"/>
                <w:color w:val="auto"/>
                <w:w w:val="99"/>
              </w:rPr>
              <w:t>Investor Inquiries</w:t>
            </w:r>
          </w:p>
        </w:tc>
        <w:tc>
          <w:tcPr>
            <w:tcW w:w="1160" w:type="dxa"/>
            <w:vAlign w:val="bottom"/>
            <w:gridSpan w:val="2"/>
          </w:tcPr>
          <w:p>
            <w:pPr>
              <w:spacing w:after="0"/>
              <w:rPr>
                <w:sz w:val="24"/>
                <w:szCs w:val="24"/>
                <w:color w:val="auto"/>
              </w:rPr>
            </w:pPr>
          </w:p>
        </w:tc>
        <w:tc>
          <w:tcPr>
            <w:tcW w:w="3320" w:type="dxa"/>
            <w:vAlign w:val="bottom"/>
            <w:gridSpan w:val="4"/>
          </w:tcPr>
          <w:p>
            <w:pPr>
              <w:ind w:left="280"/>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1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36"/>
        </w:trPr>
        <w:tc>
          <w:tcPr>
            <w:tcW w:w="1380" w:type="dxa"/>
            <w:vAlign w:val="bottom"/>
          </w:tcPr>
          <w:p>
            <w:pPr>
              <w:spacing w:after="0"/>
              <w:rPr>
                <w:sz w:val="20"/>
                <w:szCs w:val="20"/>
                <w:color w:val="auto"/>
              </w:rPr>
            </w:pPr>
            <w:r>
              <w:rPr>
                <w:rFonts w:ascii="Arial" w:cs="Arial" w:eastAsia="Arial" w:hAnsi="Arial"/>
                <w:sz w:val="18"/>
                <w:szCs w:val="18"/>
                <w:color w:val="auto"/>
              </w:rPr>
              <w:t>Leah Andress</w:t>
            </w:r>
          </w:p>
        </w:tc>
        <w:tc>
          <w:tcPr>
            <w:tcW w:w="1160" w:type="dxa"/>
            <w:vAlign w:val="bottom"/>
            <w:gridSpan w:val="2"/>
          </w:tcPr>
          <w:p>
            <w:pPr>
              <w:spacing w:after="0"/>
              <w:rPr>
                <w:sz w:val="20"/>
                <w:szCs w:val="20"/>
                <w:color w:val="auto"/>
              </w:rPr>
            </w:pPr>
          </w:p>
        </w:tc>
        <w:tc>
          <w:tcPr>
            <w:tcW w:w="3320" w:type="dxa"/>
            <w:vAlign w:val="bottom"/>
            <w:gridSpan w:val="4"/>
          </w:tcPr>
          <w:p>
            <w:pPr>
              <w:ind w:left="240"/>
              <w:spacing w:after="0"/>
              <w:rPr>
                <w:sz w:val="20"/>
                <w:szCs w:val="20"/>
                <w:color w:val="auto"/>
              </w:rPr>
            </w:pPr>
            <w:r>
              <w:rPr>
                <w:rFonts w:ascii="Arial" w:cs="Arial" w:eastAsia="Arial" w:hAnsi="Arial"/>
                <w:sz w:val="18"/>
                <w:szCs w:val="18"/>
                <w:color w:val="auto"/>
              </w:rPr>
              <w:t>Andrea Simpson</w:t>
            </w: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Investor Relations Associate</w:t>
            </w:r>
          </w:p>
        </w:tc>
        <w:tc>
          <w:tcPr>
            <w:tcW w:w="280" w:type="dxa"/>
            <w:vAlign w:val="bottom"/>
          </w:tcPr>
          <w:p>
            <w:pPr>
              <w:spacing w:after="0"/>
              <w:rPr>
                <w:sz w:val="18"/>
                <w:szCs w:val="18"/>
                <w:color w:val="auto"/>
              </w:rPr>
            </w:pPr>
          </w:p>
        </w:tc>
        <w:tc>
          <w:tcPr>
            <w:tcW w:w="3040" w:type="dxa"/>
            <w:vAlign w:val="bottom"/>
            <w:gridSpan w:val="3"/>
          </w:tcPr>
          <w:p>
            <w:pPr>
              <w:ind w:left="720"/>
              <w:spacing w:after="0"/>
              <w:rPr>
                <w:sz w:val="20"/>
                <w:szCs w:val="20"/>
                <w:color w:val="auto"/>
              </w:rPr>
            </w:pPr>
            <w:r>
              <w:rPr>
                <w:rFonts w:ascii="Arial" w:cs="Arial" w:eastAsia="Arial" w:hAnsi="Arial"/>
                <w:sz w:val="18"/>
                <w:szCs w:val="18"/>
                <w:color w:val="auto"/>
              </w:rPr>
              <w:t>Director, Marketing</w:t>
            </w:r>
          </w:p>
        </w:tc>
      </w:tr>
      <w:tr>
        <w:trPr>
          <w:trHeight w:val="198"/>
        </w:trPr>
        <w:tc>
          <w:tcPr>
            <w:tcW w:w="1380" w:type="dxa"/>
            <w:vAlign w:val="bottom"/>
          </w:tcPr>
          <w:p>
            <w:pPr>
              <w:spacing w:after="0" w:line="198" w:lineRule="exact"/>
              <w:rPr>
                <w:sz w:val="20"/>
                <w:szCs w:val="20"/>
                <w:color w:val="auto"/>
              </w:rPr>
            </w:pPr>
            <w:r>
              <w:rPr>
                <w:rFonts w:ascii="Arial" w:cs="Arial" w:eastAsia="Arial" w:hAnsi="Arial"/>
                <w:sz w:val="18"/>
                <w:szCs w:val="18"/>
                <w:color w:val="auto"/>
              </w:rPr>
              <w:t>301/998-8265</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90"/>
              <w:spacing w:after="0" w:line="198" w:lineRule="exact"/>
              <w:rPr>
                <w:sz w:val="20"/>
                <w:szCs w:val="20"/>
                <w:color w:val="auto"/>
              </w:rPr>
            </w:pPr>
            <w:r>
              <w:rPr>
                <w:rFonts w:ascii="Arial" w:cs="Arial" w:eastAsia="Arial" w:hAnsi="Arial"/>
                <w:sz w:val="18"/>
                <w:szCs w:val="18"/>
                <w:color w:val="auto"/>
              </w:rPr>
              <w:t>617/684-1511</w:t>
            </w:r>
          </w:p>
        </w:tc>
        <w:tc>
          <w:tcPr>
            <w:tcW w:w="1820" w:type="dxa"/>
            <w:vAlign w:val="bottom"/>
          </w:tcPr>
          <w:p>
            <w:pPr>
              <w:spacing w:after="0"/>
              <w:rPr>
                <w:sz w:val="17"/>
                <w:szCs w:val="17"/>
                <w:color w:val="auto"/>
              </w:rPr>
            </w:pPr>
          </w:p>
        </w:tc>
      </w:tr>
      <w:tr>
        <w:trPr>
          <w:trHeight w:val="194"/>
        </w:trPr>
        <w:tc>
          <w:tcPr>
            <w:tcW w:w="224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i w:val="1"/>
                <w:iCs w:val="1"/>
                <w:color w:val="0000FF"/>
                <w:w w:val="98"/>
              </w:rPr>
              <w:t>landress@federalrealty.com</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20" w:type="dxa"/>
            <w:vAlign w:val="bottom"/>
            <w:tcBorders>
              <w:bottom w:val="single" w:sz="8" w:color="0000FF"/>
            </w:tcBorders>
            <w:gridSpan w:val="2"/>
          </w:tcPr>
          <w:p>
            <w:pPr>
              <w:spacing w:after="0" w:line="195" w:lineRule="exact"/>
              <w:rPr>
                <w:sz w:val="20"/>
                <w:szCs w:val="20"/>
                <w:color w:val="auto"/>
              </w:rPr>
            </w:pPr>
            <w:r>
              <w:rPr>
                <w:rFonts w:ascii="Arial" w:cs="Arial" w:eastAsia="Arial" w:hAnsi="Arial"/>
                <w:sz w:val="18"/>
                <w:szCs w:val="18"/>
                <w:i w:val="1"/>
                <w:iCs w:val="1"/>
                <w:color w:val="0000FF"/>
                <w:w w:val="98"/>
              </w:rPr>
              <w:t>asimpson@federalrealty.com</w:t>
            </w: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FOURTH QUARTER AND</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FULL YEAR 2015 OPERATING RESULTS</w:t>
      </w:r>
    </w:p>
    <w:p>
      <w:pPr>
        <w:spacing w:after="0" w:line="279"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 xml:space="preserve">ROCKVILLE, Md. (February 9, 2016)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fourth quarter and year ended December 31, 2015. Highlights of the quarter and year end recent activity include:</w:t>
      </w:r>
    </w:p>
    <w:p>
      <w:pPr>
        <w:spacing w:after="0" w:line="292" w:lineRule="exact"/>
        <w:rPr>
          <w:sz w:val="20"/>
          <w:szCs w:val="20"/>
          <w:color w:val="auto"/>
        </w:rPr>
      </w:pPr>
    </w:p>
    <w:p>
      <w:pPr>
        <w:ind w:left="660" w:right="18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per diluted share of $1.37 for the quarter, an increase of 7.0% over fourth quarter 2014. For the year, generated FFO per diluted share (excluding prepayment premiums) of $5.32, an increase of 7.7% over 2014.</w:t>
      </w:r>
    </w:p>
    <w:p>
      <w:pPr>
        <w:ind w:left="660" w:right="40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same center property operating income growth of 3.8% for the year (or 2.4% when properties under redevelopment are excluded). For the fourth quarter, same center growth was 2.6% (or 1.0% when properties under redevelopment are excluded), reflecting lower occupancy due to the recapture of significant anchor spaces in the same center pool.</w:t>
      </w:r>
    </w:p>
    <w:p>
      <w:pPr>
        <w:ind w:left="660" w:right="40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Realty’s same-center portfolio was 95.4% leased on December 31, 2015, compared to 96.0% on September 30, 2015 and 96.5% on December 31, 2014.</w:t>
      </w:r>
    </w:p>
    <w:p>
      <w:pPr>
        <w:ind w:left="660" w:righ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380,714 sf of comparable space at an average rent of $31.88 psf and achieved cash basis rollover growth on comparable spaces of 23%.</w:t>
      </w:r>
    </w:p>
    <w:p>
      <w:pPr>
        <w:ind w:left="660" w:right="20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Sold Courtyard Shops in Wellington, Florida, for $52.8 million and, subsequent to year-end, acquired our JV partner’s 70% interest in our unconsolidated real estate partnership for $153.7 million.</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Affirmed 2016 FFO per diluted share guidance range of $5.65 to $5.71.</w:t>
      </w:r>
    </w:p>
    <w:p>
      <w:pPr>
        <w:spacing w:after="0" w:line="320"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“The fourth quarter and the full year represented yet another record for the Trust in terms of FFO per share” commented Donald C. Wood, President and Chief Executive Officer of Federal Realty. “We are excited about the opportunity to gain control of below market anchor space within the core portfolio and drive value through redevelopment and releasing. In addition, with the first phases of our mixed use developments delivering and the next phases well underway, infill acquisitions that will drive future growth opportunities, and strong leasing and rollover results, we continue to drive successfully all facets of our long term strategic plan.”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 YEAR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In the fourth quarter 2015, Federal Realty generated funds from operations available for common shareholders (FFO) of $96.5 million, or $1.37 per diluted share. This compares to FFO of $77.7 million, or $1.13 per diluted share, in fourth quarter 2014. Excluding the early extinguishment of debt charge in fourth quarter 2014, FFO per diluted share was $1.28. For the full year 2015, Federal Realty reported FFO of $352.9 million, or $5.05 per diluted share, which includes the early extinguishment of debt. Excluding the early extinguishment of debt charges in both years, FFO would have been $371.9 million, or $5.32 per diluted share in 2015, compared to $338.1 million, or $4.94 per diluted share in 2014.</w:t>
      </w:r>
    </w:p>
    <w:p>
      <w:pPr>
        <w:spacing w:after="0" w:line="298"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$67.8 million and earnings per diluted share was $0.97 for fourth quarter 2015 versus $35.0 million and $0.51, respectively, for fourth quarter 2014. For the full year 2015, Federal Realty reported net income available for common shareholders of $209.7 million and earnings per diluted share of $3.03. This compares to net income available for common shareholders of $164.0 million and earnings per diluted share of $2.41 for the full year 2014.</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 in addition to Form 8-K that was filed.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04" w:lineRule="exact"/>
        <w:rPr>
          <w:sz w:val="20"/>
          <w:szCs w:val="20"/>
          <w:color w:val="auto"/>
        </w:rPr>
      </w:pPr>
    </w:p>
    <w:p>
      <w:pPr>
        <w:jc w:val="both"/>
        <w:spacing w:after="0" w:line="372" w:lineRule="auto"/>
        <w:rPr>
          <w:sz w:val="20"/>
          <w:szCs w:val="20"/>
          <w:color w:val="auto"/>
        </w:rPr>
      </w:pPr>
      <w:r>
        <w:rPr>
          <w:rFonts w:ascii="Arial" w:cs="Arial" w:eastAsia="Arial" w:hAnsi="Arial"/>
          <w:sz w:val="18"/>
          <w:szCs w:val="18"/>
          <w:color w:val="auto"/>
        </w:rPr>
        <w:t xml:space="preserve">Same-center property operating income for full year 2015 </w:t>
      </w:r>
      <w:r>
        <w:rPr>
          <w:rFonts w:ascii="Arial" w:cs="Arial" w:eastAsia="Arial" w:hAnsi="Arial"/>
          <w:sz w:val="18"/>
          <w:szCs w:val="18"/>
          <w:b w:val="1"/>
          <w:bCs w:val="1"/>
          <w:color w:val="auto"/>
        </w:rPr>
        <w:t>i</w:t>
      </w:r>
      <w:r>
        <w:rPr>
          <w:rFonts w:ascii="Arial" w:cs="Arial" w:eastAsia="Arial" w:hAnsi="Arial"/>
          <w:sz w:val="18"/>
          <w:szCs w:val="18"/>
          <w:color w:val="auto"/>
        </w:rPr>
        <w:t>ncreased 3.8% including redevelopments and expansions, and 2.4% excluding redevelopments and expansions compared to 2014</w:t>
      </w:r>
      <w:r>
        <w:rPr>
          <w:rFonts w:ascii="Arial" w:cs="Arial" w:eastAsia="Arial" w:hAnsi="Arial"/>
          <w:sz w:val="18"/>
          <w:szCs w:val="18"/>
          <w:color w:val="FF0000"/>
        </w:rPr>
        <w:t>.</w:t>
      </w:r>
      <w:r>
        <w:rPr>
          <w:rFonts w:ascii="Arial" w:cs="Arial" w:eastAsia="Arial" w:hAnsi="Arial"/>
          <w:sz w:val="18"/>
          <w:szCs w:val="18"/>
          <w:color w:val="auto"/>
        </w:rPr>
        <w:t xml:space="preserve"> On a quarterly-basis, same-center property operating income in fourth quarter 2015 increased 2.6% including redevelopment and expansion properties, and 1.0% excluding redevelopment and expansion properties, which reflects lower occupancy due to the recapture of significant anchor spaces in the same center pool.</w:t>
      </w:r>
    </w:p>
    <w:p>
      <w:pPr>
        <w:spacing w:after="0" w:line="197"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94.3% leased as of December 31, 2015, compared to 95.5% on September 30, 2015 and 95.6% on December 31, 2014. Federal Realty’s same-center portfolio was 95.4% leased on December 31, 2015, compared to 96.0% on September 30, 2015 and 96.5% on December 31, 2014.</w:t>
      </w:r>
    </w:p>
    <w:p>
      <w:pPr>
        <w:spacing w:after="0" w:line="18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During fourth quarter 2015, the Trust signed 99 leases for 439,061 square feet of retail space</w:t>
      </w:r>
      <w:r>
        <w:rPr>
          <w:rFonts w:ascii="Arial" w:cs="Arial" w:eastAsia="Arial" w:hAnsi="Arial"/>
          <w:sz w:val="18"/>
          <w:szCs w:val="18"/>
          <w:color w:val="FF0000"/>
        </w:rPr>
        <w:t>.</w:t>
      </w:r>
      <w:r>
        <w:rPr>
          <w:rFonts w:ascii="Arial" w:cs="Arial" w:eastAsia="Arial" w:hAnsi="Arial"/>
          <w:sz w:val="18"/>
          <w:szCs w:val="18"/>
          <w:color w:val="auto"/>
        </w:rPr>
        <w:t xml:space="preserv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380,714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23%. The average contractual rent on this comparable space for the first year of the new lease is $31.88 per square foot compared to the average contractual rent of $26.00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35% for fourth quarter 2015.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 YEAR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79"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For all of 2015, Federal Realty signed 316 leases representing 1.4 million square feet of comparable retail space at an average cash-basis contractual rent increase per square foot of 17%, and 29% on a GAAP-basis. The average cash-basis contractual rent on this comparable space for the first year of the new lease is $30.90 per square foot compared to the average cash-basis contractual rent of $26.32 per square foot for the last year of the prior lease. As of December 31, 2015, Federal Realty’s average contractual minimum rent for retail and commercial space in its portfolio is $26.28 per square foot, as compared to $25.59 per square foot on December 31, 2014.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ind w:left="660" w:right="18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October 1, 2015 - Federal Realty acquired an 85% interest in The Shops at Sunset Place, a 515,000-square-foot mixed-use center in South Miami, Florida, based on a gross value of $110.2 million. The transaction includes the assumption of an existing $70.8 million mortgage with an interest rate of 5.6 percent and maturity date of September 2020.</w:t>
      </w:r>
    </w:p>
    <w:p>
      <w:pPr>
        <w:ind w:left="660" w:right="20" w:hanging="328"/>
        <w:spacing w:after="0" w:line="3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November 19, 2015 - Federal Realty closed on the sale of Courtyard Shops, a grocery anchored shopping center located in Wellington, Florida for $52.8 million and realized a gain of $16.8 million.</w:t>
      </w:r>
    </w:p>
    <w:p>
      <w:pPr>
        <w:ind w:left="660" w:hanging="328"/>
        <w:spacing w:after="0" w:line="3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January 13, 2016 - Federal Realty acquired the 70% interest owned by affiliates of a discretionary fund advised by Clarion Partners in a joint venture that owns six neighborhood and community centers. Federal Realty purchased the 70% interest in the venture for $153.7 million, consisting of $130 million of cash and assumption of the allocable share of mortgage debt. With this acquisition, Federal Realty successfully concluded the venture that was formed in 2004 and increased its ownership of the 820,000 square foot portfolio from 30% to 100%. The portfolio includes two properties near Boston, Massachusetts (Atlantic Plaza and Campus Plaza); one asset in the New York Metro region (Greenlawn Plaza on Long Island) and three centers in the Washington DC market (Free State Shopping Center and Plaza del Mercado in Suburban Maryland, and Barcroft Plaza in Northern Virginia).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$0.94 per share on its common shares, resulting in an indicated annual rate of $3.76 per share. The regular common dividend will be payable on April 15, 2016 to common shareholders of record on March 18,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We have affirmed our 2016 guidance for FFO per diluted share of $5.65 to $5.71, and updated our earnings per diluted share guidance to $3.47 to $3.54.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fourth quarter and year-end 2015 earnings conference call, which is scheduled for February 10, 2016, at 11 a.m.</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 YEAR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374"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 xml:space="preserve">Eastern Standard Time. To participate, please call (877) 445-3230 five to ten minutes prior to the call start time and use the passcode 20889236 (required). Federal Realty will also provide an online webcast on the Company’s website,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February 17, 2016 by dialing (855) 859-2056 and using the passcode 20889236.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ind w:right="60"/>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90 properties include over 2,700 tenants, in approximately 21 million square feet, and over 1,700 residential units.</w:t>
      </w:r>
    </w:p>
    <w:p>
      <w:pPr>
        <w:spacing w:after="0" w:line="300" w:lineRule="exact"/>
        <w:rPr>
          <w:sz w:val="20"/>
          <w:szCs w:val="20"/>
          <w:color w:val="auto"/>
        </w:rPr>
      </w:pPr>
    </w:p>
    <w:p>
      <w:pPr>
        <w:ind w:right="160"/>
        <w:spacing w:after="0" w:line="365" w:lineRule="auto"/>
        <w:rPr>
          <w:sz w:val="20"/>
          <w:szCs w:val="20"/>
          <w:color w:val="auto"/>
        </w:rPr>
      </w:pPr>
      <w:r>
        <w:rPr>
          <w:rFonts w:ascii="Arial" w:cs="Arial" w:eastAsia="Arial" w:hAnsi="Arial"/>
          <w:sz w:val="18"/>
          <w:szCs w:val="18"/>
          <w:color w:val="auto"/>
        </w:rPr>
        <w:t>Federal Realty has paid quarterly dividends to its shareholders continuously since its founding in 1962, and has increased its dividend rate for 48 consecutive years, the longest record in the REIT industry. Federal Realty shares are traded on the NYSE under the symbol FRT. For additional information about Federal Realty and its properties, visit www.FederalRealty.com.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9, 2016, and include the following:</w:t>
      </w:r>
    </w:p>
    <w:p>
      <w:pPr>
        <w:spacing w:after="0" w:line="206" w:lineRule="exact"/>
        <w:rPr>
          <w:sz w:val="20"/>
          <w:szCs w:val="20"/>
          <w:color w:val="auto"/>
        </w:rPr>
      </w:pPr>
    </w:p>
    <w:p>
      <w:pPr>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ind w:left="660" w:right="20" w:hanging="328"/>
        <w:spacing w:after="0" w:line="252" w:lineRule="auto"/>
        <w:tabs>
          <w:tab w:leader="none" w:pos="6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ind w:left="660" w:hanging="328"/>
        <w:spacing w:after="0" w:line="241" w:lineRule="auto"/>
        <w:tabs>
          <w:tab w:leader="none" w:pos="6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jc w:val="both"/>
        <w:ind w:left="660" w:hanging="328"/>
        <w:spacing w:after="0" w:line="241" w:lineRule="auto"/>
        <w:tabs>
          <w:tab w:leader="none" w:pos="6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4"/>
          <w:szCs w:val="14"/>
          <w:i w:val="1"/>
          <w:iCs w:val="1"/>
          <w:color w:val="auto"/>
        </w:rPr>
      </w:pPr>
    </w:p>
    <w:p>
      <w:pPr>
        <w:ind w:left="660" w:hanging="328"/>
        <w:spacing w:after="0"/>
        <w:tabs>
          <w:tab w:leader="none" w:pos="6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i w:val="1"/>
          <w:iCs w:val="1"/>
          <w:color w:val="auto"/>
        </w:rPr>
      </w:pPr>
    </w:p>
    <w:p>
      <w:pPr>
        <w:ind w:left="660" w:hanging="328"/>
        <w:spacing w:after="0"/>
        <w:tabs>
          <w:tab w:leader="none" w:pos="6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 w:lineRule="exact"/>
        <w:rPr>
          <w:rFonts w:ascii="Arial" w:cs="Arial" w:eastAsia="Arial" w:hAnsi="Arial"/>
          <w:sz w:val="14"/>
          <w:szCs w:val="14"/>
          <w:i w:val="1"/>
          <w:iCs w:val="1"/>
          <w:color w:val="auto"/>
        </w:rPr>
      </w:pPr>
    </w:p>
    <w:p>
      <w:pPr>
        <w:jc w:val="both"/>
        <w:ind w:left="660" w:right="20" w:hanging="328"/>
        <w:spacing w:after="0" w:line="241" w:lineRule="auto"/>
        <w:tabs>
          <w:tab w:leader="none" w:pos="6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4"/>
          <w:szCs w:val="14"/>
          <w:i w:val="1"/>
          <w:iCs w:val="1"/>
          <w:color w:val="auto"/>
        </w:rPr>
      </w:pPr>
    </w:p>
    <w:p>
      <w:pPr>
        <w:jc w:val="both"/>
        <w:ind w:left="660" w:right="20" w:hanging="328"/>
        <w:spacing w:after="0" w:line="250" w:lineRule="auto"/>
        <w:tabs>
          <w:tab w:leader="none" w:pos="660"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FEDERAL REALTY INVESTMENT TRUST ANNOUNCES FOURTH QUARTER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FULL YEAR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9,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9, 2016</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8"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6"/>
                <w:szCs w:val="16"/>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24"/>
                <w:szCs w:val="24"/>
                <w:color w:val="auto"/>
              </w:rPr>
            </w:pPr>
          </w:p>
        </w:tc>
      </w:tr>
      <w:tr>
        <w:trPr>
          <w:trHeight w:val="250"/>
        </w:trPr>
        <w:tc>
          <w:tcPr>
            <w:tcW w:w="56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4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 except per share data)</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96"/>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189,200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171,634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727,812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666,322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14,758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4,390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5,010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192,507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176,377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744,012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686,090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147,593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135,417</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22,959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85,824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76,506</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32,316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46,423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174,796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170,814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116,593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104,767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443,858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415,053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75,914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71,610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300,154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271,037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(92,553)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(93,941)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1,416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1,243</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190,094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167,888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16,821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28,330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4,401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69,998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218,424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172,289</w:t>
            </w:r>
          </w:p>
        </w:tc>
      </w:tr>
      <w:tr>
        <w:trPr>
          <w:trHeight w:val="243"/>
        </w:trPr>
        <w:tc>
          <w:tcPr>
            <w:tcW w:w="5620" w:type="dxa"/>
            <w:vAlign w:val="bottom"/>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(7,754)</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210,219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164,535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67,819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35,027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209,678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163,994</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0.74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0.07</w:t>
            </w:r>
          </w:p>
        </w:tc>
      </w:tr>
      <w:tr>
        <w:trPr>
          <w:trHeight w:val="237"/>
        </w:trPr>
        <w:tc>
          <w:tcPr>
            <w:tcW w:w="5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2.42</w:t>
            </w:r>
          </w:p>
        </w:tc>
      </w:tr>
      <w:tr>
        <w:trPr>
          <w:trHeight w:val="67"/>
        </w:trPr>
        <w:tc>
          <w:tcPr>
            <w:tcW w:w="56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143"/>
        </w:trPr>
        <w:tc>
          <w:tcPr>
            <w:tcW w:w="5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30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69,272</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67,997</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68,797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67,322</w:t>
            </w:r>
          </w:p>
        </w:tc>
      </w:tr>
      <w:tr>
        <w:trPr>
          <w:trHeight w:val="217"/>
        </w:trPr>
        <w:tc>
          <w:tcPr>
            <w:tcW w:w="5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0.07</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69,456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68,179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68,981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67,492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9"/>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$485,971 and $282,303 of consolidated variable interest entities,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5,630,771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5,128,757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433,635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480,241</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6,064,406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Less accumulated depreciation and amortization (including $35,782 and $26,618 of consolidated variable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entities, respectively)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(1,574,041)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(1,467,050)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4,490,365</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4,141,948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21,046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110,402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93,291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41,546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206,732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175,235</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4,911,709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$254,241 and $187,632 of consolidated variable interest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554,442</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635,345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343,600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290,519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1,744,324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1,483,813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350,096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325,584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2,992,462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2,735,261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137,316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Preferred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Common shares and other shareholders' equity</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1,653,752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1,594,404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1,663,749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1,604,401</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118,182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88,155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1,781,931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1,692,556</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4,911,709</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9</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8"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(in thousands, except per share data)</w:t>
            </w: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9"/>
        </w:trPr>
        <w:tc>
          <w:tcPr>
            <w:tcW w:w="6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Funds from Operations available for common shareholders (FFO) (1)</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auto"/>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69,998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37,279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218,424</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172,289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(7,754)</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(16,821)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(28,330)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(4,401)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40,293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38,493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152,888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152,505</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4,222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15,026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12,391</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of joint venture real estate assets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1,555</w:t>
            </w:r>
          </w:p>
        </w:tc>
      </w:tr>
      <w:tr>
        <w:trPr>
          <w:trHeight w:val="237"/>
        </w:trPr>
        <w:tc>
          <w:tcPr>
            <w:tcW w:w="40" w:type="dxa"/>
            <w:vAlign w:val="bottom"/>
          </w:tcPr>
          <w:p>
            <w:pPr>
              <w:spacing w:after="0"/>
              <w:rPr>
                <w:sz w:val="20"/>
                <w:szCs w:val="20"/>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95,974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77,428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351,147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2"/>
              </w:rPr>
              <w:t>326,585</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(541)</w:t>
            </w: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3,398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3,027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(1,474)</w:t>
            </w:r>
          </w:p>
        </w:tc>
      </w:tr>
      <w:tr>
        <w:trPr>
          <w:trHeight w:val="237"/>
        </w:trPr>
        <w:tc>
          <w:tcPr>
            <w:tcW w:w="40" w:type="dxa"/>
            <w:vAlign w:val="bottom"/>
          </w:tcPr>
          <w:p>
            <w:pPr>
              <w:spacing w:after="0"/>
              <w:rPr>
                <w:sz w:val="20"/>
                <w:szCs w:val="20"/>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FFO</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96,474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77,745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352,857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2"/>
              </w:rPr>
              <w:t>327,597</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10,499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19,006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10,498</w:t>
            </w:r>
          </w:p>
        </w:tc>
      </w:tr>
      <w:tr>
        <w:trPr>
          <w:trHeight w:val="297"/>
        </w:trPr>
        <w:tc>
          <w:tcPr>
            <w:tcW w:w="40" w:type="dxa"/>
            <w:vAlign w:val="bottom"/>
            <w:tcBorders>
              <w:bottom w:val="single" w:sz="8" w:color="CCEEFF"/>
            </w:tcBorders>
          </w:tcPr>
          <w:p>
            <w:pPr>
              <w:spacing w:after="0"/>
              <w:rPr>
                <w:sz w:val="24"/>
                <w:szCs w:val="24"/>
                <w:color w:val="auto"/>
              </w:rPr>
            </w:pPr>
          </w:p>
        </w:tc>
        <w:tc>
          <w:tcPr>
            <w:tcW w:w="6240" w:type="dxa"/>
            <w:vAlign w:val="bottom"/>
            <w:tcBorders>
              <w:bottom w:val="single" w:sz="8" w:color="CCEEFF"/>
            </w:tcBorders>
            <w:gridSpan w:val="4"/>
          </w:tcPr>
          <w:p>
            <w:pPr>
              <w:ind w:left="340"/>
              <w:spacing w:after="0"/>
              <w:rPr>
                <w:sz w:val="20"/>
                <w:szCs w:val="20"/>
                <w:color w:val="auto"/>
              </w:rPr>
            </w:pPr>
            <w:r>
              <w:rPr>
                <w:rFonts w:ascii="Arial" w:cs="Arial" w:eastAsia="Arial" w:hAnsi="Arial"/>
                <w:sz w:val="18"/>
                <w:szCs w:val="18"/>
                <w:color w:val="auto"/>
              </w:rPr>
              <w:t>FFO excluding early extinguishment of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96,474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88,244</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371,863</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w w:val="92"/>
              </w:rPr>
              <w:t>338,095</w:t>
            </w:r>
          </w:p>
        </w:tc>
      </w:tr>
      <w:tr>
        <w:trPr>
          <w:trHeight w:val="251"/>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70,391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69,096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69,920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68,410</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4.79</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FFO excluding early extinguishment of debt, per diluted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4.94</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3"/>
        </w:trPr>
        <w:tc>
          <w:tcPr>
            <w:tcW w:w="62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Summary of Capital Expenditures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Non-maintenance capital expenditures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Development, redevelopment and expansions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58,863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61,304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239,338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283,862</w:t>
            </w:r>
          </w:p>
        </w:tc>
      </w:tr>
      <w:tr>
        <w:trPr>
          <w:trHeight w:val="243"/>
        </w:trPr>
        <w:tc>
          <w:tcPr>
            <w:tcW w:w="40" w:type="dxa"/>
            <w:vAlign w:val="bottom"/>
          </w:tcPr>
          <w:p>
            <w:pPr>
              <w:spacing w:after="0"/>
              <w:rPr>
                <w:sz w:val="21"/>
                <w:szCs w:val="21"/>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Tenant improvements and incentives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8,321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6,895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24,050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28,471</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non-maintenance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67,184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68,199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263,388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312,333</w:t>
            </w:r>
          </w:p>
        </w:tc>
      </w:tr>
      <w:tr>
        <w:trPr>
          <w:trHeight w:val="243"/>
        </w:trPr>
        <w:tc>
          <w:tcPr>
            <w:tcW w:w="40" w:type="dxa"/>
            <w:vAlign w:val="bottom"/>
          </w:tcPr>
          <w:p>
            <w:pPr>
              <w:spacing w:after="0"/>
              <w:rPr>
                <w:sz w:val="21"/>
                <w:szCs w:val="21"/>
                <w:color w:val="auto"/>
              </w:rPr>
            </w:pPr>
          </w:p>
        </w:tc>
        <w:tc>
          <w:tcPr>
            <w:tcW w:w="6240" w:type="dxa"/>
            <w:vAlign w:val="bottom"/>
            <w:gridSpan w:val="4"/>
          </w:tcPr>
          <w:p>
            <w:pPr>
              <w:ind w:left="34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10,390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8,887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19,699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18,414</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77,574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77,086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283,087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w w:val="92"/>
              </w:rPr>
              <w:t>330,747</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3"/>
        </w:trPr>
        <w:tc>
          <w:tcPr>
            <w:tcW w:w="62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Dividends and Payout Ratios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65,317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59,684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250,388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w w:val="92"/>
              </w:rPr>
              <w:t>224,190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280" w:type="dxa"/>
            <w:vAlign w:val="bottom"/>
            <w:gridSpan w:val="5"/>
          </w:tcPr>
          <w:p>
            <w:pPr>
              <w:ind w:left="40"/>
              <w:spacing w:after="0"/>
              <w:rPr>
                <w:sz w:val="20"/>
                <w:szCs w:val="20"/>
                <w:color w:val="auto"/>
              </w:rPr>
            </w:pPr>
            <w:r>
              <w:rPr>
                <w:rFonts w:ascii="Arial" w:cs="Arial" w:eastAsia="Arial" w:hAnsi="Arial"/>
                <w:sz w:val="18"/>
                <w:szCs w:val="18"/>
                <w:color w:val="auto"/>
              </w:rPr>
              <w:t>Dividend payout ratio as a percentage of FFO</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6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w w:val="97"/>
              </w:rPr>
              <w:t>Dividend payout ratio as a percentage of FFO excluding early extinguishment of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2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debt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191"/>
              <w:spacing w:after="0"/>
              <w:rPr>
                <w:sz w:val="20"/>
                <w:szCs w:val="20"/>
                <w:color w:val="auto"/>
              </w:rPr>
            </w:pPr>
            <w:r>
              <w:rPr>
                <w:rFonts w:ascii="Arial" w:cs="Arial" w:eastAsia="Arial" w:hAnsi="Arial"/>
                <w:sz w:val="14"/>
                <w:szCs w:val="14"/>
                <w:b w:val="1"/>
                <w:bCs w:val="1"/>
                <w:color w:val="auto"/>
                <w:w w:val="93"/>
              </w:rPr>
              <w:t>(in thousands, except per share data)</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Common shares outstanding and operating partnership units (1)</w:t>
            </w: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70,428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69,523</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Market price per common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146.10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133.46</w:t>
            </w:r>
          </w:p>
        </w:tc>
      </w:tr>
      <w:tr>
        <w:trPr>
          <w:trHeight w:val="237"/>
        </w:trPr>
        <w:tc>
          <w:tcPr>
            <w:tcW w:w="8580" w:type="dxa"/>
            <w:vAlign w:val="bottom"/>
          </w:tcPr>
          <w:p>
            <w:pPr>
              <w:ind w:left="6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10,289,531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9,278,540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Series 1 preferred shares outstanding (2)</w:t>
            </w: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Liquidation price per Series 1 preferred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w:t>
            </w:r>
          </w:p>
        </w:tc>
      </w:tr>
      <w:tr>
        <w:trPr>
          <w:trHeight w:val="237"/>
        </w:trPr>
        <w:tc>
          <w:tcPr>
            <w:tcW w:w="8580" w:type="dxa"/>
            <w:vAlign w:val="bottom"/>
          </w:tcPr>
          <w:p>
            <w:pPr>
              <w:ind w:left="620"/>
              <w:spacing w:after="0"/>
              <w:rPr>
                <w:sz w:val="20"/>
                <w:szCs w:val="20"/>
                <w:color w:val="auto"/>
              </w:rPr>
            </w:pPr>
            <w:r>
              <w:rPr>
                <w:rFonts w:ascii="Arial" w:cs="Arial" w:eastAsia="Arial" w:hAnsi="Arial"/>
                <w:sz w:val="18"/>
                <w:szCs w:val="18"/>
                <w:color w:val="auto"/>
              </w:rPr>
              <w:t>Series 1 preferred equity market capitalization</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Equity market capitalization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10,299,531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9,288,540</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(3)</w:t>
            </w: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2,642,366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2,409,677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97"/>
        </w:trPr>
        <w:tc>
          <w:tcPr>
            <w:tcW w:w="85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market capitalization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12,941,897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0"/>
              </w:rPr>
              <w:t>11,698,217</w:t>
            </w: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Total debt to market capitalization</w:t>
            </w:r>
          </w:p>
        </w:tc>
        <w:tc>
          <w:tcPr>
            <w:tcW w:w="220" w:type="dxa"/>
            <w:vAlign w:val="bottom"/>
          </w:tcPr>
          <w:p>
            <w:pPr>
              <w:spacing w:after="0"/>
              <w:rPr>
                <w:sz w:val="21"/>
                <w:szCs w:val="21"/>
                <w:color w:val="auto"/>
              </w:rPr>
            </w:pPr>
          </w:p>
        </w:tc>
        <w:tc>
          <w:tcPr>
            <w:tcW w:w="1140" w:type="dxa"/>
            <w:vAlign w:val="bottom"/>
          </w:tcPr>
          <w:p>
            <w:pPr>
              <w:jc w:val="center"/>
              <w:ind w:right="114"/>
              <w:spacing w:after="0"/>
              <w:rPr>
                <w:sz w:val="20"/>
                <w:szCs w:val="20"/>
                <w:color w:val="auto"/>
              </w:rPr>
            </w:pPr>
            <w:r>
              <w:rPr>
                <w:rFonts w:ascii="Arial" w:cs="Arial" w:eastAsia="Arial" w:hAnsi="Arial"/>
                <w:sz w:val="18"/>
                <w:szCs w:val="18"/>
                <w:color w:val="auto"/>
                <w:w w:val="94"/>
              </w:rPr>
              <w:t>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31"/>
              <w:spacing w:after="0"/>
              <w:rPr>
                <w:sz w:val="20"/>
                <w:szCs w:val="20"/>
                <w:color w:val="auto"/>
              </w:rPr>
            </w:pPr>
            <w:r>
              <w:rPr>
                <w:rFonts w:ascii="Arial" w:cs="Arial" w:eastAsia="Arial" w:hAnsi="Arial"/>
                <w:sz w:val="18"/>
                <w:szCs w:val="18"/>
                <w:color w:val="auto"/>
                <w:w w:val="88"/>
              </w:rPr>
              <w:t>21%</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580" w:type="dxa"/>
            <w:vAlign w:val="bottom"/>
          </w:tcPr>
          <w:p>
            <w:pPr>
              <w:ind w:left="260"/>
              <w:spacing w:after="0"/>
              <w:rPr>
                <w:sz w:val="20"/>
                <w:szCs w:val="20"/>
                <w:color w:val="auto"/>
              </w:rPr>
            </w:pPr>
            <w:r>
              <w:rPr>
                <w:rFonts w:ascii="Arial" w:cs="Arial" w:eastAsia="Arial" w:hAnsi="Arial"/>
                <w:sz w:val="18"/>
                <w:szCs w:val="18"/>
                <w:color w:val="auto"/>
              </w:rPr>
              <w:t>Fixed rate debt ratio:</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Fixed rate debt and capital lease obligations (4)</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4"/>
              </w:rPr>
              <w:t>98%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right="351"/>
              <w:spacing w:after="0"/>
              <w:rPr>
                <w:sz w:val="20"/>
                <w:szCs w:val="20"/>
                <w:color w:val="auto"/>
              </w:rPr>
            </w:pPr>
            <w:r>
              <w:rPr>
                <w:rFonts w:ascii="Arial" w:cs="Arial" w:eastAsia="Arial" w:hAnsi="Arial"/>
                <w:sz w:val="18"/>
                <w:szCs w:val="18"/>
                <w:color w:val="auto"/>
                <w:w w:val="91"/>
              </w:rPr>
              <w:t>100%</w:t>
            </w:r>
          </w:p>
        </w:tc>
      </w:tr>
      <w:tr>
        <w:trPr>
          <w:trHeight w:val="243"/>
        </w:trPr>
        <w:tc>
          <w:tcPr>
            <w:tcW w:w="8580" w:type="dxa"/>
            <w:vAlign w:val="bottom"/>
          </w:tcPr>
          <w:p>
            <w:pPr>
              <w:ind w:left="620"/>
              <w:spacing w:after="0"/>
              <w:rPr>
                <w:sz w:val="20"/>
                <w:szCs w:val="20"/>
                <w:color w:val="auto"/>
              </w:rPr>
            </w:pPr>
            <w:r>
              <w:rPr>
                <w:rFonts w:ascii="Arial" w:cs="Arial" w:eastAsia="Arial" w:hAnsi="Arial"/>
                <w:sz w:val="18"/>
                <w:szCs w:val="18"/>
                <w:color w:val="auto"/>
              </w:rPr>
              <w:t>Variable rate debt</w:t>
            </w:r>
          </w:p>
        </w:tc>
        <w:tc>
          <w:tcPr>
            <w:tcW w:w="220" w:type="dxa"/>
            <w:vAlign w:val="bottom"/>
          </w:tcPr>
          <w:p>
            <w:pPr>
              <w:spacing w:after="0"/>
              <w:rPr>
                <w:sz w:val="21"/>
                <w:szCs w:val="21"/>
                <w:color w:val="auto"/>
              </w:rPr>
            </w:pPr>
          </w:p>
        </w:tc>
        <w:tc>
          <w:tcPr>
            <w:tcW w:w="1140" w:type="dxa"/>
            <w:vAlign w:val="bottom"/>
          </w:tcPr>
          <w:p>
            <w:pPr>
              <w:jc w:val="center"/>
              <w:ind w:right="114"/>
              <w:spacing w:after="0"/>
              <w:rPr>
                <w:sz w:val="20"/>
                <w:szCs w:val="20"/>
                <w:color w:val="auto"/>
              </w:rPr>
            </w:pPr>
            <w:r>
              <w:rPr>
                <w:rFonts w:ascii="Arial" w:cs="Arial" w:eastAsia="Arial" w:hAnsi="Arial"/>
                <w:sz w:val="16"/>
                <w:szCs w:val="16"/>
                <w:color w:val="auto"/>
                <w:w w:val="94"/>
              </w:rPr>
              <w:t>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center"/>
              <w:ind w:right="351"/>
              <w:spacing w:after="0"/>
              <w:rPr>
                <w:sz w:val="20"/>
                <w:szCs w:val="20"/>
                <w:color w:val="auto"/>
              </w:rPr>
            </w:pPr>
            <w:r>
              <w:rPr>
                <w:rFonts w:ascii="Arial" w:cs="Arial" w:eastAsia="Arial" w:hAnsi="Arial"/>
                <w:sz w:val="18"/>
                <w:szCs w:val="18"/>
                <w:color w:val="auto"/>
                <w:w w:val="92"/>
              </w:rPr>
              <w:t>&lt;1%</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center"/>
              <w:ind w:right="114"/>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ind w:right="351"/>
              <w:spacing w:after="0"/>
              <w:rPr>
                <w:sz w:val="20"/>
                <w:szCs w:val="20"/>
                <w:color w:val="auto"/>
              </w:rPr>
            </w:pPr>
            <w:r>
              <w:rPr>
                <w:rFonts w:ascii="Arial" w:cs="Arial" w:eastAsia="Arial" w:hAnsi="Arial"/>
                <w:sz w:val="18"/>
                <w:szCs w:val="18"/>
                <w:color w:val="auto"/>
                <w:w w:val="91"/>
              </w:rPr>
              <w:t>100%</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include 934,405 and 917,255 operating partnership units outstanding at December 31, 2015 and 2014,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26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Total debt includes capital leases, mortgages payable, notes payable, senior notes and debentures, net of premiums and discounts from our consolidated balance </w:t>
      </w:r>
      <w:r>
        <w:rPr>
          <w:rFonts w:ascii="Arial" w:cs="Arial" w:eastAsia="Arial" w:hAnsi="Arial"/>
          <w:sz w:val="14"/>
          <w:szCs w:val="14"/>
          <w:color w:val="auto"/>
        </w:rPr>
        <w:t>sheet.</w:t>
      </w:r>
      <w:r>
        <w:rPr>
          <w:rFonts w:ascii="Arial" w:cs="Arial" w:eastAsia="Arial" w:hAnsi="Arial"/>
          <w:sz w:val="16"/>
          <w:szCs w:val="16"/>
          <w:color w:val="auto"/>
        </w:rPr>
        <w:t xml:space="preserve"> It does not include $10.3 million at both December 31, 2015 and 2014, which is the Trust's 30% share of the total mortgages payable, of $34.4 million, of the partnership with a discretionary fund created and advised by Clarion Partners. On January 13, 2016, we acquired Clarion's 70% joint venture interest and assumed 100% of the debt.</w:t>
      </w:r>
    </w:p>
    <w:p>
      <w:pPr>
        <w:spacing w:after="0" w:line="20"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132,260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121,285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509,825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472,602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11,104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42,797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36,099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37,416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33,133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148,110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135,592</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10,169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5,150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color w:val="auto"/>
              </w:rPr>
              <w:t>15,169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11,860</w:t>
            </w: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189,200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171,634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727,812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666,322</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2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$2.6 million and $1.6 million for the three months ended December 31, 2015 and 2014, respectively, and $7.6 million and $5.1 million for the year ended December 31, 2015 and 2014, respectively, to recognize minimum rents on a straight-line basis. In addition, minimum rents include $0.8 million and $0.6 million for the three months ended December 31, 2015 and 2014, respectively, and $2.7 million and $2.4 million for the year ended December 31, 2015 and 2014,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2" w:right="239" w:bottom="1440" w:gutter="0" w:footer="0" w:header="0"/>
        </w:sectPr>
      </w:pPr>
    </w:p>
    <w:bookmarkStart w:id="15" w:name="page16"/>
    <w:bookmarkEnd w:id="1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ind w:left="1200"/>
              <w:spacing w:after="0"/>
              <w:rPr>
                <w:sz w:val="20"/>
                <w:szCs w:val="20"/>
                <w:color w:val="auto"/>
              </w:rPr>
            </w:pPr>
            <w:r>
              <w:rPr>
                <w:rFonts w:ascii="Arial" w:cs="Arial" w:eastAsia="Arial" w:hAnsi="Arial"/>
                <w:sz w:val="14"/>
                <w:szCs w:val="14"/>
                <w:b w:val="1"/>
                <w:bCs w:val="1"/>
                <w:color w:val="auto"/>
              </w:rPr>
              <w:t>As of December 31, 2015</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20" w:type="dxa"/>
            <w:vAlign w:val="bottom"/>
            <w:vMerge w:val="restart"/>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center"/>
              <w:ind w:right="139"/>
              <w:spacing w:after="0"/>
              <w:rPr>
                <w:sz w:val="20"/>
                <w:szCs w:val="20"/>
                <w:color w:val="auto"/>
              </w:rPr>
            </w:pPr>
            <w:r>
              <w:rPr>
                <w:rFonts w:ascii="Arial" w:cs="Arial" w:eastAsia="Arial" w:hAnsi="Arial"/>
                <w:sz w:val="14"/>
                <w:szCs w:val="14"/>
                <w:b w:val="1"/>
                <w:bCs w:val="1"/>
                <w:color w:val="auto"/>
                <w:w w:val="89"/>
              </w:rPr>
              <w:t>Balance</w:t>
            </w:r>
          </w:p>
        </w:tc>
        <w:tc>
          <w:tcPr>
            <w:tcW w:w="34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effective rate (5)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6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Mortgages Payable (1)</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Secured fixed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Plaza El Segundo</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8/5/2017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The Grove at Shrewsbury (East)</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10/1/2017</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43,557</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Grove at Shrewsbury (West)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3/1/2018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11,024</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Rollingwood Apartments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5/1/2019</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21,716</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Shops at Sunset Place</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9/1/2020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70,542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29</w:t>
            </w:r>
            <w:r>
              <w:rPr>
                <w:rFonts w:ascii="Arial" w:cs="Arial" w:eastAsia="Arial" w:hAnsi="Arial"/>
                <w:sz w:val="18"/>
                <w:szCs w:val="18"/>
                <w:color w:val="auto"/>
              </w:rPr>
              <w:t>th</w:t>
            </w:r>
            <w:r>
              <w:rPr>
                <w:rFonts w:ascii="Arial" w:cs="Arial" w:eastAsia="Arial" w:hAnsi="Arial"/>
                <w:sz w:val="16"/>
                <w:szCs w:val="16"/>
                <w:color w:val="auto"/>
              </w:rPr>
              <w:t xml:space="preserve"> Place</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1/31/2021</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4,753</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THE AVENUE at White Marsh</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1/1/2022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52,705</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Montrose Crossing</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74,329</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Brook 35</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Chelsea</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6,868</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471,994</w:t>
            </w:r>
          </w:p>
        </w:tc>
        <w:tc>
          <w:tcPr>
            <w:tcW w:w="3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Net unamortized premium</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10,828</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680"/>
              <w:spacing w:after="0"/>
              <w:rPr>
                <w:sz w:val="20"/>
                <w:szCs w:val="20"/>
                <w:color w:val="auto"/>
              </w:rPr>
            </w:pPr>
            <w:r>
              <w:rPr>
                <w:rFonts w:ascii="Arial" w:cs="Arial" w:eastAsia="Arial" w:hAnsi="Arial"/>
                <w:sz w:val="16"/>
                <w:szCs w:val="16"/>
                <w:color w:val="auto"/>
              </w:rPr>
              <w:t>Total mortgages payable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482,822</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81"/>
              <w:spacing w:after="0"/>
              <w:rPr>
                <w:sz w:val="20"/>
                <w:szCs w:val="20"/>
                <w:color w:val="auto"/>
              </w:rPr>
            </w:pPr>
            <w:r>
              <w:rPr>
                <w:rFonts w:ascii="Arial" w:cs="Arial" w:eastAsia="Arial" w:hAnsi="Arial"/>
                <w:sz w:val="16"/>
                <w:szCs w:val="16"/>
                <w:color w:val="auto"/>
                <w:w w:val="92"/>
              </w:rPr>
              <w:t>4.46%</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Term Loan (2)</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+ 0.90%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Various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2028</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5,700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variable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Escondido (Municipal bonds) (3)</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0.03%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Revolving Credit Facility (4)</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4/21/2017</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+ 0.90%</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53,500</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notes payable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343,600</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381"/>
              <w:spacing w:after="0"/>
              <w:rPr>
                <w:sz w:val="20"/>
                <w:szCs w:val="20"/>
                <w:color w:val="auto"/>
              </w:rPr>
            </w:pPr>
            <w:r>
              <w:rPr>
                <w:rFonts w:ascii="Arial" w:cs="Arial" w:eastAsia="Arial" w:hAnsi="Arial"/>
                <w:sz w:val="16"/>
                <w:szCs w:val="16"/>
                <w:color w:val="auto"/>
                <w:w w:val="92"/>
              </w:rPr>
              <w:t>2.69%</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Senior notes and debentures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i w:val="1"/>
                <w:iCs w:val="1"/>
                <w:color w:val="auto"/>
              </w:rPr>
              <w:t>Unsecured fixed rate</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5.90%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4/1/2020</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2.55%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1/15/2021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3.00%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8/1/2022</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2.75%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3.95%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2"/>
              </w:rPr>
              <w:t>1/15/2024</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7.48% debentures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29,200</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00" w:type="dxa"/>
            <w:vAlign w:val="bottom"/>
            <w:gridSpan w:val="5"/>
          </w:tcPr>
          <w:p>
            <w:pPr>
              <w:ind w:left="320"/>
              <w:spacing w:after="0"/>
              <w:rPr>
                <w:sz w:val="20"/>
                <w:szCs w:val="20"/>
                <w:color w:val="auto"/>
              </w:rPr>
            </w:pPr>
            <w:r>
              <w:rPr>
                <w:rFonts w:ascii="Arial" w:cs="Arial" w:eastAsia="Arial" w:hAnsi="Arial"/>
                <w:sz w:val="16"/>
                <w:szCs w:val="16"/>
                <w:color w:val="auto"/>
              </w:rPr>
              <w:t>6.82% medium term notes</w:t>
            </w:r>
          </w:p>
        </w:tc>
        <w:tc>
          <w:tcPr>
            <w:tcW w:w="1820" w:type="dxa"/>
            <w:vAlign w:val="bottom"/>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4.50% notes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12/1/2044</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450,000</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Subtotal</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1,744,200</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Net unamortized premium</w:t>
            </w:r>
          </w:p>
        </w:tc>
        <w:tc>
          <w:tcPr>
            <w:tcW w:w="1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600" w:type="dxa"/>
            <w:vAlign w:val="bottom"/>
            <w:gridSpan w:val="5"/>
          </w:tcPr>
          <w:p>
            <w:pPr>
              <w:ind w:left="680"/>
              <w:spacing w:after="0"/>
              <w:rPr>
                <w:sz w:val="20"/>
                <w:szCs w:val="20"/>
                <w:color w:val="auto"/>
              </w:rPr>
            </w:pPr>
            <w:r>
              <w:rPr>
                <w:rFonts w:ascii="Arial" w:cs="Arial" w:eastAsia="Arial" w:hAnsi="Arial"/>
                <w:sz w:val="16"/>
                <w:szCs w:val="16"/>
                <w:color w:val="auto"/>
              </w:rPr>
              <w:t>Total senior notes and debentures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1,744,324</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left="381"/>
              <w:spacing w:after="0"/>
              <w:rPr>
                <w:sz w:val="20"/>
                <w:szCs w:val="20"/>
                <w:color w:val="auto"/>
              </w:rPr>
            </w:pPr>
            <w:r>
              <w:rPr>
                <w:rFonts w:ascii="Arial" w:cs="Arial" w:eastAsia="Arial" w:hAnsi="Arial"/>
                <w:sz w:val="16"/>
                <w:szCs w:val="16"/>
                <w:color w:val="auto"/>
                <w:w w:val="92"/>
              </w:rPr>
              <w:t>3.98%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Capital lease obligations</w:t>
            </w: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Various</w:t>
            </w: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71,620</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center"/>
              <w:ind w:left="381"/>
              <w:spacing w:after="0"/>
              <w:rPr>
                <w:sz w:val="20"/>
                <w:szCs w:val="20"/>
                <w:color w:val="auto"/>
              </w:rPr>
            </w:pPr>
            <w:r>
              <w:rPr>
                <w:rFonts w:ascii="Arial" w:cs="Arial" w:eastAsia="Arial" w:hAnsi="Arial"/>
                <w:sz w:val="16"/>
                <w:szCs w:val="16"/>
                <w:color w:val="auto"/>
                <w:w w:val="92"/>
              </w:rPr>
              <w:t>8.04%</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640" w:type="dxa"/>
            <w:vAlign w:val="bottom"/>
            <w:tcBorders>
              <w:bottom w:val="single" w:sz="8" w:color="CCEEFF"/>
            </w:tcBorders>
            <w:gridSpan w:val="6"/>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2,642,366</w:t>
            </w:r>
          </w:p>
        </w:tc>
        <w:tc>
          <w:tcPr>
            <w:tcW w:w="3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2,579,466</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4.08%</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gridSpan w:val="6"/>
          </w:tcPr>
          <w:p>
            <w:pPr>
              <w:ind w:left="40"/>
              <w:spacing w:after="0"/>
              <w:rPr>
                <w:sz w:val="20"/>
                <w:szCs w:val="20"/>
                <w:color w:val="auto"/>
              </w:rPr>
            </w:pPr>
            <w:r>
              <w:rPr>
                <w:rFonts w:ascii="Arial" w:cs="Arial" w:eastAsia="Arial" w:hAnsi="Arial"/>
                <w:sz w:val="16"/>
                <w:szCs w:val="16"/>
                <w:color w:val="auto"/>
              </w:rPr>
              <w:t>Total variable rate debt</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62,900</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960" w:type="dxa"/>
            <w:vAlign w:val="bottom"/>
          </w:tcPr>
          <w:p>
            <w:pPr>
              <w:jc w:val="right"/>
              <w:ind w:right="201"/>
              <w:spacing w:after="0"/>
              <w:rPr>
                <w:sz w:val="20"/>
                <w:szCs w:val="20"/>
                <w:color w:val="auto"/>
              </w:rPr>
            </w:pPr>
            <w:r>
              <w:rPr>
                <w:rFonts w:ascii="Arial" w:cs="Arial" w:eastAsia="Arial" w:hAnsi="Arial"/>
                <w:sz w:val="16"/>
                <w:szCs w:val="16"/>
                <w:color w:val="auto"/>
              </w:rPr>
              <w:t>1.31%</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2,642,366</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4.01%</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96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47" w:right="239" w:bottom="96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960" w:type="dxa"/>
            <w:vAlign w:val="bottom"/>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rPr>
              <w:t>Year Ended</w:t>
            </w:r>
          </w:p>
        </w:tc>
      </w:tr>
      <w:tr>
        <w:trPr>
          <w:trHeight w:val="270"/>
        </w:trPr>
        <w:tc>
          <w:tcPr>
            <w:tcW w:w="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1960" w:type="dxa"/>
            <w:vAlign w:val="bottom"/>
            <w:gridSpan w:val="3"/>
          </w:tcPr>
          <w:p>
            <w:pPr>
              <w:ind w:left="500"/>
              <w:spacing w:after="0"/>
              <w:rPr>
                <w:sz w:val="20"/>
                <w:szCs w:val="20"/>
                <w:color w:val="auto"/>
              </w:rPr>
            </w:pPr>
            <w:r>
              <w:rPr>
                <w:rFonts w:ascii="Arial" w:cs="Arial" w:eastAsia="Arial" w:hAnsi="Arial"/>
                <w:sz w:val="14"/>
                <w:szCs w:val="14"/>
                <w:b w:val="1"/>
                <w:bCs w:val="1"/>
                <w:color w:val="auto"/>
              </w:rPr>
              <w:t>December 31,</w:t>
            </w:r>
          </w:p>
        </w:tc>
        <w:tc>
          <w:tcPr>
            <w:tcW w:w="1800" w:type="dxa"/>
            <w:vAlign w:val="bottom"/>
            <w:gridSpan w:val="2"/>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80"/>
        </w:trPr>
        <w:tc>
          <w:tcPr>
            <w:tcW w:w="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r>
      <w:tr>
        <w:trPr>
          <w:trHeight w:val="184"/>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060" w:type="dxa"/>
            <w:vAlign w:val="bottom"/>
          </w:tcPr>
          <w:p>
            <w:pPr>
              <w:ind w:left="320"/>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040" w:type="dxa"/>
            <w:vAlign w:val="bottom"/>
          </w:tcPr>
          <w:p>
            <w:pPr>
              <w:ind w:left="300"/>
              <w:spacing w:after="0"/>
              <w:rPr>
                <w:sz w:val="20"/>
                <w:szCs w:val="20"/>
                <w:color w:val="auto"/>
              </w:rPr>
            </w:pPr>
            <w:r>
              <w:rPr>
                <w:rFonts w:ascii="Arial" w:cs="Arial" w:eastAsia="Arial" w:hAnsi="Arial"/>
                <w:sz w:val="14"/>
                <w:szCs w:val="14"/>
                <w:b w:val="1"/>
                <w:bCs w:val="1"/>
                <w:color w:val="auto"/>
              </w:rPr>
              <w:t>2015</w:t>
            </w: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2014</w:t>
            </w:r>
          </w:p>
        </w:tc>
      </w:tr>
      <w:tr>
        <w:trPr>
          <w:trHeight w:val="66"/>
        </w:trPr>
        <w:tc>
          <w:tcPr>
            <w:tcW w:w="40" w:type="dxa"/>
            <w:vAlign w:val="bottom"/>
            <w:tcBorders>
              <w:bottom w:val="single" w:sz="8" w:color="CCEEFF"/>
            </w:tcBorders>
          </w:tcPr>
          <w:p>
            <w:pPr>
              <w:spacing w:after="0"/>
              <w:rPr>
                <w:sz w:val="5"/>
                <w:szCs w:val="5"/>
                <w:color w:val="auto"/>
              </w:rPr>
            </w:pPr>
          </w:p>
        </w:tc>
        <w:tc>
          <w:tcPr>
            <w:tcW w:w="1380" w:type="dxa"/>
            <w:vAlign w:val="bottom"/>
            <w:tcBorders>
              <w:bottom w:val="single" w:sz="8" w:color="CCEEFF"/>
            </w:tcBorders>
          </w:tcPr>
          <w:p>
            <w:pPr>
              <w:spacing w:after="0"/>
              <w:rPr>
                <w:sz w:val="5"/>
                <w:szCs w:val="5"/>
                <w:color w:val="auto"/>
              </w:rPr>
            </w:pPr>
          </w:p>
        </w:tc>
        <w:tc>
          <w:tcPr>
            <w:tcW w:w="624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169"/>
        </w:trPr>
        <w:tc>
          <w:tcPr>
            <w:tcW w:w="7660" w:type="dxa"/>
            <w:vAlign w:val="bottom"/>
            <w:gridSpan w:val="3"/>
            <w:shd w:val="clear" w:color="auto" w:fill="CCEEFF"/>
          </w:tcPr>
          <w:p>
            <w:pPr>
              <w:ind w:left="40"/>
              <w:spacing w:after="0" w:line="169" w:lineRule="exact"/>
              <w:rPr>
                <w:sz w:val="20"/>
                <w:szCs w:val="20"/>
                <w:color w:val="auto"/>
              </w:rPr>
            </w:pPr>
            <w:r>
              <w:rPr>
                <w:rFonts w:ascii="Arial" w:cs="Arial" w:eastAsia="Arial" w:hAnsi="Arial"/>
                <w:sz w:val="16"/>
                <w:szCs w:val="16"/>
                <w:color w:val="auto"/>
              </w:rPr>
              <w:t>Operational Statistics</w:t>
            </w:r>
          </w:p>
        </w:tc>
        <w:tc>
          <w:tcPr>
            <w:tcW w:w="10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1380" w:type="dxa"/>
            <w:vAlign w:val="bottom"/>
            <w:tcBorders>
              <w:top w:val="single" w:sz="8" w:color="auto"/>
            </w:tcBorders>
            <w:shd w:val="clear" w:color="auto" w:fill="CCEEFF"/>
          </w:tcPr>
          <w:p>
            <w:pPr>
              <w:spacing w:after="0"/>
              <w:rPr>
                <w:sz w:val="6"/>
                <w:szCs w:val="6"/>
                <w:color w:val="auto"/>
              </w:rPr>
            </w:pPr>
          </w:p>
        </w:tc>
        <w:tc>
          <w:tcPr>
            <w:tcW w:w="624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760" w:type="dxa"/>
            <w:vAlign w:val="bottom"/>
            <w:tcBorders>
              <w:top w:val="single" w:sz="8" w:color="CCEEFF"/>
            </w:tcBorders>
            <w:shd w:val="clear" w:color="auto" w:fill="CCEEFF"/>
          </w:tcPr>
          <w:p>
            <w:pPr>
              <w:spacing w:after="0"/>
              <w:rPr>
                <w:sz w:val="6"/>
                <w:szCs w:val="6"/>
                <w:color w:val="auto"/>
              </w:rPr>
            </w:pPr>
          </w:p>
        </w:tc>
      </w:tr>
      <w:tr>
        <w:trPr>
          <w:trHeight w:val="224"/>
        </w:trPr>
        <w:tc>
          <w:tcPr>
            <w:tcW w:w="40" w:type="dxa"/>
            <w:vAlign w:val="bottom"/>
          </w:tcPr>
          <w:p>
            <w:pPr>
              <w:spacing w:after="0"/>
              <w:rPr>
                <w:sz w:val="19"/>
                <w:szCs w:val="19"/>
                <w:color w:val="auto"/>
              </w:rPr>
            </w:pPr>
          </w:p>
        </w:tc>
        <w:tc>
          <w:tcPr>
            <w:tcW w:w="7620" w:type="dxa"/>
            <w:vAlign w:val="bottom"/>
            <w:gridSpan w:val="2"/>
          </w:tcPr>
          <w:p>
            <w:pPr>
              <w:ind w:left="680"/>
              <w:spacing w:after="0"/>
              <w:rPr>
                <w:sz w:val="20"/>
                <w:szCs w:val="20"/>
                <w:color w:val="auto"/>
              </w:rPr>
            </w:pPr>
            <w:r>
              <w:rPr>
                <w:rFonts w:ascii="Arial" w:cs="Arial" w:eastAsia="Arial" w:hAnsi="Arial"/>
                <w:sz w:val="16"/>
                <w:szCs w:val="16"/>
                <w:color w:val="auto"/>
              </w:rPr>
              <w:t>Excluding early extinguishment of debt:</w:t>
            </w: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(7)(8)</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5.06x</w:t>
            </w:r>
          </w:p>
        </w:tc>
        <w:tc>
          <w:tcPr>
            <w:tcW w:w="9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3.91x</w:t>
            </w:r>
          </w:p>
        </w:tc>
        <w:tc>
          <w:tcPr>
            <w:tcW w:w="10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4.50x</w:t>
            </w:r>
          </w:p>
        </w:tc>
        <w:tc>
          <w:tcPr>
            <w:tcW w:w="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w w:val="96"/>
              </w:rPr>
              <w:t>3.85x</w:t>
            </w:r>
          </w:p>
        </w:tc>
      </w:tr>
      <w:tr>
        <w:trPr>
          <w:trHeight w:val="224"/>
        </w:trPr>
        <w:tc>
          <w:tcPr>
            <w:tcW w:w="40" w:type="dxa"/>
            <w:vAlign w:val="bottom"/>
          </w:tcPr>
          <w:p>
            <w:pPr>
              <w:spacing w:after="0"/>
              <w:rPr>
                <w:sz w:val="19"/>
                <w:szCs w:val="19"/>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(7)(8)</w:t>
            </w:r>
          </w:p>
        </w:tc>
        <w:tc>
          <w:tcPr>
            <w:tcW w:w="1060" w:type="dxa"/>
            <w:vAlign w:val="bottom"/>
          </w:tcPr>
          <w:p>
            <w:pPr>
              <w:ind w:left="540"/>
              <w:spacing w:after="0"/>
              <w:rPr>
                <w:sz w:val="20"/>
                <w:szCs w:val="20"/>
                <w:color w:val="auto"/>
              </w:rPr>
            </w:pPr>
            <w:r>
              <w:rPr>
                <w:rFonts w:ascii="Arial" w:cs="Arial" w:eastAsia="Arial" w:hAnsi="Arial"/>
                <w:sz w:val="16"/>
                <w:szCs w:val="16"/>
                <w:color w:val="auto"/>
              </w:rPr>
              <w:t>4.45x</w:t>
            </w:r>
          </w:p>
        </w:tc>
        <w:tc>
          <w:tcPr>
            <w:tcW w:w="900" w:type="dxa"/>
            <w:vAlign w:val="bottom"/>
            <w:gridSpan w:val="2"/>
          </w:tcPr>
          <w:p>
            <w:pPr>
              <w:ind w:left="400"/>
              <w:spacing w:after="0"/>
              <w:rPr>
                <w:sz w:val="20"/>
                <w:szCs w:val="20"/>
                <w:color w:val="auto"/>
              </w:rPr>
            </w:pPr>
            <w:r>
              <w:rPr>
                <w:rFonts w:ascii="Arial" w:cs="Arial" w:eastAsia="Arial" w:hAnsi="Arial"/>
                <w:sz w:val="16"/>
                <w:szCs w:val="16"/>
                <w:color w:val="auto"/>
              </w:rPr>
              <w:t>3.91x</w:t>
            </w:r>
          </w:p>
        </w:tc>
        <w:tc>
          <w:tcPr>
            <w:tcW w:w="1040" w:type="dxa"/>
            <w:vAlign w:val="bottom"/>
          </w:tcPr>
          <w:p>
            <w:pPr>
              <w:ind w:left="500"/>
              <w:spacing w:after="0"/>
              <w:rPr>
                <w:sz w:val="20"/>
                <w:szCs w:val="20"/>
                <w:color w:val="auto"/>
              </w:rPr>
            </w:pPr>
            <w:r>
              <w:rPr>
                <w:rFonts w:ascii="Arial" w:cs="Arial" w:eastAsia="Arial" w:hAnsi="Arial"/>
                <w:sz w:val="16"/>
                <w:szCs w:val="16"/>
                <w:color w:val="auto"/>
              </w:rPr>
              <w:t>4.25x</w:t>
            </w:r>
          </w:p>
        </w:tc>
        <w:tc>
          <w:tcPr>
            <w:tcW w:w="760" w:type="dxa"/>
            <w:vAlign w:val="bottom"/>
          </w:tcPr>
          <w:p>
            <w:pPr>
              <w:ind w:left="360"/>
              <w:spacing w:after="0"/>
              <w:rPr>
                <w:sz w:val="20"/>
                <w:szCs w:val="20"/>
                <w:color w:val="auto"/>
              </w:rPr>
            </w:pPr>
            <w:r>
              <w:rPr>
                <w:rFonts w:ascii="Arial" w:cs="Arial" w:eastAsia="Arial" w:hAnsi="Arial"/>
                <w:sz w:val="16"/>
                <w:szCs w:val="16"/>
                <w:color w:val="auto"/>
                <w:w w:val="96"/>
              </w:rPr>
              <w:t>3.82x</w:t>
            </w:r>
          </w:p>
        </w:tc>
      </w:tr>
      <w:tr>
        <w:trPr>
          <w:trHeight w:val="47"/>
        </w:trPr>
        <w:tc>
          <w:tcPr>
            <w:tcW w:w="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Including early extinguishment of debt:</w:t>
            </w:r>
          </w:p>
        </w:tc>
        <w:tc>
          <w:tcPr>
            <w:tcW w:w="10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(7)</w:t>
            </w:r>
          </w:p>
        </w:tc>
        <w:tc>
          <w:tcPr>
            <w:tcW w:w="1060" w:type="dxa"/>
            <w:vAlign w:val="bottom"/>
          </w:tcPr>
          <w:p>
            <w:pPr>
              <w:ind w:left="540"/>
              <w:spacing w:after="0"/>
              <w:rPr>
                <w:sz w:val="20"/>
                <w:szCs w:val="20"/>
                <w:color w:val="auto"/>
              </w:rPr>
            </w:pPr>
            <w:r>
              <w:rPr>
                <w:rFonts w:ascii="Arial" w:cs="Arial" w:eastAsia="Arial" w:hAnsi="Arial"/>
                <w:sz w:val="16"/>
                <w:szCs w:val="16"/>
                <w:color w:val="auto"/>
              </w:rPr>
              <w:t>5.06x</w:t>
            </w:r>
          </w:p>
        </w:tc>
        <w:tc>
          <w:tcPr>
            <w:tcW w:w="900" w:type="dxa"/>
            <w:vAlign w:val="bottom"/>
            <w:gridSpan w:val="2"/>
          </w:tcPr>
          <w:p>
            <w:pPr>
              <w:ind w:left="400"/>
              <w:spacing w:after="0"/>
              <w:rPr>
                <w:sz w:val="20"/>
                <w:szCs w:val="20"/>
                <w:color w:val="auto"/>
              </w:rPr>
            </w:pPr>
            <w:r>
              <w:rPr>
                <w:rFonts w:ascii="Arial" w:cs="Arial" w:eastAsia="Arial" w:hAnsi="Arial"/>
                <w:sz w:val="16"/>
                <w:szCs w:val="16"/>
                <w:color w:val="auto"/>
              </w:rPr>
              <w:t>2.88x</w:t>
            </w:r>
          </w:p>
        </w:tc>
        <w:tc>
          <w:tcPr>
            <w:tcW w:w="1040" w:type="dxa"/>
            <w:vAlign w:val="bottom"/>
          </w:tcPr>
          <w:p>
            <w:pPr>
              <w:ind w:left="500"/>
              <w:spacing w:after="0"/>
              <w:rPr>
                <w:sz w:val="20"/>
                <w:szCs w:val="20"/>
                <w:color w:val="auto"/>
              </w:rPr>
            </w:pPr>
            <w:r>
              <w:rPr>
                <w:rFonts w:ascii="Arial" w:cs="Arial" w:eastAsia="Arial" w:hAnsi="Arial"/>
                <w:sz w:val="16"/>
                <w:szCs w:val="16"/>
                <w:color w:val="auto"/>
              </w:rPr>
              <w:t>3.85x</w:t>
            </w:r>
          </w:p>
        </w:tc>
        <w:tc>
          <w:tcPr>
            <w:tcW w:w="760" w:type="dxa"/>
            <w:vAlign w:val="bottom"/>
          </w:tcPr>
          <w:p>
            <w:pPr>
              <w:ind w:left="360"/>
              <w:spacing w:after="0"/>
              <w:rPr>
                <w:sz w:val="20"/>
                <w:szCs w:val="20"/>
                <w:color w:val="auto"/>
              </w:rPr>
            </w:pPr>
            <w:r>
              <w:rPr>
                <w:rFonts w:ascii="Arial" w:cs="Arial" w:eastAsia="Arial" w:hAnsi="Arial"/>
                <w:sz w:val="16"/>
                <w:szCs w:val="16"/>
                <w:color w:val="auto"/>
                <w:w w:val="96"/>
              </w:rPr>
              <w:t>3.53x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4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(7)</w:t>
            </w:r>
          </w:p>
        </w:tc>
        <w:tc>
          <w:tcPr>
            <w:tcW w:w="1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4.45x</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2.88x</w:t>
            </w:r>
          </w:p>
        </w:tc>
        <w:tc>
          <w:tcPr>
            <w:tcW w:w="10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3.63x</w:t>
            </w:r>
          </w:p>
        </w:tc>
        <w:tc>
          <w:tcPr>
            <w:tcW w:w="7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3.50x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right="4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Mortgages payable do not include our 30% share ($10.3 million) of the $34.4 million debt of the partnership with a discretionary fund created and advised by Clarion Partners. On January 13, 2016, we acquired Clarion's 70% joint venture interest and assumed 100% of the related debt.</w:t>
      </w:r>
    </w:p>
    <w:p>
      <w:pPr>
        <w:spacing w:after="0" w:line="11" w:lineRule="exact"/>
        <w:rPr>
          <w:rFonts w:ascii="Arial" w:cs="Arial" w:eastAsia="Arial" w:hAnsi="Arial"/>
          <w:sz w:val="14"/>
          <w:szCs w:val="14"/>
          <w:color w:val="auto"/>
        </w:rPr>
      </w:pPr>
    </w:p>
    <w:p>
      <w:pPr>
        <w:ind w:left="660" w:right="8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from December 1, 2011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spacing w:after="0" w:line="11" w:lineRule="exact"/>
        <w:rPr>
          <w:rFonts w:ascii="Arial" w:cs="Arial" w:eastAsia="Arial" w:hAnsi="Arial"/>
          <w:sz w:val="14"/>
          <w:szCs w:val="14"/>
          <w:color w:val="auto"/>
        </w:rPr>
      </w:pPr>
    </w:p>
    <w:p>
      <w:pPr>
        <w:ind w:left="660" w:right="22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for the three months and year ended December 31, 2015 was $111.0 million and $324.0 million, respectively. The weighted average effective interest rate on borrowings under our revolving credit facility, before amortization of debt fees for the three months and year ended December 31, 2015 was 1.15% and 1.09%, respectively.</w:t>
      </w:r>
    </w:p>
    <w:p>
      <w:pPr>
        <w:spacing w:after="0" w:line="23"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6.</w:t>
      </w:r>
    </w:p>
    <w:p>
      <w:pPr>
        <w:spacing w:after="0" w:line="55" w:lineRule="exact"/>
        <w:rPr>
          <w:rFonts w:ascii="Arial" w:cs="Arial" w:eastAsia="Arial" w:hAnsi="Arial"/>
          <w:sz w:val="14"/>
          <w:szCs w:val="14"/>
          <w:color w:val="auto"/>
        </w:rPr>
      </w:pPr>
    </w:p>
    <w:p>
      <w:pPr>
        <w:ind w:left="660" w:right="12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$53.5 million outstanding on December 31, 2015. In addition, the weighted average effective interest rate is calculated using the fixed rate on our term loan of 2.62% as the result of the interest rate swap agreements discussed in Note 2. The term loan is included in fixed rate debt.</w:t>
      </w:r>
    </w:p>
    <w:p>
      <w:pPr>
        <w:spacing w:after="0" w:line="23" w:lineRule="exact"/>
        <w:rPr>
          <w:rFonts w:ascii="Arial" w:cs="Arial" w:eastAsia="Arial" w:hAnsi="Arial"/>
          <w:sz w:val="14"/>
          <w:szCs w:val="14"/>
          <w:color w:val="auto"/>
        </w:rPr>
      </w:pPr>
    </w:p>
    <w:p>
      <w:pPr>
        <w:ind w:left="660" w:right="80" w:hanging="652"/>
        <w:spacing w:after="0" w:line="286"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Fixed charges consist of interest on borrowed funds (including capitalized interest), amortization of debt discount/premium and debt costs, costs related to the early extinguishment of debt, and the portion of rent expense representing an interest factor. EBITDA includes a gain on sale of real estate of $16.8 million and $28.3 million for the three months and year ended December 31, 2015, respectively, and $4.4 million for the year ended December 31, 2014. Adjusted EBITDA is reconciled to net income in the Glossary of Terms.</w:t>
      </w:r>
    </w:p>
    <w:p>
      <w:pPr>
        <w:spacing w:after="0" w:line="5" w:lineRule="exact"/>
        <w:rPr>
          <w:rFonts w:ascii="Arial" w:cs="Arial" w:eastAsia="Arial" w:hAnsi="Arial"/>
          <w:sz w:val="13"/>
          <w:szCs w:val="13"/>
          <w:color w:val="auto"/>
        </w:rPr>
      </w:pPr>
    </w:p>
    <w:p>
      <w:pPr>
        <w:ind w:left="660" w:right="60" w:hanging="652"/>
        <w:spacing w:after="0" w:line="320" w:lineRule="auto"/>
        <w:tabs>
          <w:tab w:leader="none" w:pos="6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Fixed charges for the year ended December 31, 2015 exclude the $19.2 million early extinguishment of debt charge related to the make-whole premium paid as part of the early redemption of the 6.20% senior notes. Fixed charges for the three months and year ended December 31, 2014 exclude the $10.5 million early extinguishment of debt charge related to the make-whole premium paid as part of the early redemption of our 5.65% senior notes and the prepayment premium paid as part of the early payoff of our East Bay Bridge mortgage loan.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38" w:right="239"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8"/>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Average Rate</w:t>
            </w:r>
          </w:p>
        </w:tc>
        <w:tc>
          <w:tcPr>
            <w:tcW w:w="340" w:type="dxa"/>
            <w:vAlign w:val="bottom"/>
          </w:tcPr>
          <w:p>
            <w:pPr>
              <w:spacing w:after="0"/>
              <w:rPr>
                <w:sz w:val="17"/>
                <w:szCs w:val="17"/>
                <w:color w:val="auto"/>
              </w:rPr>
            </w:pPr>
          </w:p>
        </w:tc>
      </w:tr>
      <w:tr>
        <w:trPr>
          <w:trHeight w:val="210"/>
        </w:trPr>
        <w:tc>
          <w:tcPr>
            <w:tcW w:w="1980" w:type="dxa"/>
            <w:vAlign w:val="bottom"/>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(3)</w:t>
            </w:r>
          </w:p>
        </w:tc>
        <w:tc>
          <w:tcPr>
            <w:tcW w:w="340" w:type="dxa"/>
            <w:vAlign w:val="bottom"/>
          </w:tcPr>
          <w:p>
            <w:pPr>
              <w:spacing w:after="0"/>
              <w:rPr>
                <w:sz w:val="18"/>
                <w:szCs w:val="18"/>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58"/>
        </w:trPr>
        <w:tc>
          <w:tcPr>
            <w:tcW w:w="1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56"/>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6,111</w:t>
            </w:r>
          </w:p>
        </w:tc>
        <w:tc>
          <w:tcPr>
            <w:tcW w:w="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9,400</w:t>
            </w:r>
          </w:p>
        </w:tc>
        <w:tc>
          <w:tcPr>
            <w:tcW w:w="6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15,511</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6,228</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270,232</w:t>
            </w:r>
          </w:p>
        </w:tc>
        <w:tc>
          <w:tcPr>
            <w:tcW w:w="340" w:type="dxa"/>
            <w:vAlign w:val="bottom"/>
          </w:tcPr>
          <w:p>
            <w:pPr>
              <w:jc w:val="right"/>
              <w:ind w:right="34"/>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276,460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11.1%</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(4)</w:t>
            </w: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5,519</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285,502</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291,021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5,449</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25,609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23.2%</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4,763</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210,593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215,356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31.4%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3,101</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253,625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256,726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41.1%</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366,323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367,551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1,253</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330,010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331,263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67.7%</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301,054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1980" w:type="dxa"/>
            <w:vAlign w:val="bottom"/>
          </w:tcPr>
          <w:p>
            <w:pPr>
              <w:ind w:left="4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79.1%</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r>
      <w:tr>
        <w:trPr>
          <w:trHeight w:val="27"/>
        </w:trPr>
        <w:tc>
          <w:tcPr>
            <w:tcW w:w="1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19,623</w:t>
            </w: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530,700</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550,323</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tcBorders>
              <w:bottom w:val="single" w:sz="8" w:color="CCEEFF"/>
            </w:tcBorders>
            <w:shd w:val="clear" w:color="auto" w:fill="CCEEFF"/>
          </w:tcPr>
          <w:p>
            <w:pPr>
              <w:spacing w:after="0"/>
              <w:rPr>
                <w:sz w:val="23"/>
                <w:szCs w:val="23"/>
                <w:color w:val="auto"/>
              </w:rPr>
            </w:pPr>
          </w:p>
        </w:tc>
      </w:tr>
      <w:tr>
        <w:trPr>
          <w:trHeight w:val="250"/>
        </w:trPr>
        <w:tc>
          <w:tcPr>
            <w:tcW w:w="1980" w:type="dxa"/>
            <w:vAlign w:val="bottom"/>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54,869</w:t>
            </w:r>
          </w:p>
        </w:tc>
        <w:tc>
          <w:tcPr>
            <w:tcW w:w="3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2,576,545</w:t>
            </w:r>
          </w:p>
        </w:tc>
        <w:tc>
          <w:tcPr>
            <w:tcW w:w="34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2,631,414</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8890</wp:posOffset>
            </wp:positionV>
            <wp:extent cx="404749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47490" cy="2603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0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December 31, 2015, there was $53.5 million outstanding on our revolving credit facility.</w:t>
      </w:r>
    </w:p>
    <w:p>
      <w:pPr>
        <w:spacing w:after="0" w:line="10" w:lineRule="exact"/>
        <w:rPr>
          <w:rFonts w:ascii="Arial" w:cs="Arial" w:eastAsia="Arial" w:hAnsi="Arial"/>
          <w:sz w:val="16"/>
          <w:szCs w:val="16"/>
          <w:color w:val="auto"/>
        </w:rPr>
      </w:pPr>
    </w:p>
    <w:p>
      <w:pPr>
        <w:ind w:left="660" w:right="18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 on certain mortgage loans and senior notes as of December 31, 2015.</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2015</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 (1)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Projected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Property</w:t>
            </w:r>
          </w:p>
        </w:tc>
        <w:tc>
          <w:tcPr>
            <w:tcW w:w="11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Location</w:t>
            </w:r>
          </w:p>
        </w:tc>
        <w:tc>
          <w:tcPr>
            <w:tcW w:w="512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Opportunity</w:t>
            </w:r>
          </w:p>
        </w:tc>
        <w:tc>
          <w:tcPr>
            <w:tcW w:w="8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5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ROI (2)</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78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700" w:type="dxa"/>
            <w:vAlign w:val="bottom"/>
          </w:tcPr>
          <w:p>
            <w:pPr>
              <w:ind w:left="40"/>
              <w:spacing w:after="0"/>
              <w:rPr>
                <w:sz w:val="20"/>
                <w:szCs w:val="20"/>
                <w:color w:val="auto"/>
              </w:rPr>
            </w:pPr>
            <w:r>
              <w:rPr>
                <w:rFonts w:ascii="Arial" w:cs="Arial" w:eastAsia="Arial" w:hAnsi="Arial"/>
                <w:sz w:val="14"/>
                <w:szCs w:val="14"/>
                <w:b w:val="1"/>
                <w:bCs w:val="1"/>
                <w:color w:val="auto"/>
                <w:w w:val="93"/>
              </w:rPr>
              <w:t>Projects Stabilized in 2015</w:t>
            </w:r>
          </w:p>
        </w:tc>
        <w:tc>
          <w:tcPr>
            <w:tcW w:w="1160" w:type="dxa"/>
            <w:vAlign w:val="bottom"/>
          </w:tcPr>
          <w:p>
            <w:pPr>
              <w:spacing w:after="0"/>
              <w:rPr>
                <w:sz w:val="23"/>
                <w:szCs w:val="23"/>
                <w:color w:val="auto"/>
              </w:rPr>
            </w:pPr>
          </w:p>
        </w:tc>
        <w:tc>
          <w:tcPr>
            <w:tcW w:w="5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40"/>
              <w:spacing w:after="0"/>
              <w:rPr>
                <w:sz w:val="20"/>
                <w:szCs w:val="20"/>
                <w:color w:val="auto"/>
              </w:rPr>
            </w:pPr>
            <w:r>
              <w:rPr>
                <w:rFonts w:ascii="Arial" w:cs="Arial" w:eastAsia="Arial" w:hAnsi="Arial"/>
                <w:sz w:val="14"/>
                <w:szCs w:val="14"/>
                <w:color w:val="auto"/>
              </w:rPr>
              <w:t>Willow Lawn</w:t>
            </w:r>
          </w:p>
        </w:tc>
        <w:tc>
          <w:tcPr>
            <w:tcW w:w="1160" w:type="dxa"/>
            <w:vAlign w:val="bottom"/>
          </w:tcPr>
          <w:p>
            <w:pPr>
              <w:ind w:left="40"/>
              <w:spacing w:after="0"/>
              <w:rPr>
                <w:sz w:val="20"/>
                <w:szCs w:val="20"/>
                <w:color w:val="auto"/>
              </w:rPr>
            </w:pPr>
            <w:r>
              <w:rPr>
                <w:rFonts w:ascii="Arial" w:cs="Arial" w:eastAsia="Arial" w:hAnsi="Arial"/>
                <w:sz w:val="14"/>
                <w:szCs w:val="14"/>
                <w:color w:val="auto"/>
              </w:rPr>
              <w:t>Richmond, VA</w:t>
            </w:r>
          </w:p>
        </w:tc>
        <w:tc>
          <w:tcPr>
            <w:tcW w:w="5120" w:type="dxa"/>
            <w:vAlign w:val="bottom"/>
          </w:tcPr>
          <w:p>
            <w:pPr>
              <w:ind w:left="20"/>
              <w:spacing w:after="0"/>
              <w:rPr>
                <w:sz w:val="20"/>
                <w:szCs w:val="20"/>
                <w:color w:val="auto"/>
              </w:rPr>
            </w:pPr>
            <w:r>
              <w:rPr>
                <w:rFonts w:ascii="Arial" w:cs="Arial" w:eastAsia="Arial" w:hAnsi="Arial"/>
                <w:sz w:val="14"/>
                <w:szCs w:val="14"/>
                <w:color w:val="auto"/>
                <w:w w:val="95"/>
              </w:rPr>
              <w:t>Demo interior mall, relocate mall tenants, construct new exterior GLA, and gas station</w:t>
            </w:r>
          </w:p>
        </w:tc>
        <w:tc>
          <w:tcPr>
            <w:tcW w:w="840" w:type="dxa"/>
            <w:vAlign w:val="bottom"/>
          </w:tcPr>
          <w:p>
            <w:pPr>
              <w:jc w:val="right"/>
              <w:spacing w:after="0"/>
              <w:rPr>
                <w:sz w:val="20"/>
                <w:szCs w:val="20"/>
                <w:color w:val="auto"/>
              </w:rPr>
            </w:pPr>
            <w:r>
              <w:rPr>
                <w:rFonts w:ascii="Arial" w:cs="Arial" w:eastAsia="Arial" w:hAnsi="Arial"/>
                <w:sz w:val="14"/>
                <w:szCs w:val="14"/>
                <w:color w:val="auto"/>
              </w:rPr>
              <w:t>10%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Mercer Mall</w:t>
            </w:r>
          </w:p>
        </w:tc>
        <w:tc>
          <w:tcPr>
            <w:tcW w:w="1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Lawrenceville, NJ</w:t>
            </w:r>
          </w:p>
        </w:tc>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7"/>
              </w:rPr>
              <w:t>Addition of 27,000 square feet of space including new in-line space, addition of bank</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$11</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pad and reconfiguration of existing pad site and anchor box</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00" w:type="dxa"/>
            <w:vAlign w:val="bottom"/>
          </w:tcPr>
          <w:p>
            <w:pPr>
              <w:ind w:left="40"/>
              <w:spacing w:after="0" w:line="157" w:lineRule="exact"/>
              <w:rPr>
                <w:sz w:val="20"/>
                <w:szCs w:val="20"/>
                <w:color w:val="auto"/>
              </w:rPr>
            </w:pPr>
            <w:r>
              <w:rPr>
                <w:rFonts w:ascii="Arial" w:cs="Arial" w:eastAsia="Arial" w:hAnsi="Arial"/>
                <w:sz w:val="14"/>
                <w:szCs w:val="14"/>
                <w:color w:val="auto"/>
              </w:rPr>
              <w:t>Quince Orchard</w:t>
            </w:r>
          </w:p>
        </w:tc>
        <w:tc>
          <w:tcPr>
            <w:tcW w:w="1160" w:type="dxa"/>
            <w:vAlign w:val="bottom"/>
          </w:tcPr>
          <w:p>
            <w:pPr>
              <w:ind w:left="40"/>
              <w:spacing w:after="0" w:line="157" w:lineRule="exact"/>
              <w:rPr>
                <w:sz w:val="20"/>
                <w:szCs w:val="20"/>
                <w:color w:val="auto"/>
              </w:rPr>
            </w:pPr>
            <w:r>
              <w:rPr>
                <w:rFonts w:ascii="Arial" w:cs="Arial" w:eastAsia="Arial" w:hAnsi="Arial"/>
                <w:sz w:val="14"/>
                <w:szCs w:val="14"/>
                <w:color w:val="auto"/>
                <w:w w:val="99"/>
              </w:rPr>
              <w:t>Gaithersburg, MD</w:t>
            </w:r>
          </w:p>
        </w:tc>
        <w:tc>
          <w:tcPr>
            <w:tcW w:w="5120" w:type="dxa"/>
            <w:vAlign w:val="bottom"/>
          </w:tcPr>
          <w:p>
            <w:pPr>
              <w:ind w:left="20"/>
              <w:spacing w:after="0" w:line="157" w:lineRule="exact"/>
              <w:rPr>
                <w:sz w:val="20"/>
                <w:szCs w:val="20"/>
                <w:color w:val="auto"/>
              </w:rPr>
            </w:pPr>
            <w:r>
              <w:rPr>
                <w:rFonts w:ascii="Arial" w:cs="Arial" w:eastAsia="Arial" w:hAnsi="Arial"/>
                <w:sz w:val="14"/>
                <w:szCs w:val="14"/>
                <w:color w:val="auto"/>
                <w:w w:val="97"/>
              </w:rPr>
              <w:t>Property repositioning through demo of non-functional small shop space, creation of</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120" w:type="dxa"/>
            <w:vAlign w:val="bottom"/>
          </w:tcPr>
          <w:p>
            <w:pPr>
              <w:ind w:left="20"/>
              <w:spacing w:after="0" w:line="149" w:lineRule="exact"/>
              <w:rPr>
                <w:sz w:val="20"/>
                <w:szCs w:val="20"/>
                <w:color w:val="auto"/>
              </w:rPr>
            </w:pPr>
            <w:r>
              <w:rPr>
                <w:rFonts w:ascii="Arial" w:cs="Arial" w:eastAsia="Arial" w:hAnsi="Arial"/>
                <w:sz w:val="14"/>
                <w:szCs w:val="14"/>
                <w:color w:val="auto"/>
              </w:rPr>
              <w:t>new anchor box, rightsizing of national office products tenant, and creation of new</w:t>
            </w: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visible small shop space</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East Bay Bridge</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Emeryville, CA</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4"/>
              </w:rPr>
              <w:t>Reconfigure two existing spaces consisting of 48,000 square feet to accommodate two</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tenants, add two new restaurant tenants, and courtyard renovations</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Flourtown</w:t>
            </w:r>
          </w:p>
        </w:tc>
        <w:tc>
          <w:tcPr>
            <w:tcW w:w="1160" w:type="dxa"/>
            <w:vAlign w:val="bottom"/>
          </w:tcPr>
          <w:p>
            <w:pPr>
              <w:ind w:left="40"/>
              <w:spacing w:after="0"/>
              <w:rPr>
                <w:sz w:val="20"/>
                <w:szCs w:val="20"/>
                <w:color w:val="auto"/>
              </w:rPr>
            </w:pPr>
            <w:r>
              <w:rPr>
                <w:rFonts w:ascii="Arial" w:cs="Arial" w:eastAsia="Arial" w:hAnsi="Arial"/>
                <w:sz w:val="14"/>
                <w:szCs w:val="14"/>
                <w:color w:val="auto"/>
              </w:rPr>
              <w:t>Flourtown, PA</w:t>
            </w:r>
          </w:p>
        </w:tc>
        <w:tc>
          <w:tcPr>
            <w:tcW w:w="5120" w:type="dxa"/>
            <w:vAlign w:val="bottom"/>
          </w:tcPr>
          <w:p>
            <w:pPr>
              <w:ind w:left="20"/>
              <w:spacing w:after="0"/>
              <w:rPr>
                <w:sz w:val="20"/>
                <w:szCs w:val="20"/>
                <w:color w:val="auto"/>
              </w:rPr>
            </w:pPr>
            <w:r>
              <w:rPr>
                <w:rFonts w:ascii="Arial" w:cs="Arial" w:eastAsia="Arial" w:hAnsi="Arial"/>
                <w:sz w:val="14"/>
                <w:szCs w:val="14"/>
                <w:color w:val="auto"/>
              </w:rPr>
              <w:t>New 75,000 square foot grocer and new 38,000 square foot movie theater</w:t>
            </w:r>
          </w:p>
        </w:tc>
        <w:tc>
          <w:tcPr>
            <w:tcW w:w="840" w:type="dxa"/>
            <w:vAlign w:val="bottom"/>
          </w:tcPr>
          <w:p>
            <w:pPr>
              <w:jc w:val="right"/>
              <w:spacing w:after="0"/>
              <w:rPr>
                <w:sz w:val="20"/>
                <w:szCs w:val="20"/>
                <w:color w:val="auto"/>
              </w:rPr>
            </w:pPr>
            <w:r>
              <w:rPr>
                <w:rFonts w:ascii="Arial" w:cs="Arial" w:eastAsia="Arial" w:hAnsi="Arial"/>
                <w:sz w:val="14"/>
                <w:szCs w:val="14"/>
                <w:color w:val="auto"/>
              </w:rPr>
              <w:t>14%</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Pentagon Row</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Arlington, VA</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Ice rink expansion and 1,500 square feet of new retail space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7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Pr>
          <w:p>
            <w:pPr>
              <w:ind w:left="40"/>
              <w:spacing w:after="0" w:line="157" w:lineRule="exact"/>
              <w:rPr>
                <w:sz w:val="20"/>
                <w:szCs w:val="20"/>
                <w:color w:val="auto"/>
              </w:rPr>
            </w:pPr>
            <w:r>
              <w:rPr>
                <w:rFonts w:ascii="Arial" w:cs="Arial" w:eastAsia="Arial" w:hAnsi="Arial"/>
                <w:sz w:val="14"/>
                <w:szCs w:val="14"/>
                <w:color w:val="auto"/>
              </w:rPr>
              <w:t>Third Street Promenade</w:t>
            </w:r>
          </w:p>
        </w:tc>
        <w:tc>
          <w:tcPr>
            <w:tcW w:w="1160" w:type="dxa"/>
            <w:vAlign w:val="bottom"/>
          </w:tcPr>
          <w:p>
            <w:pPr>
              <w:ind w:left="40"/>
              <w:spacing w:after="0" w:line="157" w:lineRule="exact"/>
              <w:rPr>
                <w:sz w:val="20"/>
                <w:szCs w:val="20"/>
                <w:color w:val="auto"/>
              </w:rPr>
            </w:pPr>
            <w:r>
              <w:rPr>
                <w:rFonts w:ascii="Arial" w:cs="Arial" w:eastAsia="Arial" w:hAnsi="Arial"/>
                <w:sz w:val="14"/>
                <w:szCs w:val="14"/>
                <w:color w:val="auto"/>
                <w:w w:val="97"/>
              </w:rPr>
              <w:t>Santa Monica, CA</w:t>
            </w:r>
          </w:p>
        </w:tc>
        <w:tc>
          <w:tcPr>
            <w:tcW w:w="5120" w:type="dxa"/>
            <w:vAlign w:val="bottom"/>
          </w:tcPr>
          <w:p>
            <w:pPr>
              <w:ind w:left="20"/>
              <w:spacing w:after="0" w:line="157" w:lineRule="exact"/>
              <w:rPr>
                <w:sz w:val="20"/>
                <w:szCs w:val="20"/>
                <w:color w:val="auto"/>
              </w:rPr>
            </w:pPr>
            <w:r>
              <w:rPr>
                <w:rFonts w:ascii="Arial" w:cs="Arial" w:eastAsia="Arial" w:hAnsi="Arial"/>
                <w:sz w:val="14"/>
                <w:szCs w:val="14"/>
                <w:color w:val="auto"/>
                <w:w w:val="99"/>
              </w:rPr>
              <w:t>Building modified to convert second floor space to office to accommodate new first</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25%</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floor retail and second floor office tenants</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Troy</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Parsippany, NJ</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4,000 square foot pad building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7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Brick Plaza</w:t>
            </w:r>
          </w:p>
        </w:tc>
        <w:tc>
          <w:tcPr>
            <w:tcW w:w="1160" w:type="dxa"/>
            <w:vAlign w:val="bottom"/>
          </w:tcPr>
          <w:p>
            <w:pPr>
              <w:ind w:left="40"/>
              <w:spacing w:after="0"/>
              <w:rPr>
                <w:sz w:val="20"/>
                <w:szCs w:val="20"/>
                <w:color w:val="auto"/>
              </w:rPr>
            </w:pPr>
            <w:r>
              <w:rPr>
                <w:rFonts w:ascii="Arial" w:cs="Arial" w:eastAsia="Arial" w:hAnsi="Arial"/>
                <w:sz w:val="14"/>
                <w:szCs w:val="14"/>
                <w:color w:val="auto"/>
              </w:rPr>
              <w:t>Brick, NJ</w:t>
            </w:r>
          </w:p>
        </w:tc>
        <w:tc>
          <w:tcPr>
            <w:tcW w:w="5120" w:type="dxa"/>
            <w:vAlign w:val="bottom"/>
          </w:tcPr>
          <w:p>
            <w:pPr>
              <w:ind w:left="20"/>
              <w:spacing w:after="0"/>
              <w:rPr>
                <w:sz w:val="20"/>
                <w:szCs w:val="20"/>
                <w:color w:val="auto"/>
              </w:rPr>
            </w:pPr>
            <w:r>
              <w:rPr>
                <w:rFonts w:ascii="Arial" w:cs="Arial" w:eastAsia="Arial" w:hAnsi="Arial"/>
                <w:sz w:val="14"/>
                <w:szCs w:val="14"/>
                <w:color w:val="auto"/>
              </w:rPr>
              <w:t>New restaurant pad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Finley Square</w:t>
            </w:r>
          </w:p>
        </w:tc>
        <w:tc>
          <w:tcPr>
            <w:tcW w:w="1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Downers Grove,</w:t>
            </w:r>
          </w:p>
        </w:tc>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New 2,000 square foot pad building</w:t>
            </w:r>
          </w:p>
        </w:tc>
        <w:tc>
          <w:tcPr>
            <w:tcW w:w="8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8"/>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IL</w:t>
            </w:r>
          </w:p>
        </w:tc>
        <w:tc>
          <w:tcPr>
            <w:tcW w:w="512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860" w:type="dxa"/>
            <w:vAlign w:val="bottom"/>
            <w:gridSpan w:val="2"/>
          </w:tcPr>
          <w:p>
            <w:pPr>
              <w:ind w:left="380"/>
              <w:spacing w:after="0"/>
              <w:rPr>
                <w:sz w:val="20"/>
                <w:szCs w:val="20"/>
                <w:color w:val="auto"/>
              </w:rPr>
            </w:pPr>
            <w:r>
              <w:rPr>
                <w:rFonts w:ascii="Arial" w:cs="Arial" w:eastAsia="Arial" w:hAnsi="Arial"/>
                <w:sz w:val="14"/>
                <w:szCs w:val="14"/>
                <w:b w:val="1"/>
                <w:bCs w:val="1"/>
                <w:color w:val="auto"/>
                <w:w w:val="96"/>
              </w:rPr>
              <w:t>Total Projects Stabilized in 2015 (3) (4)</w:t>
            </w:r>
          </w:p>
        </w:tc>
        <w:tc>
          <w:tcPr>
            <w:tcW w:w="512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Active Redevelopment Projects</w:t>
            </w:r>
          </w:p>
        </w:tc>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860" w:type="dxa"/>
            <w:vAlign w:val="bottom"/>
            <w:gridSpan w:val="2"/>
            <w:vMerge w:val="continue"/>
          </w:tcPr>
          <w:p>
            <w:pPr>
              <w:spacing w:after="0"/>
              <w:rPr>
                <w:sz w:val="24"/>
                <w:szCs w:val="24"/>
                <w:color w:val="auto"/>
              </w:rPr>
            </w:pPr>
          </w:p>
        </w:tc>
        <w:tc>
          <w:tcPr>
            <w:tcW w:w="5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 - Lot 11</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 Jose, CA</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Addition of 6-story building with 234,500 square feet of office space, and 670 parking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$110 -</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spaces</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The Point</w:t>
            </w:r>
          </w:p>
        </w:tc>
        <w:tc>
          <w:tcPr>
            <w:tcW w:w="1160" w:type="dxa"/>
            <w:vAlign w:val="bottom"/>
          </w:tcPr>
          <w:p>
            <w:pPr>
              <w:ind w:left="40"/>
              <w:spacing w:after="0"/>
              <w:rPr>
                <w:sz w:val="20"/>
                <w:szCs w:val="20"/>
                <w:color w:val="auto"/>
              </w:rPr>
            </w:pPr>
            <w:r>
              <w:rPr>
                <w:rFonts w:ascii="Arial" w:cs="Arial" w:eastAsia="Arial" w:hAnsi="Arial"/>
                <w:sz w:val="14"/>
                <w:szCs w:val="14"/>
                <w:color w:val="auto"/>
              </w:rPr>
              <w:t>El Segundo, CA</w:t>
            </w:r>
          </w:p>
        </w:tc>
        <w:tc>
          <w:tcPr>
            <w:tcW w:w="5120" w:type="dxa"/>
            <w:vAlign w:val="bottom"/>
          </w:tcPr>
          <w:p>
            <w:pPr>
              <w:ind w:left="20"/>
              <w:spacing w:after="0"/>
              <w:rPr>
                <w:sz w:val="20"/>
                <w:szCs w:val="20"/>
                <w:color w:val="auto"/>
              </w:rPr>
            </w:pPr>
            <w:r>
              <w:rPr>
                <w:rFonts w:ascii="Arial" w:cs="Arial" w:eastAsia="Arial" w:hAnsi="Arial"/>
                <w:sz w:val="14"/>
                <w:szCs w:val="14"/>
                <w:color w:val="auto"/>
              </w:rPr>
              <w:t>Addition of 90,000 square feet of retail and 25,000 square feet of office space</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$78</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Center</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 Jose, CA</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7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tcPr>
          <w:p>
            <w:pPr>
              <w:ind w:left="40"/>
              <w:spacing w:after="0" w:line="157" w:lineRule="exact"/>
              <w:rPr>
                <w:sz w:val="20"/>
                <w:szCs w:val="20"/>
                <w:color w:val="auto"/>
              </w:rPr>
            </w:pPr>
            <w:r>
              <w:rPr>
                <w:rFonts w:ascii="Arial" w:cs="Arial" w:eastAsia="Arial" w:hAnsi="Arial"/>
                <w:sz w:val="14"/>
                <w:szCs w:val="14"/>
                <w:color w:val="auto"/>
              </w:rPr>
              <w:t>Plaza Del Mercado</w:t>
            </w:r>
          </w:p>
        </w:tc>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Silver Spring, MD</w:t>
            </w:r>
          </w:p>
        </w:tc>
        <w:tc>
          <w:tcPr>
            <w:tcW w:w="5120" w:type="dxa"/>
            <w:vAlign w:val="bottom"/>
          </w:tcPr>
          <w:p>
            <w:pPr>
              <w:ind w:left="20"/>
              <w:spacing w:after="0" w:line="157" w:lineRule="exact"/>
              <w:rPr>
                <w:sz w:val="20"/>
                <w:szCs w:val="20"/>
                <w:color w:val="auto"/>
              </w:rPr>
            </w:pPr>
            <w:r>
              <w:rPr>
                <w:rFonts w:ascii="Arial" w:cs="Arial" w:eastAsia="Arial" w:hAnsi="Arial"/>
                <w:sz w:val="14"/>
                <w:szCs w:val="14"/>
                <w:color w:val="auto"/>
                <w:w w:val="94"/>
              </w:rPr>
              <w:t>Demolition of former grocery anchor space to construct spaces for new grocery anchor</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$16</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and fitness center tenants</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Tower Shops</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Davie, FL</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 of 50,000 square foot pad building</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7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Congressional Plaza</w:t>
            </w:r>
          </w:p>
        </w:tc>
        <w:tc>
          <w:tcPr>
            <w:tcW w:w="1160" w:type="dxa"/>
            <w:vAlign w:val="bottom"/>
          </w:tcPr>
          <w:p>
            <w:pPr>
              <w:ind w:left="40"/>
              <w:spacing w:after="0"/>
              <w:rPr>
                <w:sz w:val="20"/>
                <w:szCs w:val="20"/>
                <w:color w:val="auto"/>
              </w:rPr>
            </w:pPr>
            <w:r>
              <w:rPr>
                <w:rFonts w:ascii="Arial" w:cs="Arial" w:eastAsia="Arial" w:hAnsi="Arial"/>
                <w:sz w:val="14"/>
                <w:szCs w:val="14"/>
                <w:color w:val="auto"/>
              </w:rPr>
              <w:t>Rockville, MD</w:t>
            </w:r>
          </w:p>
        </w:tc>
        <w:tc>
          <w:tcPr>
            <w:tcW w:w="5120" w:type="dxa"/>
            <w:vAlign w:val="bottom"/>
          </w:tcPr>
          <w:p>
            <w:pPr>
              <w:ind w:left="20"/>
              <w:spacing w:after="0"/>
              <w:rPr>
                <w:sz w:val="20"/>
                <w:szCs w:val="20"/>
                <w:color w:val="auto"/>
              </w:rPr>
            </w:pPr>
            <w:r>
              <w:rPr>
                <w:rFonts w:ascii="Arial" w:cs="Arial" w:eastAsia="Arial" w:hAnsi="Arial"/>
                <w:sz w:val="14"/>
                <w:szCs w:val="14"/>
                <w:color w:val="auto"/>
              </w:rPr>
              <w:t>New 48 unit rental apartment building</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Congressional Plaza</w:t>
            </w:r>
          </w:p>
        </w:tc>
        <w:tc>
          <w:tcPr>
            <w:tcW w:w="1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Rockville, MD</w:t>
            </w:r>
          </w:p>
        </w:tc>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Conversion of office space into 39,000 square feet of retail anchor space to</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$7</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accommodate new tenant</w:t>
            </w: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Willow Lawn</w:t>
            </w:r>
          </w:p>
        </w:tc>
        <w:tc>
          <w:tcPr>
            <w:tcW w:w="1160" w:type="dxa"/>
            <w:vAlign w:val="bottom"/>
          </w:tcPr>
          <w:p>
            <w:pPr>
              <w:ind w:left="40"/>
              <w:spacing w:after="0"/>
              <w:rPr>
                <w:sz w:val="20"/>
                <w:szCs w:val="20"/>
                <w:color w:val="auto"/>
              </w:rPr>
            </w:pPr>
            <w:r>
              <w:rPr>
                <w:rFonts w:ascii="Arial" w:cs="Arial" w:eastAsia="Arial" w:hAnsi="Arial"/>
                <w:sz w:val="14"/>
                <w:szCs w:val="14"/>
                <w:color w:val="auto"/>
              </w:rPr>
              <w:t>Richmond, VA</w:t>
            </w:r>
          </w:p>
        </w:tc>
        <w:tc>
          <w:tcPr>
            <w:tcW w:w="5120" w:type="dxa"/>
            <w:vAlign w:val="bottom"/>
          </w:tcPr>
          <w:p>
            <w:pPr>
              <w:ind w:left="20"/>
              <w:spacing w:after="0"/>
              <w:rPr>
                <w:sz w:val="20"/>
                <w:szCs w:val="20"/>
                <w:color w:val="auto"/>
              </w:rPr>
            </w:pPr>
            <w:r>
              <w:rPr>
                <w:rFonts w:ascii="Arial" w:cs="Arial" w:eastAsia="Arial" w:hAnsi="Arial"/>
                <w:sz w:val="14"/>
                <w:szCs w:val="14"/>
                <w:color w:val="auto"/>
              </w:rPr>
              <w:t>Construction of two new in-line retail spaces totaling 17,400 square feet</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Santana Row</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San Jose, CA</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 of two retail kiosks and open air plaza upgrades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17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1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700" w:type="dxa"/>
            <w:vAlign w:val="bottom"/>
          </w:tcPr>
          <w:p>
            <w:pPr>
              <w:ind w:left="40"/>
              <w:spacing w:after="0"/>
              <w:rPr>
                <w:sz w:val="20"/>
                <w:szCs w:val="20"/>
                <w:color w:val="auto"/>
              </w:rPr>
            </w:pPr>
            <w:r>
              <w:rPr>
                <w:rFonts w:ascii="Arial" w:cs="Arial" w:eastAsia="Arial" w:hAnsi="Arial"/>
                <w:sz w:val="14"/>
                <w:szCs w:val="14"/>
                <w:color w:val="auto"/>
              </w:rPr>
              <w:t>Eastgate</w:t>
            </w:r>
          </w:p>
        </w:tc>
        <w:tc>
          <w:tcPr>
            <w:tcW w:w="1160" w:type="dxa"/>
            <w:vAlign w:val="bottom"/>
          </w:tcPr>
          <w:p>
            <w:pPr>
              <w:ind w:left="40"/>
              <w:spacing w:after="0"/>
              <w:rPr>
                <w:sz w:val="20"/>
                <w:szCs w:val="20"/>
                <w:color w:val="auto"/>
              </w:rPr>
            </w:pPr>
            <w:r>
              <w:rPr>
                <w:rFonts w:ascii="Arial" w:cs="Arial" w:eastAsia="Arial" w:hAnsi="Arial"/>
                <w:sz w:val="14"/>
                <w:szCs w:val="14"/>
                <w:color w:val="auto"/>
              </w:rPr>
              <w:t>Chapel Hill, NC</w:t>
            </w:r>
          </w:p>
        </w:tc>
        <w:tc>
          <w:tcPr>
            <w:tcW w:w="5120" w:type="dxa"/>
            <w:vAlign w:val="bottom"/>
          </w:tcPr>
          <w:p>
            <w:pPr>
              <w:ind w:left="20"/>
              <w:spacing w:after="0"/>
              <w:rPr>
                <w:sz w:val="20"/>
                <w:szCs w:val="20"/>
                <w:color w:val="auto"/>
              </w:rPr>
            </w:pPr>
            <w:r>
              <w:rPr>
                <w:rFonts w:ascii="Arial" w:cs="Arial" w:eastAsia="Arial" w:hAnsi="Arial"/>
                <w:sz w:val="14"/>
                <w:szCs w:val="14"/>
                <w:color w:val="auto"/>
              </w:rPr>
              <w:t>New 7,400 square foot multi-tenant pad building on site of existing gas station</w:t>
            </w: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17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7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The AVENUE at White</w:t>
            </w:r>
          </w:p>
        </w:tc>
        <w:tc>
          <w:tcPr>
            <w:tcW w:w="11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White Marsh, MD</w:t>
            </w:r>
          </w:p>
        </w:tc>
        <w:tc>
          <w:tcPr>
            <w:tcW w:w="51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Addition of two new pad sites totaling 13,000 square feet and a drive up ATM</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11%</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w:t>
            </w:r>
          </w:p>
        </w:tc>
        <w:tc>
          <w:tcPr>
            <w:tcW w:w="78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194"/>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Marsh</w:t>
            </w:r>
          </w:p>
        </w:tc>
        <w:tc>
          <w:tcPr>
            <w:tcW w:w="1160" w:type="dxa"/>
            <w:vAlign w:val="bottom"/>
            <w:shd w:val="clear" w:color="auto" w:fill="CCEEFF"/>
          </w:tcPr>
          <w:p>
            <w:pPr>
              <w:spacing w:after="0"/>
              <w:rPr>
                <w:sz w:val="16"/>
                <w:szCs w:val="16"/>
                <w:color w:val="auto"/>
              </w:rPr>
            </w:pPr>
          </w:p>
        </w:tc>
        <w:tc>
          <w:tcPr>
            <w:tcW w:w="5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700" w:type="dxa"/>
            <w:vAlign w:val="bottom"/>
          </w:tcPr>
          <w:p>
            <w:pPr>
              <w:ind w:left="40"/>
              <w:spacing w:after="0" w:line="157" w:lineRule="exact"/>
              <w:rPr>
                <w:sz w:val="20"/>
                <w:szCs w:val="20"/>
                <w:color w:val="auto"/>
              </w:rPr>
            </w:pPr>
            <w:r>
              <w:rPr>
                <w:rFonts w:ascii="Arial" w:cs="Arial" w:eastAsia="Arial" w:hAnsi="Arial"/>
                <w:sz w:val="14"/>
                <w:szCs w:val="14"/>
                <w:color w:val="auto"/>
              </w:rPr>
              <w:t>Mercer Mall</w:t>
            </w:r>
          </w:p>
        </w:tc>
        <w:tc>
          <w:tcPr>
            <w:tcW w:w="1160" w:type="dxa"/>
            <w:vAlign w:val="bottom"/>
          </w:tcPr>
          <w:p>
            <w:pPr>
              <w:ind w:left="40"/>
              <w:spacing w:after="0" w:line="157" w:lineRule="exact"/>
              <w:rPr>
                <w:sz w:val="20"/>
                <w:szCs w:val="20"/>
                <w:color w:val="auto"/>
              </w:rPr>
            </w:pPr>
            <w:r>
              <w:rPr>
                <w:rFonts w:ascii="Arial" w:cs="Arial" w:eastAsia="Arial" w:hAnsi="Arial"/>
                <w:sz w:val="14"/>
                <w:szCs w:val="14"/>
                <w:color w:val="auto"/>
              </w:rPr>
              <w:t>Lawrenceville, NJ</w:t>
            </w:r>
          </w:p>
        </w:tc>
        <w:tc>
          <w:tcPr>
            <w:tcW w:w="5120" w:type="dxa"/>
            <w:vAlign w:val="bottom"/>
          </w:tcPr>
          <w:p>
            <w:pPr>
              <w:ind w:left="20"/>
              <w:spacing w:after="0" w:line="157" w:lineRule="exact"/>
              <w:rPr>
                <w:sz w:val="20"/>
                <w:szCs w:val="20"/>
                <w:color w:val="auto"/>
              </w:rPr>
            </w:pPr>
            <w:r>
              <w:rPr>
                <w:rFonts w:ascii="Arial" w:cs="Arial" w:eastAsia="Arial" w:hAnsi="Arial"/>
                <w:sz w:val="14"/>
                <w:szCs w:val="14"/>
                <w:color w:val="auto"/>
              </w:rPr>
              <w:t>Demolition of existing 3,000 square foot pad building to allow for construction of a</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780" w:type="dxa"/>
            <w:vAlign w:val="bottom"/>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4"/>
                <w:szCs w:val="14"/>
                <w:color w:val="auto"/>
              </w:rPr>
              <w:t>multi-restaurant pad building totaling 5,600 square feet</w:t>
            </w: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Wynnewood</w:t>
            </w:r>
          </w:p>
        </w:tc>
        <w:tc>
          <w:tcPr>
            <w:tcW w:w="1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Wynnewood, PA</w:t>
            </w:r>
          </w:p>
        </w:tc>
        <w:tc>
          <w:tcPr>
            <w:tcW w:w="5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obsolete 2nd floor office space to residential</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70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120" w:type="dxa"/>
            <w:vAlign w:val="bottom"/>
            <w:shd w:val="clear" w:color="auto" w:fill="CCEEFF"/>
          </w:tcPr>
          <w:p>
            <w:pPr>
              <w:spacing w:after="0"/>
              <w:rPr>
                <w:sz w:val="6"/>
                <w:szCs w:val="6"/>
                <w:color w:val="auto"/>
              </w:rPr>
            </w:pPr>
          </w:p>
        </w:tc>
        <w:tc>
          <w:tcPr>
            <w:tcW w:w="8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1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rPr>
              <w:t>$289 -</w:t>
            </w: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860" w:type="dxa"/>
            <w:vAlign w:val="bottom"/>
            <w:gridSpan w:val="2"/>
          </w:tcPr>
          <w:p>
            <w:pPr>
              <w:ind w:left="380"/>
              <w:spacing w:after="0"/>
              <w:rPr>
                <w:sz w:val="20"/>
                <w:szCs w:val="20"/>
                <w:color w:val="auto"/>
              </w:rPr>
            </w:pPr>
            <w:r>
              <w:rPr>
                <w:rFonts w:ascii="Arial" w:cs="Arial" w:eastAsia="Arial" w:hAnsi="Arial"/>
                <w:sz w:val="14"/>
                <w:szCs w:val="14"/>
                <w:b w:val="1"/>
                <w:bCs w:val="1"/>
                <w:color w:val="auto"/>
                <w:w w:val="92"/>
              </w:rPr>
              <w:t>Total Active Redevelopment projects (4)</w:t>
            </w:r>
          </w:p>
        </w:tc>
        <w:tc>
          <w:tcPr>
            <w:tcW w:w="512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$294</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$180</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97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Pike &amp; Rose and Assembly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2015</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Property (1)</w:t>
            </w:r>
          </w:p>
        </w:tc>
        <w:tc>
          <w:tcPr>
            <w:tcW w:w="11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Location</w:t>
            </w:r>
          </w:p>
        </w:tc>
        <w:tc>
          <w:tcPr>
            <w:tcW w:w="304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Opportunity</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2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4"/>
                <w:szCs w:val="14"/>
                <w:b w:val="1"/>
                <w:bCs w:val="1"/>
                <w:color w:val="auto"/>
              </w:rPr>
              <w:t>Total Cost</w:t>
            </w: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Costs to</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Anticipated</w:t>
            </w:r>
          </w:p>
        </w:tc>
        <w:tc>
          <w:tcPr>
            <w:tcW w:w="21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Other Information</w:t>
            </w:r>
          </w:p>
        </w:tc>
        <w:tc>
          <w:tcPr>
            <w:tcW w:w="0" w:type="dxa"/>
            <w:vAlign w:val="bottom"/>
          </w:tcPr>
          <w:p>
            <w:pPr>
              <w:spacing w:after="0"/>
              <w:rPr>
                <w:sz w:val="1"/>
                <w:szCs w:val="1"/>
                <w:color w:val="auto"/>
              </w:rPr>
            </w:pPr>
          </w:p>
        </w:tc>
      </w:tr>
      <w:tr>
        <w:trPr>
          <w:trHeight w:val="192"/>
        </w:trPr>
        <w:tc>
          <w:tcPr>
            <w:tcW w:w="1360" w:type="dxa"/>
            <w:vAlign w:val="bottom"/>
            <w:tcBorders>
              <w:bottom w:val="single" w:sz="8" w:color="auto"/>
            </w:tcBorders>
            <w:gridSpan w:val="2"/>
            <w:vMerge w:val="continue"/>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30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(3)</w:t>
            </w: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Date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Stabilization</w:t>
            </w:r>
          </w:p>
        </w:tc>
        <w:tc>
          <w:tcPr>
            <w:tcW w:w="2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ind w:left="40"/>
              <w:spacing w:after="0" w:line="157" w:lineRule="exact"/>
              <w:rPr>
                <w:sz w:val="20"/>
                <w:szCs w:val="20"/>
                <w:color w:val="auto"/>
              </w:rPr>
            </w:pPr>
            <w:r>
              <w:rPr>
                <w:rFonts w:ascii="Arial" w:cs="Arial" w:eastAsia="Arial" w:hAnsi="Arial"/>
                <w:sz w:val="14"/>
                <w:szCs w:val="14"/>
                <w:color w:val="auto"/>
              </w:rPr>
              <w:t>(in millions)</w:t>
            </w: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(in</w:t>
            </w:r>
          </w:p>
        </w:tc>
        <w:tc>
          <w:tcPr>
            <w:tcW w:w="10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millions)</w:t>
            </w:r>
          </w:p>
        </w:tc>
        <w:tc>
          <w:tcPr>
            <w:tcW w:w="10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460" w:type="dxa"/>
            <w:vAlign w:val="bottom"/>
            <w:gridSpan w:val="5"/>
          </w:tcPr>
          <w:p>
            <w:pPr>
              <w:ind w:left="40"/>
              <w:spacing w:after="0"/>
              <w:rPr>
                <w:sz w:val="20"/>
                <w:szCs w:val="20"/>
                <w:color w:val="auto"/>
              </w:rPr>
            </w:pPr>
            <w:r>
              <w:rPr>
                <w:rFonts w:ascii="Arial" w:cs="Arial" w:eastAsia="Arial" w:hAnsi="Arial"/>
                <w:sz w:val="14"/>
                <w:szCs w:val="14"/>
                <w:b w:val="1"/>
                <w:bCs w:val="1"/>
                <w:color w:val="auto"/>
              </w:rPr>
              <w:t>Phases delivering in 2015</w:t>
            </w:r>
          </w:p>
        </w:tc>
        <w:tc>
          <w:tcPr>
            <w:tcW w:w="3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36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w w:val="94"/>
              </w:rPr>
              <w:t>Pike &amp; Rose - Phase I</w:t>
            </w:r>
          </w:p>
        </w:tc>
        <w:tc>
          <w:tcPr>
            <w:tcW w:w="110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North Bethesda,</w:t>
            </w:r>
          </w:p>
        </w:tc>
        <w:tc>
          <w:tcPr>
            <w:tcW w:w="30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w w:val="95"/>
              </w:rPr>
              <w:t>Phase I consists of 493 residential units, 157,000</w:t>
            </w:r>
          </w:p>
        </w:tc>
        <w:tc>
          <w:tcPr>
            <w:tcW w:w="6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7%</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 xml:space="preserve">$265 - $270 </w:t>
            </w:r>
            <w:r>
              <w:rPr>
                <w:rFonts w:ascii="Arial" w:cs="Arial" w:eastAsia="Arial" w:hAnsi="Arial"/>
                <w:sz w:val="13"/>
                <w:szCs w:val="13"/>
                <w:b w:val="1"/>
                <w:bCs w:val="1"/>
                <w:color w:val="auto"/>
              </w:rPr>
              <w:t>(4)</w:t>
            </w:r>
          </w:p>
        </w:tc>
        <w:tc>
          <w:tcPr>
            <w:tcW w:w="7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$259</w:t>
            </w:r>
          </w:p>
        </w:tc>
        <w:tc>
          <w:tcPr>
            <w:tcW w:w="322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2015/2016  •174 unit residential building</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MD</w:t>
            </w:r>
          </w:p>
        </w:tc>
        <w:tc>
          <w:tcPr>
            <w:tcW w:w="3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square feet of retail, and 79,000 square feet of</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opened in late June 2014 and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office space.</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achieved stabilized occupancy in</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Q1 2015</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•132,000 sf of retail open as of</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12/31/15; retail 94% leased.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Remaining retail to open in early</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7"/>
              </w:rPr>
              <w:t>•45,000 sf of office space delivered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as of 12/31/15; 80% leased; 100%</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leased/under LOI</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•319 unit residential building</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initially opened in July 2015 with</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delivery of units through Q2 2016</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Expected to achieve stabilized</w:t>
            </w: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occupancy in Q4 2016</w:t>
            </w:r>
          </w:p>
        </w:tc>
        <w:tc>
          <w:tcPr>
            <w:tcW w:w="0" w:type="dxa"/>
            <w:vAlign w:val="bottom"/>
          </w:tcPr>
          <w:p>
            <w:pPr>
              <w:spacing w:after="0"/>
              <w:rPr>
                <w:sz w:val="1"/>
                <w:szCs w:val="1"/>
                <w:color w:val="auto"/>
              </w:rPr>
            </w:pPr>
          </w:p>
        </w:tc>
      </w:tr>
      <w:tr>
        <w:trPr>
          <w:trHeight w:val="157"/>
        </w:trPr>
        <w:tc>
          <w:tcPr>
            <w:tcW w:w="136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Assembly Row -</w:t>
            </w:r>
          </w:p>
        </w:tc>
        <w:tc>
          <w:tcPr>
            <w:tcW w:w="110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Somerville, MA</w:t>
            </w:r>
          </w:p>
        </w:tc>
        <w:tc>
          <w:tcPr>
            <w:tcW w:w="3040" w:type="dxa"/>
            <w:vAlign w:val="bottom"/>
          </w:tcPr>
          <w:p>
            <w:pPr>
              <w:ind w:left="100"/>
              <w:spacing w:after="0" w:line="157" w:lineRule="exact"/>
              <w:rPr>
                <w:sz w:val="20"/>
                <w:szCs w:val="20"/>
                <w:color w:val="auto"/>
              </w:rPr>
            </w:pPr>
            <w:r>
              <w:rPr>
                <w:rFonts w:ascii="Arial" w:cs="Arial" w:eastAsia="Arial" w:hAnsi="Arial"/>
                <w:sz w:val="14"/>
                <w:szCs w:val="14"/>
                <w:color w:val="auto"/>
                <w:w w:val="98"/>
              </w:rPr>
              <w:t>Initial phase consists of 445 residential units (by</w:t>
            </w:r>
          </w:p>
        </w:tc>
        <w:tc>
          <w:tcPr>
            <w:tcW w:w="680" w:type="dxa"/>
            <w:vAlign w:val="bottom"/>
          </w:tcPr>
          <w:p>
            <w:pPr>
              <w:jc w:val="center"/>
              <w:spacing w:after="0" w:line="157" w:lineRule="exact"/>
              <w:rPr>
                <w:sz w:val="20"/>
                <w:szCs w:val="20"/>
                <w:color w:val="auto"/>
              </w:rPr>
            </w:pPr>
            <w:r>
              <w:rPr>
                <w:rFonts w:ascii="Arial" w:cs="Arial" w:eastAsia="Arial" w:hAnsi="Arial"/>
                <w:sz w:val="14"/>
                <w:szCs w:val="14"/>
                <w:color w:val="auto"/>
                <w:w w:val="94"/>
              </w:rPr>
              <w:t>5% - 6%</w:t>
            </w:r>
          </w:p>
        </w:tc>
        <w:tc>
          <w:tcPr>
            <w:tcW w:w="2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w:t>
            </w:r>
          </w:p>
        </w:tc>
        <w:tc>
          <w:tcPr>
            <w:tcW w:w="1060" w:type="dxa"/>
            <w:vAlign w:val="bottom"/>
          </w:tcPr>
          <w:p>
            <w:pPr>
              <w:jc w:val="center"/>
              <w:ind w:right="208"/>
              <w:spacing w:after="0" w:line="157" w:lineRule="exact"/>
              <w:rPr>
                <w:sz w:val="20"/>
                <w:szCs w:val="20"/>
                <w:color w:val="auto"/>
              </w:rPr>
            </w:pPr>
            <w:r>
              <w:rPr>
                <w:rFonts w:ascii="Arial" w:cs="Arial" w:eastAsia="Arial" w:hAnsi="Arial"/>
                <w:sz w:val="14"/>
                <w:szCs w:val="14"/>
                <w:color w:val="auto"/>
                <w:w w:val="93"/>
              </w:rPr>
              <w:t>$194 - $196</w:t>
            </w: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$193</w:t>
            </w:r>
          </w:p>
        </w:tc>
        <w:tc>
          <w:tcPr>
            <w:tcW w:w="1060" w:type="dxa"/>
            <w:vAlign w:val="bottom"/>
          </w:tcPr>
          <w:p>
            <w:pPr>
              <w:jc w:val="right"/>
              <w:ind w:right="49"/>
              <w:spacing w:after="0" w:line="157" w:lineRule="exact"/>
              <w:rPr>
                <w:sz w:val="20"/>
                <w:szCs w:val="20"/>
                <w:color w:val="auto"/>
              </w:rPr>
            </w:pPr>
            <w:r>
              <w:rPr>
                <w:rFonts w:ascii="Arial" w:cs="Arial" w:eastAsia="Arial" w:hAnsi="Arial"/>
                <w:sz w:val="14"/>
                <w:szCs w:val="14"/>
                <w:b w:val="1"/>
                <w:bCs w:val="1"/>
                <w:color w:val="auto"/>
              </w:rPr>
              <w:t xml:space="preserve">(5)  </w:t>
            </w:r>
            <w:r>
              <w:rPr>
                <w:rFonts w:ascii="Arial" w:cs="Arial" w:eastAsia="Arial" w:hAnsi="Arial"/>
                <w:sz w:val="14"/>
                <w:szCs w:val="14"/>
                <w:color w:val="auto"/>
              </w:rPr>
              <w:t>2015/2016</w:t>
            </w:r>
          </w:p>
        </w:tc>
        <w:tc>
          <w:tcPr>
            <w:tcW w:w="2160" w:type="dxa"/>
            <w:vAlign w:val="bottom"/>
          </w:tcPr>
          <w:p>
            <w:pPr>
              <w:ind w:left="20"/>
              <w:spacing w:after="0" w:line="157" w:lineRule="exact"/>
              <w:rPr>
                <w:sz w:val="20"/>
                <w:szCs w:val="20"/>
                <w:color w:val="auto"/>
              </w:rPr>
            </w:pPr>
            <w:r>
              <w:rPr>
                <w:rFonts w:ascii="Arial" w:cs="Arial" w:eastAsia="Arial" w:hAnsi="Arial"/>
                <w:sz w:val="14"/>
                <w:szCs w:val="14"/>
                <w:color w:val="auto"/>
                <w:w w:val="96"/>
              </w:rPr>
              <w:t>•Retail 98% open and 100% leased</w:t>
            </w:r>
          </w:p>
        </w:tc>
        <w:tc>
          <w:tcPr>
            <w:tcW w:w="0" w:type="dxa"/>
            <w:vAlign w:val="bottom"/>
          </w:tcPr>
          <w:p>
            <w:pPr>
              <w:spacing w:after="0"/>
              <w:rPr>
                <w:sz w:val="1"/>
                <w:szCs w:val="1"/>
                <w:color w:val="auto"/>
              </w:rPr>
            </w:pPr>
          </w:p>
        </w:tc>
      </w:tr>
      <w:tr>
        <w:trPr>
          <w:trHeight w:val="149"/>
        </w:trPr>
        <w:tc>
          <w:tcPr>
            <w:tcW w:w="13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Phase I</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40" w:type="dxa"/>
            <w:vAlign w:val="bottom"/>
          </w:tcPr>
          <w:p>
            <w:pPr>
              <w:ind w:left="100"/>
              <w:spacing w:after="0" w:line="149" w:lineRule="exact"/>
              <w:rPr>
                <w:sz w:val="20"/>
                <w:szCs w:val="20"/>
                <w:color w:val="auto"/>
              </w:rPr>
            </w:pPr>
            <w:r>
              <w:rPr>
                <w:rFonts w:ascii="Arial" w:cs="Arial" w:eastAsia="Arial" w:hAnsi="Arial"/>
                <w:sz w:val="14"/>
                <w:szCs w:val="14"/>
                <w:color w:val="auto"/>
                <w:w w:val="98"/>
              </w:rPr>
              <w:t>AvalonBay), in addition to 98,000 square feet of</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as of 12/31/15</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40" w:type="dxa"/>
            <w:vAlign w:val="bottom"/>
          </w:tcPr>
          <w:p>
            <w:pPr>
              <w:ind w:left="100"/>
              <w:spacing w:after="0" w:line="149" w:lineRule="exact"/>
              <w:rPr>
                <w:sz w:val="20"/>
                <w:szCs w:val="20"/>
                <w:color w:val="auto"/>
              </w:rPr>
            </w:pPr>
            <w:r>
              <w:rPr>
                <w:rFonts w:ascii="Arial" w:cs="Arial" w:eastAsia="Arial" w:hAnsi="Arial"/>
                <w:sz w:val="14"/>
                <w:szCs w:val="14"/>
                <w:color w:val="auto"/>
                <w:w w:val="99"/>
              </w:rPr>
              <w:t>office space and approximately 331,000 square</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w w:val="97"/>
              </w:rPr>
              <w:t>•74,000 sf of office space delivered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40" w:type="dxa"/>
            <w:vAlign w:val="bottom"/>
          </w:tcPr>
          <w:p>
            <w:pPr>
              <w:ind w:left="100"/>
              <w:spacing w:after="0" w:line="149" w:lineRule="exact"/>
              <w:rPr>
                <w:sz w:val="20"/>
                <w:szCs w:val="20"/>
                <w:color w:val="auto"/>
              </w:rPr>
            </w:pPr>
            <w:r>
              <w:rPr>
                <w:rFonts w:ascii="Arial" w:cs="Arial" w:eastAsia="Arial" w:hAnsi="Arial"/>
                <w:sz w:val="14"/>
                <w:szCs w:val="14"/>
                <w:color w:val="auto"/>
              </w:rPr>
              <w:t>feet of retail space (including a restaurant pad</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rPr>
              <w:t>as of 12/31/15; 100% leased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40" w:type="dxa"/>
            <w:vAlign w:val="bottom"/>
          </w:tcPr>
          <w:p>
            <w:pPr>
              <w:ind w:left="100"/>
              <w:spacing w:after="0" w:line="149" w:lineRule="exact"/>
              <w:rPr>
                <w:sz w:val="20"/>
                <w:szCs w:val="20"/>
                <w:color w:val="auto"/>
              </w:rPr>
            </w:pPr>
            <w:r>
              <w:rPr>
                <w:rFonts w:ascii="Arial" w:cs="Arial" w:eastAsia="Arial" w:hAnsi="Arial"/>
                <w:sz w:val="14"/>
                <w:szCs w:val="14"/>
                <w:color w:val="auto"/>
              </w:rPr>
              <w:t>site). A new Orange Line T-Stop has been</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tcPr>
          <w:p>
            <w:pPr>
              <w:ind w:left="20"/>
              <w:spacing w:after="0" w:line="149" w:lineRule="exact"/>
              <w:rPr>
                <w:sz w:val="20"/>
                <w:szCs w:val="20"/>
                <w:color w:val="auto"/>
              </w:rPr>
            </w:pPr>
            <w:r>
              <w:rPr>
                <w:rFonts w:ascii="Arial" w:cs="Arial" w:eastAsia="Arial" w:hAnsi="Arial"/>
                <w:sz w:val="14"/>
                <w:szCs w:val="14"/>
                <w:color w:val="auto"/>
                <w:w w:val="96"/>
              </w:rPr>
              <w:t>•T Station opened September 2014</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40" w:type="dxa"/>
            <w:vAlign w:val="bottom"/>
          </w:tcPr>
          <w:p>
            <w:pPr>
              <w:ind w:left="100"/>
              <w:spacing w:after="0" w:line="149" w:lineRule="exact"/>
              <w:rPr>
                <w:sz w:val="20"/>
                <w:szCs w:val="20"/>
                <w:color w:val="auto"/>
              </w:rPr>
            </w:pPr>
            <w:r>
              <w:rPr>
                <w:rFonts w:ascii="Arial" w:cs="Arial" w:eastAsia="Arial" w:hAnsi="Arial"/>
                <w:sz w:val="14"/>
                <w:szCs w:val="14"/>
                <w:color w:val="auto"/>
              </w:rPr>
              <w:t>constructed by Massachusetts Bay Transit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0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Authority, as part of Phase I.</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Total Phases delivered or delivering in 2015</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6% - 7%</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center"/>
              <w:ind w:right="208"/>
              <w:spacing w:after="0"/>
              <w:rPr>
                <w:sz w:val="20"/>
                <w:szCs w:val="20"/>
                <w:color w:val="auto"/>
              </w:rPr>
            </w:pPr>
            <w:r>
              <w:rPr>
                <w:rFonts w:ascii="Arial" w:cs="Arial" w:eastAsia="Arial" w:hAnsi="Arial"/>
                <w:sz w:val="14"/>
                <w:szCs w:val="14"/>
                <w:b w:val="1"/>
                <w:bCs w:val="1"/>
                <w:color w:val="auto"/>
                <w:w w:val="93"/>
              </w:rPr>
              <w:t>$459 - $466</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$452</w:t>
            </w:r>
          </w:p>
        </w:tc>
        <w:tc>
          <w:tcPr>
            <w:tcW w:w="10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Borders>
              <w:bottom w:val="single" w:sz="8" w:color="CCEEFF"/>
            </w:tcBorders>
            <w:shd w:val="clear" w:color="auto" w:fill="CCEEFF"/>
          </w:tcPr>
          <w:p>
            <w:pPr>
              <w:spacing w:after="0"/>
              <w:rPr>
                <w:sz w:val="6"/>
                <w:szCs w:val="6"/>
                <w:color w:val="auto"/>
              </w:rPr>
            </w:pPr>
          </w:p>
        </w:tc>
        <w:tc>
          <w:tcPr>
            <w:tcW w:w="1540" w:type="dxa"/>
            <w:vAlign w:val="bottom"/>
            <w:tcBorders>
              <w:bottom w:val="single" w:sz="8" w:color="CCEEFF"/>
            </w:tcBorders>
            <w:gridSpan w:val="2"/>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304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CCEEFF"/>
            </w:tcBorders>
            <w:shd w:val="clear" w:color="auto" w:fill="CCEEFF"/>
          </w:tcPr>
          <w:p>
            <w:pPr>
              <w:spacing w:after="0"/>
              <w:rPr>
                <w:sz w:val="6"/>
                <w:szCs w:val="6"/>
                <w:color w:val="auto"/>
              </w:rPr>
            </w:pPr>
          </w:p>
        </w:tc>
        <w:tc>
          <w:tcPr>
            <w:tcW w:w="2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6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Phases commencing in 2015/2016</w:t>
            </w:r>
          </w:p>
        </w:tc>
        <w:tc>
          <w:tcPr>
            <w:tcW w:w="3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32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30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216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5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460" w:type="dxa"/>
            <w:vAlign w:val="bottom"/>
            <w:gridSpan w:val="5"/>
            <w:shd w:val="clear" w:color="auto" w:fill="CCEEFF"/>
          </w:tcPr>
          <w:p>
            <w:pPr>
              <w:ind w:left="40"/>
              <w:spacing w:after="0" w:line="157" w:lineRule="exact"/>
              <w:rPr>
                <w:sz w:val="20"/>
                <w:szCs w:val="20"/>
                <w:color w:val="auto"/>
              </w:rPr>
            </w:pPr>
            <w:r>
              <w:rPr>
                <w:rFonts w:ascii="Arial" w:cs="Arial" w:eastAsia="Arial" w:hAnsi="Arial"/>
                <w:sz w:val="14"/>
                <w:szCs w:val="14"/>
                <w:color w:val="auto"/>
                <w:w w:val="97"/>
              </w:rPr>
              <w:t>Pike &amp; Rose - Phase II North Bethesda,</w:t>
            </w:r>
          </w:p>
        </w:tc>
        <w:tc>
          <w:tcPr>
            <w:tcW w:w="3040" w:type="dxa"/>
            <w:vAlign w:val="bottom"/>
            <w:shd w:val="clear" w:color="auto" w:fill="CCEEFF"/>
          </w:tcPr>
          <w:p>
            <w:pPr>
              <w:ind w:left="100"/>
              <w:spacing w:after="0" w:line="157" w:lineRule="exact"/>
              <w:rPr>
                <w:sz w:val="20"/>
                <w:szCs w:val="20"/>
                <w:color w:val="auto"/>
              </w:rPr>
            </w:pPr>
            <w:r>
              <w:rPr>
                <w:rFonts w:ascii="Arial" w:cs="Arial" w:eastAsia="Arial" w:hAnsi="Arial"/>
                <w:sz w:val="14"/>
                <w:szCs w:val="14"/>
                <w:color w:val="auto"/>
              </w:rPr>
              <w:t>Ground up mixed use development. Phase II</w:t>
            </w:r>
          </w:p>
        </w:tc>
        <w:tc>
          <w:tcPr>
            <w:tcW w:w="6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7% - 8%</w:t>
            </w: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208"/>
              <w:spacing w:after="0" w:line="157" w:lineRule="exact"/>
              <w:rPr>
                <w:sz w:val="20"/>
                <w:szCs w:val="20"/>
                <w:color w:val="auto"/>
              </w:rPr>
            </w:pPr>
            <w:r>
              <w:rPr>
                <w:rFonts w:ascii="Arial" w:cs="Arial" w:eastAsia="Arial" w:hAnsi="Arial"/>
                <w:sz w:val="14"/>
                <w:szCs w:val="14"/>
                <w:color w:val="auto"/>
                <w:w w:val="93"/>
              </w:rPr>
              <w:t>$200 - $207</w:t>
            </w:r>
          </w:p>
        </w:tc>
        <w:tc>
          <w:tcPr>
            <w:tcW w:w="7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$45</w:t>
            </w:r>
          </w:p>
        </w:tc>
        <w:tc>
          <w:tcPr>
            <w:tcW w:w="10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2018/2019</w:t>
            </w:r>
          </w:p>
        </w:tc>
        <w:tc>
          <w:tcPr>
            <w:tcW w:w="2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7"/>
              </w:rPr>
              <w:t>Projected opening - late 2017/2018</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MD</w:t>
            </w:r>
          </w:p>
        </w:tc>
        <w:tc>
          <w:tcPr>
            <w:tcW w:w="3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consists of 190,000 square feet of retail, 272</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residential units, and a 177 room hotel. Added</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pre-leased auto dealership building.</w:t>
            </w: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North Bethesda,</w:t>
            </w:r>
          </w:p>
        </w:tc>
        <w:tc>
          <w:tcPr>
            <w:tcW w:w="3040" w:type="dxa"/>
            <w:vAlign w:val="bottom"/>
          </w:tcPr>
          <w:p>
            <w:pPr>
              <w:ind w:left="100"/>
              <w:spacing w:after="0" w:line="157" w:lineRule="exact"/>
              <w:rPr>
                <w:sz w:val="20"/>
                <w:szCs w:val="20"/>
                <w:color w:val="auto"/>
              </w:rPr>
            </w:pPr>
            <w:r>
              <w:rPr>
                <w:rFonts w:ascii="Arial" w:cs="Arial" w:eastAsia="Arial" w:hAnsi="Arial"/>
                <w:sz w:val="14"/>
                <w:szCs w:val="14"/>
                <w:color w:val="auto"/>
              </w:rPr>
              <w:t>104 for-sale condominium units</w:t>
            </w:r>
          </w:p>
        </w:tc>
        <w:tc>
          <w:tcPr>
            <w:tcW w:w="680" w:type="dxa"/>
            <w:vAlign w:val="bottom"/>
          </w:tcPr>
          <w:p>
            <w:pPr>
              <w:jc w:val="center"/>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60" w:type="dxa"/>
            <w:vAlign w:val="bottom"/>
          </w:tcPr>
          <w:p>
            <w:pPr>
              <w:jc w:val="center"/>
              <w:ind w:right="208"/>
              <w:spacing w:after="0" w:line="157" w:lineRule="exact"/>
              <w:rPr>
                <w:sz w:val="20"/>
                <w:szCs w:val="20"/>
                <w:color w:val="auto"/>
              </w:rPr>
            </w:pPr>
            <w:r>
              <w:rPr>
                <w:rFonts w:ascii="Arial" w:cs="Arial" w:eastAsia="Arial" w:hAnsi="Arial"/>
                <w:sz w:val="14"/>
                <w:szCs w:val="14"/>
                <w:color w:val="auto"/>
                <w:w w:val="91"/>
              </w:rPr>
              <w:t>$53 - $58</w:t>
            </w: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w:t>
            </w:r>
          </w:p>
        </w:tc>
        <w:tc>
          <w:tcPr>
            <w:tcW w:w="10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color w:val="auto"/>
              </w:rPr>
              <w:t>MD</w:t>
            </w:r>
          </w:p>
        </w:tc>
        <w:tc>
          <w:tcPr>
            <w:tcW w:w="3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Assembly Row -</w:t>
            </w:r>
          </w:p>
        </w:tc>
        <w:tc>
          <w:tcPr>
            <w:tcW w:w="110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Somerville, MA</w:t>
            </w:r>
          </w:p>
        </w:tc>
        <w:tc>
          <w:tcPr>
            <w:tcW w:w="304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3"/>
              </w:rPr>
              <w:t>Second phase of development consists of 167,000</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060" w:type="dxa"/>
            <w:vAlign w:val="bottom"/>
            <w:shd w:val="clear" w:color="auto" w:fill="CCEEFF"/>
          </w:tcPr>
          <w:p>
            <w:pPr>
              <w:jc w:val="center"/>
              <w:ind w:right="208"/>
              <w:spacing w:after="0"/>
              <w:rPr>
                <w:sz w:val="20"/>
                <w:szCs w:val="20"/>
                <w:color w:val="auto"/>
              </w:rPr>
            </w:pPr>
            <w:r>
              <w:rPr>
                <w:rFonts w:ascii="Arial" w:cs="Arial" w:eastAsia="Arial" w:hAnsi="Arial"/>
                <w:sz w:val="14"/>
                <w:szCs w:val="14"/>
                <w:color w:val="auto"/>
                <w:w w:val="93"/>
              </w:rPr>
              <w:t>$270 - $285</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0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2018/2019</w:t>
            </w:r>
          </w:p>
        </w:tc>
        <w:tc>
          <w:tcPr>
            <w:tcW w:w="2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Projected opening - late 2017/2018</w:t>
            </w:r>
          </w:p>
        </w:tc>
        <w:tc>
          <w:tcPr>
            <w:tcW w:w="0" w:type="dxa"/>
            <w:vAlign w:val="bottom"/>
          </w:tcPr>
          <w:p>
            <w:pPr>
              <w:spacing w:after="0"/>
              <w:rPr>
                <w:sz w:val="1"/>
                <w:szCs w:val="1"/>
                <w:color w:val="auto"/>
              </w:rPr>
            </w:pPr>
          </w:p>
        </w:tc>
      </w:tr>
      <w:tr>
        <w:trPr>
          <w:trHeight w:val="149"/>
        </w:trPr>
        <w:tc>
          <w:tcPr>
            <w:tcW w:w="13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Phase II</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square feet of retail, 447 residential units, and a</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9"/>
              </w:rPr>
              <w:t>160 room boutique hotel. Additionally, there will</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be approximately 700,000 square feet of office</w:t>
            </w: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space constructed by Partners HealthCare.</w:t>
            </w: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0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Somerville, MA</w:t>
            </w:r>
          </w:p>
        </w:tc>
        <w:tc>
          <w:tcPr>
            <w:tcW w:w="3040" w:type="dxa"/>
            <w:vAlign w:val="bottom"/>
          </w:tcPr>
          <w:p>
            <w:pPr>
              <w:ind w:left="100"/>
              <w:spacing w:after="0" w:line="157" w:lineRule="exact"/>
              <w:rPr>
                <w:sz w:val="20"/>
                <w:szCs w:val="20"/>
                <w:color w:val="auto"/>
              </w:rPr>
            </w:pPr>
            <w:r>
              <w:rPr>
                <w:rFonts w:ascii="Arial" w:cs="Arial" w:eastAsia="Arial" w:hAnsi="Arial"/>
                <w:sz w:val="14"/>
                <w:szCs w:val="14"/>
                <w:color w:val="auto"/>
                <w:w w:val="93"/>
              </w:rPr>
              <w:t>For-sale condominium units increased from 117 to</w:t>
            </w:r>
          </w:p>
        </w:tc>
        <w:tc>
          <w:tcPr>
            <w:tcW w:w="6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(6)</w:t>
            </w:r>
          </w:p>
        </w:tc>
        <w:tc>
          <w:tcPr>
            <w:tcW w:w="1060" w:type="dxa"/>
            <w:vAlign w:val="bottom"/>
          </w:tcPr>
          <w:p>
            <w:pPr>
              <w:jc w:val="center"/>
              <w:ind w:right="208"/>
              <w:spacing w:after="0" w:line="157" w:lineRule="exact"/>
              <w:rPr>
                <w:sz w:val="20"/>
                <w:szCs w:val="20"/>
                <w:color w:val="auto"/>
              </w:rPr>
            </w:pPr>
            <w:r>
              <w:rPr>
                <w:rFonts w:ascii="Arial" w:cs="Arial" w:eastAsia="Arial" w:hAnsi="Arial"/>
                <w:sz w:val="14"/>
                <w:szCs w:val="14"/>
                <w:color w:val="auto"/>
                <w:w w:val="91"/>
              </w:rPr>
              <w:t>$70 - $75</w:t>
            </w: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w:t>
            </w:r>
          </w:p>
        </w:tc>
        <w:tc>
          <w:tcPr>
            <w:tcW w:w="10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30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134 units</w:t>
            </w:r>
          </w:p>
        </w:tc>
        <w:tc>
          <w:tcPr>
            <w:tcW w:w="6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40" w:type="dxa"/>
            <w:vAlign w:val="bottom"/>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Total Phases commencing in 2015/2016</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7 - 7.5%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1060" w:type="dxa"/>
            <w:vAlign w:val="bottom"/>
            <w:shd w:val="clear" w:color="auto" w:fill="CCEEFF"/>
          </w:tcPr>
          <w:p>
            <w:pPr>
              <w:jc w:val="center"/>
              <w:ind w:right="208"/>
              <w:spacing w:after="0"/>
              <w:rPr>
                <w:sz w:val="20"/>
                <w:szCs w:val="20"/>
                <w:color w:val="auto"/>
              </w:rPr>
            </w:pPr>
            <w:r>
              <w:rPr>
                <w:rFonts w:ascii="Arial" w:cs="Arial" w:eastAsia="Arial" w:hAnsi="Arial"/>
                <w:sz w:val="14"/>
                <w:szCs w:val="14"/>
                <w:b w:val="1"/>
                <w:bCs w:val="1"/>
                <w:color w:val="auto"/>
                <w:w w:val="93"/>
              </w:rPr>
              <w:t>$593 - $625</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$144</w:t>
            </w:r>
          </w:p>
        </w:tc>
        <w:tc>
          <w:tcPr>
            <w:tcW w:w="10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Borders>
              <w:bottom w:val="single" w:sz="8" w:color="CCEEFF"/>
            </w:tcBorders>
            <w:shd w:val="clear" w:color="auto" w:fill="CCEEFF"/>
          </w:tcPr>
          <w:p>
            <w:pPr>
              <w:spacing w:after="0"/>
              <w:rPr>
                <w:sz w:val="6"/>
                <w:szCs w:val="6"/>
                <w:color w:val="auto"/>
              </w:rPr>
            </w:pPr>
          </w:p>
        </w:tc>
        <w:tc>
          <w:tcPr>
            <w:tcW w:w="1320" w:type="dxa"/>
            <w:vAlign w:val="bottom"/>
            <w:tcBorders>
              <w:bottom w:val="single" w:sz="8" w:color="CCEEFF"/>
            </w:tcBorders>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48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3040" w:type="dxa"/>
            <w:vAlign w:val="bottom"/>
            <w:tcBorders>
              <w:bottom w:val="single" w:sz="8" w:color="CCEEFF"/>
            </w:tcBorders>
            <w:vMerge w:val="continue"/>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060" w:type="dxa"/>
            <w:vAlign w:val="bottom"/>
            <w:tcBorders>
              <w:bottom w:val="single" w:sz="8" w:color="CCEEFF"/>
            </w:tcBorders>
            <w:shd w:val="clear" w:color="auto" w:fill="CCEEFF"/>
          </w:tcPr>
          <w:p>
            <w:pPr>
              <w:spacing w:after="0"/>
              <w:rPr>
                <w:sz w:val="6"/>
                <w:szCs w:val="6"/>
                <w:color w:val="auto"/>
              </w:rPr>
            </w:pPr>
          </w:p>
        </w:tc>
        <w:tc>
          <w:tcPr>
            <w:tcW w:w="2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63" w:lineRule="exact"/>
        <w:rPr>
          <w:sz w:val="20"/>
          <w:szCs w:val="20"/>
          <w:color w:val="auto"/>
        </w:rPr>
      </w:pPr>
    </w:p>
    <w:p>
      <w:pPr>
        <w:ind w:left="460" w:right="320" w:hanging="337"/>
        <w:spacing w:after="0" w:line="238"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Trust. Refer to the Trust's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460" w:right="360" w:hanging="337"/>
        <w:spacing w:after="0" w:line="253" w:lineRule="auto"/>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deal specific cash, unleveraged Property Operating Income (POI) generated by the development and is calculated as POI divided by cost.</w:t>
      </w:r>
    </w:p>
    <w:p>
      <w:pPr>
        <w:spacing w:after="0" w:line="11" w:lineRule="exact"/>
        <w:rPr>
          <w:rFonts w:ascii="Arial" w:cs="Arial" w:eastAsia="Arial" w:hAnsi="Arial"/>
          <w:sz w:val="14"/>
          <w:szCs w:val="14"/>
          <w:color w:val="auto"/>
        </w:rPr>
      </w:pPr>
    </w:p>
    <w:p>
      <w:pPr>
        <w:ind w:left="460" w:hanging="337"/>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41" w:lineRule="exact"/>
        <w:rPr>
          <w:rFonts w:ascii="Arial" w:cs="Arial" w:eastAsia="Arial" w:hAnsi="Arial"/>
          <w:sz w:val="14"/>
          <w:szCs w:val="14"/>
          <w:color w:val="auto"/>
        </w:rPr>
      </w:pPr>
    </w:p>
    <w:p>
      <w:pPr>
        <w:ind w:left="460" w:hanging="337"/>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costs of which we have claims for recovery against 3rd parties.</w:t>
      </w:r>
    </w:p>
    <w:p>
      <w:pPr>
        <w:spacing w:after="0" w:line="41"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3"/>
          <w:szCs w:val="13"/>
          <w:color w:val="auto"/>
        </w:rPr>
        <w:t>Costs are net of expected reimbursement by third parties and land sale proceeds from expected exercise of option. Phase II total costs include our 50% share of the costs of our investment</w:t>
      </w:r>
    </w:p>
    <w:p>
      <w:pPr>
        <w:spacing w:after="0" w:line="11" w:lineRule="exact"/>
        <w:rPr>
          <w:rFonts w:ascii="Arial" w:cs="Arial" w:eastAsia="Arial" w:hAnsi="Arial"/>
          <w:sz w:val="14"/>
          <w:szCs w:val="14"/>
          <w:color w:val="auto"/>
        </w:rPr>
      </w:pPr>
    </w:p>
    <w:p>
      <w:pPr>
        <w:ind w:left="460" w:hanging="337"/>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the hotel.</w:t>
      </w:r>
    </w:p>
    <w:p>
      <w:pPr>
        <w:spacing w:after="0" w:line="29" w:lineRule="exact"/>
        <w:rPr>
          <w:rFonts w:ascii="Arial" w:cs="Arial" w:eastAsia="Arial" w:hAnsi="Arial"/>
          <w:sz w:val="14"/>
          <w:szCs w:val="14"/>
          <w:color w:val="auto"/>
        </w:rPr>
      </w:pPr>
    </w:p>
    <w:p>
      <w:pPr>
        <w:ind w:left="460" w:hanging="337"/>
        <w:spacing w:after="0"/>
        <w:tabs>
          <w:tab w:leader="none" w:pos="4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Condominiums shown at cost; the projected ROI for Phase II does not assume any incremental profit on the sale of condominium units; condominiums are assumed to be sold at cost.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60"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2015</w:t>
      </w:r>
    </w:p>
    <w:p>
      <w:pPr>
        <w:spacing w:after="0" w:line="297" w:lineRule="exact"/>
        <w:rPr>
          <w:sz w:val="20"/>
          <w:szCs w:val="20"/>
          <w:color w:val="auto"/>
        </w:rPr>
      </w:pPr>
    </w:p>
    <w:p>
      <w:pPr>
        <w:ind w:left="40" w:right="100"/>
        <w:spacing w:after="0" w:line="264" w:lineRule="auto"/>
        <w:rPr>
          <w:sz w:val="20"/>
          <w:szCs w:val="20"/>
          <w:color w:val="auto"/>
        </w:rPr>
      </w:pPr>
      <w:r>
        <w:rPr>
          <w:rFonts w:ascii="Arial" w:cs="Arial" w:eastAsia="Arial" w:hAnsi="Arial"/>
          <w:sz w:val="13"/>
          <w:szCs w:val="13"/>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241" w:lineRule="exact"/>
        <w:rPr>
          <w:sz w:val="20"/>
          <w:szCs w:val="20"/>
          <w:color w:val="auto"/>
        </w:rPr>
      </w:pPr>
    </w:p>
    <w:p>
      <w:pPr>
        <w:ind w:left="4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Bethesda, MD</w:t>
            </w:r>
          </w:p>
        </w:tc>
        <w:tc>
          <w:tcPr>
            <w:tcW w:w="2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Melville Mall</w:t>
            </w:r>
          </w:p>
        </w:tc>
        <w:tc>
          <w:tcPr>
            <w:tcW w:w="47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Huntington, NY</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020" w:type="dxa"/>
            <w:vAlign w:val="bottom"/>
          </w:tcPr>
          <w:p>
            <w:pPr>
              <w:ind w:left="380"/>
              <w:spacing w:after="0"/>
              <w:rPr>
                <w:sz w:val="20"/>
                <w:szCs w:val="20"/>
                <w:color w:val="auto"/>
              </w:rPr>
            </w:pPr>
            <w:r>
              <w:rPr>
                <w:rFonts w:ascii="Arial" w:cs="Arial" w:eastAsia="Arial" w:hAnsi="Arial"/>
                <w:sz w:val="16"/>
                <w:szCs w:val="16"/>
                <w:color w:val="auto"/>
              </w:rPr>
              <w:t>Dedham, MA</w:t>
            </w:r>
          </w:p>
        </w:tc>
        <w:tc>
          <w:tcPr>
            <w:tcW w:w="2400" w:type="dxa"/>
            <w:vAlign w:val="bottom"/>
          </w:tcPr>
          <w:p>
            <w:pPr>
              <w:ind w:left="640"/>
              <w:spacing w:after="0"/>
              <w:rPr>
                <w:sz w:val="20"/>
                <w:szCs w:val="20"/>
                <w:color w:val="auto"/>
              </w:rPr>
            </w:pPr>
            <w:r>
              <w:rPr>
                <w:rFonts w:ascii="Arial" w:cs="Arial" w:eastAsia="Arial" w:hAnsi="Arial"/>
                <w:sz w:val="16"/>
                <w:szCs w:val="16"/>
                <w:b w:val="1"/>
                <w:bCs w:val="1"/>
                <w:color w:val="auto"/>
              </w:rPr>
              <w:t>Mercer Mall</w:t>
            </w:r>
          </w:p>
        </w:tc>
        <w:tc>
          <w:tcPr>
            <w:tcW w:w="4700" w:type="dxa"/>
            <w:vAlign w:val="bottom"/>
          </w:tcPr>
          <w:p>
            <w:pPr>
              <w:ind w:left="860"/>
              <w:spacing w:after="0"/>
              <w:rPr>
                <w:sz w:val="20"/>
                <w:szCs w:val="20"/>
                <w:color w:val="auto"/>
              </w:rPr>
            </w:pPr>
            <w:r>
              <w:rPr>
                <w:rFonts w:ascii="Arial" w:cs="Arial" w:eastAsia="Arial" w:hAnsi="Arial"/>
                <w:sz w:val="16"/>
                <w:szCs w:val="16"/>
                <w:color w:val="auto"/>
              </w:rPr>
              <w:t>Lawrenceville, NJ</w:t>
            </w:r>
          </w:p>
        </w:tc>
      </w:tr>
      <w:tr>
        <w:trPr>
          <w:trHeight w:val="33"/>
        </w:trPr>
        <w:tc>
          <w:tcPr>
            <w:tcW w:w="2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Escondido, CA</w:t>
            </w:r>
          </w:p>
        </w:tc>
        <w:tc>
          <w:tcPr>
            <w:tcW w:w="2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Pan Am</w:t>
            </w:r>
          </w:p>
        </w:tc>
        <w:tc>
          <w:tcPr>
            <w:tcW w:w="47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Fairfax, VA</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020" w:type="dxa"/>
            <w:vAlign w:val="bottom"/>
          </w:tcPr>
          <w:p>
            <w:pPr>
              <w:ind w:left="380"/>
              <w:spacing w:after="0"/>
              <w:rPr>
                <w:sz w:val="20"/>
                <w:szCs w:val="20"/>
                <w:color w:val="auto"/>
              </w:rPr>
            </w:pPr>
            <w:r>
              <w:rPr>
                <w:rFonts w:ascii="Arial" w:cs="Arial" w:eastAsia="Arial" w:hAnsi="Arial"/>
                <w:sz w:val="16"/>
                <w:szCs w:val="16"/>
                <w:color w:val="auto"/>
              </w:rPr>
              <w:t>Rockville, MD</w:t>
            </w:r>
          </w:p>
        </w:tc>
        <w:tc>
          <w:tcPr>
            <w:tcW w:w="2400" w:type="dxa"/>
            <w:vAlign w:val="bottom"/>
          </w:tcPr>
          <w:p>
            <w:pPr>
              <w:ind w:left="640"/>
              <w:spacing w:after="0"/>
              <w:rPr>
                <w:sz w:val="20"/>
                <w:szCs w:val="20"/>
                <w:color w:val="auto"/>
              </w:rPr>
            </w:pPr>
            <w:r>
              <w:rPr>
                <w:rFonts w:ascii="Arial" w:cs="Arial" w:eastAsia="Arial" w:hAnsi="Arial"/>
                <w:sz w:val="16"/>
                <w:szCs w:val="16"/>
                <w:b w:val="1"/>
                <w:bCs w:val="1"/>
                <w:color w:val="auto"/>
              </w:rPr>
              <w:t>Pike 7 Plaza</w:t>
            </w:r>
          </w:p>
        </w:tc>
        <w:tc>
          <w:tcPr>
            <w:tcW w:w="4700" w:type="dxa"/>
            <w:vAlign w:val="bottom"/>
          </w:tcPr>
          <w:p>
            <w:pPr>
              <w:ind w:left="860"/>
              <w:spacing w:after="0"/>
              <w:rPr>
                <w:sz w:val="20"/>
                <w:szCs w:val="20"/>
                <w:color w:val="auto"/>
              </w:rPr>
            </w:pPr>
            <w:r>
              <w:rPr>
                <w:rFonts w:ascii="Arial" w:cs="Arial" w:eastAsia="Arial" w:hAnsi="Arial"/>
                <w:sz w:val="16"/>
                <w:szCs w:val="16"/>
                <w:color w:val="auto"/>
              </w:rPr>
              <w:t>Vienna, VA</w:t>
            </w:r>
          </w:p>
        </w:tc>
      </w:tr>
      <w:tr>
        <w:trPr>
          <w:trHeight w:val="33"/>
        </w:trPr>
        <w:tc>
          <w:tcPr>
            <w:tcW w:w="2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Flourtown</w:t>
            </w:r>
          </w:p>
        </w:tc>
        <w:tc>
          <w:tcPr>
            <w:tcW w:w="2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Flourtown, PA</w:t>
            </w:r>
          </w:p>
        </w:tc>
        <w:tc>
          <w:tcPr>
            <w:tcW w:w="2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b w:val="1"/>
                <w:bCs w:val="1"/>
                <w:color w:val="auto"/>
              </w:rPr>
              <w:t>Wildwood</w:t>
            </w:r>
          </w:p>
        </w:tc>
        <w:tc>
          <w:tcPr>
            <w:tcW w:w="47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Bethesda, MD</w:t>
            </w:r>
          </w:p>
        </w:tc>
      </w:tr>
      <w:tr>
        <w:trPr>
          <w:trHeight w:val="237"/>
        </w:trPr>
        <w:tc>
          <w:tcPr>
            <w:tcW w:w="2300" w:type="dxa"/>
            <w:vAlign w:val="bottom"/>
          </w:tcPr>
          <w:p>
            <w:pPr>
              <w:ind w:left="380"/>
              <w:spacing w:after="0"/>
              <w:rPr>
                <w:sz w:val="20"/>
                <w:szCs w:val="20"/>
                <w:color w:val="auto"/>
              </w:rPr>
            </w:pPr>
            <w:r>
              <w:rPr>
                <w:rFonts w:ascii="Arial" w:cs="Arial" w:eastAsia="Arial" w:hAnsi="Arial"/>
                <w:sz w:val="16"/>
                <w:szCs w:val="16"/>
                <w:b w:val="1"/>
                <w:bCs w:val="1"/>
                <w:color w:val="auto"/>
              </w:rPr>
              <w:t>Fresh Meadows</w:t>
            </w:r>
          </w:p>
        </w:tc>
        <w:tc>
          <w:tcPr>
            <w:tcW w:w="2020" w:type="dxa"/>
            <w:vAlign w:val="bottom"/>
          </w:tcPr>
          <w:p>
            <w:pPr>
              <w:ind w:left="380"/>
              <w:spacing w:after="0"/>
              <w:rPr>
                <w:sz w:val="20"/>
                <w:szCs w:val="20"/>
                <w:color w:val="auto"/>
              </w:rPr>
            </w:pPr>
            <w:r>
              <w:rPr>
                <w:rFonts w:ascii="Arial" w:cs="Arial" w:eastAsia="Arial" w:hAnsi="Arial"/>
                <w:sz w:val="16"/>
                <w:szCs w:val="16"/>
                <w:color w:val="auto"/>
              </w:rPr>
              <w:t>Queens, NY</w:t>
            </w:r>
          </w:p>
        </w:tc>
        <w:tc>
          <w:tcPr>
            <w:tcW w:w="240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33"/>
        </w:trPr>
        <w:tc>
          <w:tcPr>
            <w:tcW w:w="2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4700" w:type="dxa"/>
            <w:vAlign w:val="bottom"/>
          </w:tcPr>
          <w:p>
            <w:pPr>
              <w:spacing w:after="0"/>
              <w:rPr>
                <w:sz w:val="2"/>
                <w:szCs w:val="2"/>
                <w:color w:val="auto"/>
              </w:rPr>
            </w:pPr>
          </w:p>
        </w:tc>
      </w:tr>
      <w:tr>
        <w:trPr>
          <w:trHeight w:val="230"/>
        </w:trPr>
        <w:tc>
          <w:tcPr>
            <w:tcW w:w="23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4700" w:type="dxa"/>
            <w:vAlign w:val="bottom"/>
            <w:shd w:val="clear" w:color="auto" w:fill="CCEEFF"/>
          </w:tcPr>
          <w:p>
            <w:pPr>
              <w:spacing w:after="0"/>
              <w:rPr>
                <w:sz w:val="19"/>
                <w:szCs w:val="19"/>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Assembly Row</w:t>
            </w:r>
          </w:p>
        </w:tc>
        <w:tc>
          <w:tcPr>
            <w:tcW w:w="2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Somerville, MA</w:t>
            </w:r>
          </w:p>
        </w:tc>
        <w:tc>
          <w:tcPr>
            <w:tcW w:w="3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Fresh Meadows</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Queens, NY</w:t>
            </w:r>
          </w:p>
        </w:tc>
      </w:tr>
      <w:tr>
        <w:trPr>
          <w:trHeight w:val="237"/>
        </w:trPr>
        <w:tc>
          <w:tcPr>
            <w:tcW w:w="340" w:type="dxa"/>
            <w:vAlign w:val="bottom"/>
          </w:tcPr>
          <w:p>
            <w:pPr>
              <w:spacing w:after="0"/>
              <w:rPr>
                <w:sz w:val="20"/>
                <w:szCs w:val="20"/>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Barracks Road</w:t>
            </w:r>
          </w:p>
        </w:tc>
        <w:tc>
          <w:tcPr>
            <w:tcW w:w="2280" w:type="dxa"/>
            <w:vAlign w:val="bottom"/>
          </w:tcPr>
          <w:p>
            <w:pPr>
              <w:ind w:left="460"/>
              <w:spacing w:after="0"/>
              <w:rPr>
                <w:sz w:val="20"/>
                <w:szCs w:val="20"/>
                <w:color w:val="auto"/>
              </w:rPr>
            </w:pPr>
            <w:r>
              <w:rPr>
                <w:rFonts w:ascii="Arial" w:cs="Arial" w:eastAsia="Arial" w:hAnsi="Arial"/>
                <w:sz w:val="16"/>
                <w:szCs w:val="16"/>
                <w:color w:val="auto"/>
              </w:rPr>
              <w:t>Charlottesville, VA</w:t>
            </w:r>
          </w:p>
        </w:tc>
        <w:tc>
          <w:tcPr>
            <w:tcW w:w="3000" w:type="dxa"/>
            <w:vAlign w:val="bottom"/>
          </w:tcPr>
          <w:p>
            <w:pPr>
              <w:ind w:left="460"/>
              <w:spacing w:after="0"/>
              <w:rPr>
                <w:sz w:val="20"/>
                <w:szCs w:val="20"/>
                <w:color w:val="auto"/>
              </w:rPr>
            </w:pPr>
            <w:r>
              <w:rPr>
                <w:rFonts w:ascii="Arial" w:cs="Arial" w:eastAsia="Arial" w:hAnsi="Arial"/>
                <w:sz w:val="16"/>
                <w:szCs w:val="16"/>
                <w:b w:val="1"/>
                <w:bCs w:val="1"/>
                <w:color w:val="auto"/>
              </w:rPr>
              <w:t>Melville Mall</w:t>
            </w:r>
          </w:p>
        </w:tc>
        <w:tc>
          <w:tcPr>
            <w:tcW w:w="3920" w:type="dxa"/>
            <w:vAlign w:val="bottom"/>
          </w:tcPr>
          <w:p>
            <w:pPr>
              <w:ind w:left="80"/>
              <w:spacing w:after="0"/>
              <w:rPr>
                <w:sz w:val="20"/>
                <w:szCs w:val="20"/>
                <w:color w:val="auto"/>
              </w:rPr>
            </w:pPr>
            <w:r>
              <w:rPr>
                <w:rFonts w:ascii="Arial" w:cs="Arial" w:eastAsia="Arial" w:hAnsi="Arial"/>
                <w:sz w:val="16"/>
                <w:szCs w:val="16"/>
                <w:color w:val="auto"/>
              </w:rPr>
              <w:t>Huntington, NY</w:t>
            </w:r>
          </w:p>
        </w:tc>
      </w:tr>
      <w:tr>
        <w:trPr>
          <w:trHeight w:val="33"/>
        </w:trPr>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Bethedsa Row</w:t>
            </w:r>
          </w:p>
        </w:tc>
        <w:tc>
          <w:tcPr>
            <w:tcW w:w="2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Bethesda, MD</w:t>
            </w:r>
          </w:p>
        </w:tc>
        <w:tc>
          <w:tcPr>
            <w:tcW w:w="3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Montrose Crossing</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Rockville, MD</w:t>
            </w:r>
          </w:p>
        </w:tc>
      </w:tr>
      <w:tr>
        <w:trPr>
          <w:trHeight w:val="237"/>
        </w:trPr>
        <w:tc>
          <w:tcPr>
            <w:tcW w:w="340" w:type="dxa"/>
            <w:vAlign w:val="bottom"/>
          </w:tcPr>
          <w:p>
            <w:pPr>
              <w:spacing w:after="0"/>
              <w:rPr>
                <w:sz w:val="20"/>
                <w:szCs w:val="20"/>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Brick Plaza</w:t>
            </w:r>
          </w:p>
        </w:tc>
        <w:tc>
          <w:tcPr>
            <w:tcW w:w="2280" w:type="dxa"/>
            <w:vAlign w:val="bottom"/>
          </w:tcPr>
          <w:p>
            <w:pPr>
              <w:ind w:left="460"/>
              <w:spacing w:after="0"/>
              <w:rPr>
                <w:sz w:val="20"/>
                <w:szCs w:val="20"/>
                <w:color w:val="auto"/>
              </w:rPr>
            </w:pPr>
            <w:r>
              <w:rPr>
                <w:rFonts w:ascii="Arial" w:cs="Arial" w:eastAsia="Arial" w:hAnsi="Arial"/>
                <w:sz w:val="16"/>
                <w:szCs w:val="16"/>
                <w:color w:val="auto"/>
              </w:rPr>
              <w:t>Brick, NJ</w:t>
            </w:r>
          </w:p>
        </w:tc>
        <w:tc>
          <w:tcPr>
            <w:tcW w:w="3000" w:type="dxa"/>
            <w:vAlign w:val="bottom"/>
          </w:tcPr>
          <w:p>
            <w:pPr>
              <w:ind w:left="460"/>
              <w:spacing w:after="0"/>
              <w:rPr>
                <w:sz w:val="20"/>
                <w:szCs w:val="20"/>
                <w:color w:val="auto"/>
              </w:rPr>
            </w:pPr>
            <w:r>
              <w:rPr>
                <w:rFonts w:ascii="Arial" w:cs="Arial" w:eastAsia="Arial" w:hAnsi="Arial"/>
                <w:sz w:val="16"/>
                <w:szCs w:val="16"/>
                <w:b w:val="1"/>
                <w:bCs w:val="1"/>
                <w:color w:val="auto"/>
              </w:rPr>
              <w:t>Northeast</w:t>
            </w:r>
          </w:p>
        </w:tc>
        <w:tc>
          <w:tcPr>
            <w:tcW w:w="3920" w:type="dxa"/>
            <w:vAlign w:val="bottom"/>
          </w:tcPr>
          <w:p>
            <w:pPr>
              <w:ind w:left="80"/>
              <w:spacing w:after="0"/>
              <w:rPr>
                <w:sz w:val="20"/>
                <w:szCs w:val="20"/>
                <w:color w:val="auto"/>
              </w:rPr>
            </w:pPr>
            <w:r>
              <w:rPr>
                <w:rFonts w:ascii="Arial" w:cs="Arial" w:eastAsia="Arial" w:hAnsi="Arial"/>
                <w:sz w:val="16"/>
                <w:szCs w:val="16"/>
                <w:color w:val="auto"/>
              </w:rPr>
              <w:t>Philadelphia, PA</w:t>
            </w:r>
          </w:p>
        </w:tc>
      </w:tr>
      <w:tr>
        <w:trPr>
          <w:trHeight w:val="33"/>
        </w:trPr>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CocoWalk</w:t>
            </w:r>
          </w:p>
        </w:tc>
        <w:tc>
          <w:tcPr>
            <w:tcW w:w="2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Coconut Grove, FL</w:t>
            </w:r>
          </w:p>
        </w:tc>
        <w:tc>
          <w:tcPr>
            <w:tcW w:w="3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The Shops at Sunset Place</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South Miami, FL</w:t>
            </w:r>
          </w:p>
        </w:tc>
      </w:tr>
      <w:tr>
        <w:trPr>
          <w:trHeight w:val="237"/>
        </w:trPr>
        <w:tc>
          <w:tcPr>
            <w:tcW w:w="340" w:type="dxa"/>
            <w:vAlign w:val="bottom"/>
          </w:tcPr>
          <w:p>
            <w:pPr>
              <w:spacing w:after="0"/>
              <w:rPr>
                <w:sz w:val="20"/>
                <w:szCs w:val="20"/>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Crossroads</w:t>
            </w:r>
          </w:p>
        </w:tc>
        <w:tc>
          <w:tcPr>
            <w:tcW w:w="2280" w:type="dxa"/>
            <w:vAlign w:val="bottom"/>
          </w:tcPr>
          <w:p>
            <w:pPr>
              <w:ind w:left="460"/>
              <w:spacing w:after="0"/>
              <w:rPr>
                <w:sz w:val="20"/>
                <w:szCs w:val="20"/>
                <w:color w:val="auto"/>
              </w:rPr>
            </w:pPr>
            <w:r>
              <w:rPr>
                <w:rFonts w:ascii="Arial" w:cs="Arial" w:eastAsia="Arial" w:hAnsi="Arial"/>
                <w:sz w:val="16"/>
                <w:szCs w:val="16"/>
                <w:color w:val="auto"/>
              </w:rPr>
              <w:t>Highland Park, IL</w:t>
            </w:r>
          </w:p>
        </w:tc>
        <w:tc>
          <w:tcPr>
            <w:tcW w:w="3000" w:type="dxa"/>
            <w:vAlign w:val="bottom"/>
          </w:tcPr>
          <w:p>
            <w:pPr>
              <w:ind w:left="460"/>
              <w:spacing w:after="0"/>
              <w:rPr>
                <w:sz w:val="20"/>
                <w:szCs w:val="20"/>
                <w:color w:val="auto"/>
              </w:rPr>
            </w:pPr>
            <w:r>
              <w:rPr>
                <w:rFonts w:ascii="Arial" w:cs="Arial" w:eastAsia="Arial" w:hAnsi="Arial"/>
                <w:sz w:val="16"/>
                <w:szCs w:val="16"/>
                <w:b w:val="1"/>
                <w:bCs w:val="1"/>
                <w:color w:val="auto"/>
              </w:rPr>
              <w:t>Third Street Promenade</w:t>
            </w:r>
          </w:p>
        </w:tc>
        <w:tc>
          <w:tcPr>
            <w:tcW w:w="3920" w:type="dxa"/>
            <w:vAlign w:val="bottom"/>
          </w:tcPr>
          <w:p>
            <w:pPr>
              <w:ind w:left="80"/>
              <w:spacing w:after="0"/>
              <w:rPr>
                <w:sz w:val="20"/>
                <w:szCs w:val="20"/>
                <w:color w:val="auto"/>
              </w:rPr>
            </w:pPr>
            <w:r>
              <w:rPr>
                <w:rFonts w:ascii="Arial" w:cs="Arial" w:eastAsia="Arial" w:hAnsi="Arial"/>
                <w:sz w:val="16"/>
                <w:szCs w:val="16"/>
                <w:color w:val="auto"/>
              </w:rPr>
              <w:t>Santa Monica, CA</w:t>
            </w:r>
          </w:p>
        </w:tc>
      </w:tr>
      <w:tr>
        <w:trPr>
          <w:trHeight w:val="33"/>
        </w:trPr>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Darien</w:t>
            </w:r>
          </w:p>
        </w:tc>
        <w:tc>
          <w:tcPr>
            <w:tcW w:w="2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Darien, CT</w:t>
            </w:r>
          </w:p>
        </w:tc>
        <w:tc>
          <w:tcPr>
            <w:tcW w:w="3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Troy</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Parsippany, NJ</w:t>
            </w:r>
          </w:p>
        </w:tc>
      </w:tr>
      <w:tr>
        <w:trPr>
          <w:trHeight w:val="237"/>
        </w:trPr>
        <w:tc>
          <w:tcPr>
            <w:tcW w:w="340" w:type="dxa"/>
            <w:vAlign w:val="bottom"/>
          </w:tcPr>
          <w:p>
            <w:pPr>
              <w:spacing w:after="0"/>
              <w:rPr>
                <w:sz w:val="20"/>
                <w:szCs w:val="20"/>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Del Mar Village</w:t>
            </w:r>
          </w:p>
        </w:tc>
        <w:tc>
          <w:tcPr>
            <w:tcW w:w="2280" w:type="dxa"/>
            <w:vAlign w:val="bottom"/>
          </w:tcPr>
          <w:p>
            <w:pPr>
              <w:ind w:left="460"/>
              <w:spacing w:after="0"/>
              <w:rPr>
                <w:sz w:val="20"/>
                <w:szCs w:val="20"/>
                <w:color w:val="auto"/>
              </w:rPr>
            </w:pPr>
            <w:r>
              <w:rPr>
                <w:rFonts w:ascii="Arial" w:cs="Arial" w:eastAsia="Arial" w:hAnsi="Arial"/>
                <w:sz w:val="16"/>
                <w:szCs w:val="16"/>
                <w:color w:val="auto"/>
              </w:rPr>
              <w:t>Boca Raton, FL</w:t>
            </w:r>
          </w:p>
        </w:tc>
        <w:tc>
          <w:tcPr>
            <w:tcW w:w="3000" w:type="dxa"/>
            <w:vAlign w:val="bottom"/>
          </w:tcPr>
          <w:p>
            <w:pPr>
              <w:ind w:left="460"/>
              <w:spacing w:after="0"/>
              <w:rPr>
                <w:sz w:val="20"/>
                <w:szCs w:val="20"/>
                <w:color w:val="auto"/>
              </w:rPr>
            </w:pPr>
            <w:r>
              <w:rPr>
                <w:rFonts w:ascii="Arial" w:cs="Arial" w:eastAsia="Arial" w:hAnsi="Arial"/>
                <w:sz w:val="16"/>
                <w:szCs w:val="16"/>
                <w:b w:val="1"/>
                <w:bCs w:val="1"/>
                <w:color w:val="auto"/>
              </w:rPr>
              <w:t>Wildwood</w:t>
            </w:r>
          </w:p>
        </w:tc>
        <w:tc>
          <w:tcPr>
            <w:tcW w:w="3920" w:type="dxa"/>
            <w:vAlign w:val="bottom"/>
          </w:tcPr>
          <w:p>
            <w:pPr>
              <w:ind w:left="80"/>
              <w:spacing w:after="0"/>
              <w:rPr>
                <w:sz w:val="20"/>
                <w:szCs w:val="20"/>
                <w:color w:val="auto"/>
              </w:rPr>
            </w:pPr>
            <w:r>
              <w:rPr>
                <w:rFonts w:ascii="Arial" w:cs="Arial" w:eastAsia="Arial" w:hAnsi="Arial"/>
                <w:sz w:val="16"/>
                <w:szCs w:val="16"/>
                <w:color w:val="auto"/>
              </w:rPr>
              <w:t>Bethesda, MD</w:t>
            </w:r>
          </w:p>
        </w:tc>
      </w:tr>
      <w:tr>
        <w:trPr>
          <w:trHeight w:val="33"/>
        </w:trPr>
        <w:tc>
          <w:tcPr>
            <w:tcW w:w="7500" w:type="dxa"/>
            <w:vAlign w:val="bottom"/>
            <w:gridSpan w:val="4"/>
          </w:tcPr>
          <w:p>
            <w:pPr>
              <w:spacing w:after="0"/>
              <w:rPr>
                <w:sz w:val="2"/>
                <w:szCs w:val="2"/>
                <w:color w:val="auto"/>
              </w:rPr>
            </w:pPr>
          </w:p>
        </w:tc>
        <w:tc>
          <w:tcPr>
            <w:tcW w:w="3920" w:type="dxa"/>
            <w:vAlign w:val="bottom"/>
          </w:tcPr>
          <w:p>
            <w:pPr>
              <w:spacing w:after="0"/>
              <w:rPr>
                <w:sz w:val="2"/>
                <w:szCs w:val="2"/>
                <w:color w:val="auto"/>
              </w:rPr>
            </w:pPr>
          </w:p>
        </w:tc>
      </w:tr>
      <w:tr>
        <w:trPr>
          <w:trHeight w:val="230"/>
        </w:trPr>
        <w:tc>
          <w:tcPr>
            <w:tcW w:w="7500" w:type="dxa"/>
            <w:vAlign w:val="bottom"/>
            <w:gridSpan w:val="4"/>
            <w:shd w:val="clear" w:color="auto" w:fill="CCEEFF"/>
          </w:tcPr>
          <w:p>
            <w:pPr>
              <w:spacing w:after="0"/>
              <w:rPr>
                <w:sz w:val="19"/>
                <w:szCs w:val="19"/>
                <w:color w:val="auto"/>
              </w:rPr>
            </w:pPr>
          </w:p>
        </w:tc>
        <w:tc>
          <w:tcPr>
            <w:tcW w:w="3920" w:type="dxa"/>
            <w:vAlign w:val="bottom"/>
            <w:shd w:val="clear" w:color="auto" w:fill="CCEEFF"/>
          </w:tcPr>
          <w:p>
            <w:pPr>
              <w:spacing w:after="0"/>
              <w:rPr>
                <w:sz w:val="19"/>
                <w:szCs w:val="19"/>
                <w:color w:val="auto"/>
              </w:rPr>
            </w:pPr>
          </w:p>
        </w:tc>
      </w:tr>
      <w:tr>
        <w:trPr>
          <w:trHeight w:val="224"/>
        </w:trPr>
        <w:tc>
          <w:tcPr>
            <w:tcW w:w="7500" w:type="dxa"/>
            <w:vAlign w:val="bottom"/>
            <w:gridSpan w:val="4"/>
          </w:tcPr>
          <w:p>
            <w:pPr>
              <w:ind w:left="40"/>
              <w:spacing w:after="0"/>
              <w:rPr>
                <w:sz w:val="20"/>
                <w:szCs w:val="20"/>
                <w:color w:val="auto"/>
              </w:rPr>
            </w:pPr>
            <w:r>
              <w:rPr>
                <w:rFonts w:ascii="Arial" w:cs="Arial" w:eastAsia="Arial" w:hAnsi="Arial"/>
                <w:sz w:val="16"/>
                <w:szCs w:val="16"/>
                <w:b w:val="1"/>
                <w:bCs w:val="1"/>
                <w:color w:val="auto"/>
                <w:w w:val="91"/>
              </w:rPr>
              <w:t>Residential Opportunities - Opportunity to add residential units to existing retail and mixed-use properties.</w:t>
            </w:r>
          </w:p>
        </w:tc>
        <w:tc>
          <w:tcPr>
            <w:tcW w:w="3920" w:type="dxa"/>
            <w:vAlign w:val="bottom"/>
          </w:tcPr>
          <w:p>
            <w:pPr>
              <w:spacing w:after="0"/>
              <w:rPr>
                <w:sz w:val="19"/>
                <w:szCs w:val="19"/>
                <w:color w:val="auto"/>
              </w:rPr>
            </w:pPr>
          </w:p>
        </w:tc>
      </w:tr>
      <w:tr>
        <w:trPr>
          <w:trHeight w:val="33"/>
        </w:trPr>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Barracks Road</w:t>
            </w:r>
          </w:p>
        </w:tc>
        <w:tc>
          <w:tcPr>
            <w:tcW w:w="2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Charlottesville, VA</w:t>
            </w:r>
          </w:p>
        </w:tc>
        <w:tc>
          <w:tcPr>
            <w:tcW w:w="3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Village at Shirlington</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Arlington, VA</w:t>
            </w:r>
          </w:p>
        </w:tc>
      </w:tr>
      <w:tr>
        <w:trPr>
          <w:trHeight w:val="237"/>
        </w:trPr>
        <w:tc>
          <w:tcPr>
            <w:tcW w:w="340" w:type="dxa"/>
            <w:vAlign w:val="bottom"/>
          </w:tcPr>
          <w:p>
            <w:pPr>
              <w:spacing w:after="0"/>
              <w:rPr>
                <w:sz w:val="20"/>
                <w:szCs w:val="20"/>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Graham Park Plaza</w:t>
            </w:r>
          </w:p>
        </w:tc>
        <w:tc>
          <w:tcPr>
            <w:tcW w:w="2280" w:type="dxa"/>
            <w:vAlign w:val="bottom"/>
          </w:tcPr>
          <w:p>
            <w:pPr>
              <w:ind w:left="460"/>
              <w:spacing w:after="0"/>
              <w:rPr>
                <w:sz w:val="20"/>
                <w:szCs w:val="20"/>
                <w:color w:val="auto"/>
              </w:rPr>
            </w:pPr>
            <w:r>
              <w:rPr>
                <w:rFonts w:ascii="Arial" w:cs="Arial" w:eastAsia="Arial" w:hAnsi="Arial"/>
                <w:sz w:val="16"/>
                <w:szCs w:val="16"/>
                <w:color w:val="auto"/>
              </w:rPr>
              <w:t>Falls Church, VA</w:t>
            </w:r>
          </w:p>
        </w:tc>
        <w:tc>
          <w:tcPr>
            <w:tcW w:w="3000" w:type="dxa"/>
            <w:vAlign w:val="bottom"/>
          </w:tcPr>
          <w:p>
            <w:pPr>
              <w:ind w:left="460"/>
              <w:spacing w:after="0"/>
              <w:rPr>
                <w:sz w:val="20"/>
                <w:szCs w:val="20"/>
                <w:color w:val="auto"/>
              </w:rPr>
            </w:pPr>
            <w:r>
              <w:rPr>
                <w:rFonts w:ascii="Arial" w:cs="Arial" w:eastAsia="Arial" w:hAnsi="Arial"/>
                <w:sz w:val="16"/>
                <w:szCs w:val="16"/>
                <w:b w:val="1"/>
                <w:bCs w:val="1"/>
                <w:color w:val="auto"/>
              </w:rPr>
              <w:t>Towson land parcel</w:t>
            </w:r>
          </w:p>
        </w:tc>
        <w:tc>
          <w:tcPr>
            <w:tcW w:w="3920" w:type="dxa"/>
            <w:vAlign w:val="bottom"/>
          </w:tcPr>
          <w:p>
            <w:pPr>
              <w:ind w:left="80"/>
              <w:spacing w:after="0"/>
              <w:rPr>
                <w:sz w:val="20"/>
                <w:szCs w:val="20"/>
                <w:color w:val="auto"/>
              </w:rPr>
            </w:pPr>
            <w:r>
              <w:rPr>
                <w:rFonts w:ascii="Arial" w:cs="Arial" w:eastAsia="Arial" w:hAnsi="Arial"/>
                <w:sz w:val="16"/>
                <w:szCs w:val="16"/>
                <w:color w:val="auto"/>
              </w:rPr>
              <w:t>Towson, MD</w:t>
            </w:r>
          </w:p>
        </w:tc>
      </w:tr>
      <w:tr>
        <w:trPr>
          <w:trHeight w:val="33"/>
        </w:trPr>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Leesburg Plaza</w:t>
            </w:r>
          </w:p>
        </w:tc>
        <w:tc>
          <w:tcPr>
            <w:tcW w:w="2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Leesburg, VA</w:t>
            </w:r>
          </w:p>
        </w:tc>
        <w:tc>
          <w:tcPr>
            <w:tcW w:w="300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r>
      <w:tr>
        <w:trPr>
          <w:trHeight w:val="230"/>
        </w:trPr>
        <w:tc>
          <w:tcPr>
            <w:tcW w:w="4500" w:type="dxa"/>
            <w:vAlign w:val="bottom"/>
            <w:gridSpan w:val="3"/>
          </w:tcPr>
          <w:p>
            <w:pPr>
              <w:spacing w:after="0"/>
              <w:rPr>
                <w:sz w:val="19"/>
                <w:szCs w:val="19"/>
                <w:color w:val="auto"/>
              </w:rPr>
            </w:pPr>
          </w:p>
        </w:tc>
        <w:tc>
          <w:tcPr>
            <w:tcW w:w="300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237"/>
        </w:trPr>
        <w:tc>
          <w:tcPr>
            <w:tcW w:w="4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Longer Term Mixed-Use Opportunities</w:t>
            </w:r>
          </w:p>
        </w:tc>
        <w:tc>
          <w:tcPr>
            <w:tcW w:w="3000" w:type="dxa"/>
            <w:vAlign w:val="bottom"/>
            <w:tcBorders>
              <w:bottom w:val="single" w:sz="8" w:color="CCEEFF"/>
            </w:tcBorders>
            <w:shd w:val="clear" w:color="auto" w:fill="CCEEFF"/>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p>
        </w:tc>
      </w:tr>
      <w:tr>
        <w:trPr>
          <w:trHeight w:val="237"/>
        </w:trPr>
        <w:tc>
          <w:tcPr>
            <w:tcW w:w="340" w:type="dxa"/>
            <w:vAlign w:val="bottom"/>
          </w:tcPr>
          <w:p>
            <w:pPr>
              <w:spacing w:after="0"/>
              <w:rPr>
                <w:sz w:val="20"/>
                <w:szCs w:val="20"/>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Assembly Row (1)</w:t>
            </w:r>
          </w:p>
        </w:tc>
        <w:tc>
          <w:tcPr>
            <w:tcW w:w="2280" w:type="dxa"/>
            <w:vAlign w:val="bottom"/>
          </w:tcPr>
          <w:p>
            <w:pPr>
              <w:ind w:left="460"/>
              <w:spacing w:after="0"/>
              <w:rPr>
                <w:sz w:val="20"/>
                <w:szCs w:val="20"/>
                <w:color w:val="auto"/>
              </w:rPr>
            </w:pPr>
            <w:r>
              <w:rPr>
                <w:rFonts w:ascii="Arial" w:cs="Arial" w:eastAsia="Arial" w:hAnsi="Arial"/>
                <w:sz w:val="16"/>
                <w:szCs w:val="16"/>
                <w:color w:val="auto"/>
              </w:rPr>
              <w:t>Somerville, MA</w:t>
            </w:r>
          </w:p>
        </w:tc>
        <w:tc>
          <w:tcPr>
            <w:tcW w:w="3000" w:type="dxa"/>
            <w:vAlign w:val="bottom"/>
          </w:tcPr>
          <w:p>
            <w:pPr>
              <w:ind w:left="460"/>
              <w:spacing w:after="0"/>
              <w:rPr>
                <w:sz w:val="20"/>
                <w:szCs w:val="20"/>
                <w:color w:val="auto"/>
              </w:rPr>
            </w:pPr>
            <w:r>
              <w:rPr>
                <w:rFonts w:ascii="Arial" w:cs="Arial" w:eastAsia="Arial" w:hAnsi="Arial"/>
                <w:sz w:val="16"/>
                <w:szCs w:val="16"/>
                <w:b w:val="1"/>
                <w:bCs w:val="1"/>
                <w:color w:val="auto"/>
              </w:rPr>
              <w:t>San Antonio Center</w:t>
            </w:r>
          </w:p>
        </w:tc>
        <w:tc>
          <w:tcPr>
            <w:tcW w:w="3920" w:type="dxa"/>
            <w:vAlign w:val="bottom"/>
          </w:tcPr>
          <w:p>
            <w:pPr>
              <w:ind w:left="80"/>
              <w:spacing w:after="0"/>
              <w:rPr>
                <w:sz w:val="20"/>
                <w:szCs w:val="20"/>
                <w:color w:val="auto"/>
              </w:rPr>
            </w:pPr>
            <w:r>
              <w:rPr>
                <w:rFonts w:ascii="Arial" w:cs="Arial" w:eastAsia="Arial" w:hAnsi="Arial"/>
                <w:sz w:val="16"/>
                <w:szCs w:val="16"/>
                <w:color w:val="auto"/>
              </w:rPr>
              <w:t>Mountain View, CA</w:t>
            </w:r>
          </w:p>
        </w:tc>
      </w:tr>
      <w:tr>
        <w:trPr>
          <w:trHeight w:val="33"/>
        </w:trPr>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 Cynwyd</w:t>
            </w:r>
          </w:p>
        </w:tc>
        <w:tc>
          <w:tcPr>
            <w:tcW w:w="2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Bala Cynwyd, PA</w:t>
            </w:r>
          </w:p>
        </w:tc>
        <w:tc>
          <w:tcPr>
            <w:tcW w:w="3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b w:val="1"/>
                <w:bCs w:val="1"/>
                <w:color w:val="auto"/>
              </w:rPr>
              <w:t>Santana Row (3)</w:t>
            </w:r>
          </w:p>
        </w:tc>
        <w:tc>
          <w:tcPr>
            <w:tcW w:w="39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San Jose, CA</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0" w:type="dxa"/>
            <w:vAlign w:val="bottom"/>
          </w:tcPr>
          <w:p>
            <w:pPr>
              <w:ind w:left="460"/>
              <w:spacing w:after="0"/>
              <w:rPr>
                <w:sz w:val="20"/>
                <w:szCs w:val="20"/>
                <w:color w:val="auto"/>
              </w:rPr>
            </w:pPr>
            <w:r>
              <w:rPr>
                <w:rFonts w:ascii="Arial" w:cs="Arial" w:eastAsia="Arial" w:hAnsi="Arial"/>
                <w:sz w:val="16"/>
                <w:szCs w:val="16"/>
                <w:b w:val="1"/>
                <w:bCs w:val="1"/>
                <w:color w:val="auto"/>
                <w:w w:val="95"/>
              </w:rPr>
              <w:t>Santana Row - Winchester Theater</w:t>
            </w:r>
          </w:p>
        </w:tc>
        <w:tc>
          <w:tcPr>
            <w:tcW w:w="39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auto"/>
              </w:rPr>
              <w:t>Pike 7 Plaza</w:t>
            </w:r>
          </w:p>
        </w:tc>
        <w:tc>
          <w:tcPr>
            <w:tcW w:w="2280" w:type="dxa"/>
            <w:vAlign w:val="bottom"/>
          </w:tcPr>
          <w:p>
            <w:pPr>
              <w:ind w:left="460"/>
              <w:spacing w:after="0"/>
              <w:rPr>
                <w:sz w:val="20"/>
                <w:szCs w:val="20"/>
                <w:color w:val="auto"/>
              </w:rPr>
            </w:pPr>
            <w:r>
              <w:rPr>
                <w:rFonts w:ascii="Arial" w:cs="Arial" w:eastAsia="Arial" w:hAnsi="Arial"/>
                <w:sz w:val="16"/>
                <w:szCs w:val="16"/>
                <w:color w:val="auto"/>
              </w:rPr>
              <w:t>Vienna, VA</w:t>
            </w:r>
          </w:p>
        </w:tc>
        <w:tc>
          <w:tcPr>
            <w:tcW w:w="3000" w:type="dxa"/>
            <w:vAlign w:val="bottom"/>
          </w:tcPr>
          <w:p>
            <w:pPr>
              <w:ind w:left="460"/>
              <w:spacing w:after="0"/>
              <w:rPr>
                <w:sz w:val="20"/>
                <w:szCs w:val="20"/>
                <w:color w:val="auto"/>
              </w:rPr>
            </w:pPr>
            <w:r>
              <w:rPr>
                <w:rFonts w:ascii="Arial" w:cs="Arial" w:eastAsia="Arial" w:hAnsi="Arial"/>
                <w:sz w:val="16"/>
                <w:szCs w:val="16"/>
                <w:b w:val="1"/>
                <w:bCs w:val="1"/>
                <w:color w:val="auto"/>
              </w:rPr>
              <w:t>site</w:t>
            </w:r>
          </w:p>
        </w:tc>
        <w:tc>
          <w:tcPr>
            <w:tcW w:w="3920" w:type="dxa"/>
            <w:vAlign w:val="bottom"/>
          </w:tcPr>
          <w:p>
            <w:pPr>
              <w:ind w:left="80"/>
              <w:spacing w:after="0"/>
              <w:rPr>
                <w:sz w:val="20"/>
                <w:szCs w:val="20"/>
                <w:color w:val="auto"/>
              </w:rPr>
            </w:pPr>
            <w:r>
              <w:rPr>
                <w:rFonts w:ascii="Arial" w:cs="Arial" w:eastAsia="Arial" w:hAnsi="Arial"/>
                <w:sz w:val="16"/>
                <w:szCs w:val="16"/>
                <w:color w:val="auto"/>
              </w:rPr>
              <w:t>San Jose, CA</w:t>
            </w:r>
          </w:p>
        </w:tc>
      </w:tr>
      <w:tr>
        <w:trPr>
          <w:trHeight w:val="33"/>
        </w:trPr>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20" w:type="dxa"/>
            <w:vAlign w:val="bottom"/>
          </w:tcPr>
          <w:p>
            <w:pPr>
              <w:spacing w:after="0"/>
              <w:rPr>
                <w:sz w:val="2"/>
                <w:szCs w:val="2"/>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Pike &amp; Rose (2)</w:t>
            </w:r>
          </w:p>
        </w:tc>
        <w:tc>
          <w:tcPr>
            <w:tcW w:w="22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North Bethesda, MD</w:t>
            </w:r>
          </w:p>
        </w:tc>
        <w:tc>
          <w:tcPr>
            <w:tcW w:w="300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r>
      <w:tr>
        <w:trPr>
          <w:trHeight w:val="230"/>
        </w:trPr>
        <w:tc>
          <w:tcPr>
            <w:tcW w:w="3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200" w:type="dxa"/>
            <w:vAlign w:val="bottom"/>
            <w:gridSpan w:val="3"/>
          </w:tcPr>
          <w:p>
            <w:pPr>
              <w:spacing w:after="0"/>
              <w:rPr>
                <w:sz w:val="19"/>
                <w:szCs w:val="19"/>
                <w:color w:val="auto"/>
              </w:rPr>
            </w:pPr>
          </w:p>
        </w:tc>
      </w:tr>
      <w:tr>
        <w:trPr>
          <w:trHeight w:val="237"/>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Assembly Row</w:t>
            </w:r>
          </w:p>
        </w:tc>
        <w:tc>
          <w:tcPr>
            <w:tcW w:w="92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4"/>
                <w:szCs w:val="14"/>
                <w:color w:val="auto"/>
              </w:rPr>
              <w:t>Remaining entitlements after Phase II include approximately 2 million square feet of commercial-use buildings and 834 residential units.</w:t>
            </w:r>
          </w:p>
        </w:tc>
      </w:tr>
      <w:tr>
        <w:trPr>
          <w:trHeight w:val="224"/>
        </w:trPr>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880" w:type="dxa"/>
            <w:vAlign w:val="bottom"/>
          </w:tcPr>
          <w:p>
            <w:pPr>
              <w:ind w:left="40"/>
              <w:spacing w:after="0"/>
              <w:rPr>
                <w:sz w:val="20"/>
                <w:szCs w:val="20"/>
                <w:color w:val="auto"/>
              </w:rPr>
            </w:pPr>
            <w:r>
              <w:rPr>
                <w:rFonts w:ascii="Arial" w:cs="Arial" w:eastAsia="Arial" w:hAnsi="Arial"/>
                <w:sz w:val="16"/>
                <w:szCs w:val="16"/>
                <w:color w:val="auto"/>
              </w:rPr>
              <w:t>Pike &amp; Rose</w:t>
            </w:r>
          </w:p>
        </w:tc>
        <w:tc>
          <w:tcPr>
            <w:tcW w:w="9200" w:type="dxa"/>
            <w:vAlign w:val="bottom"/>
            <w:gridSpan w:val="3"/>
          </w:tcPr>
          <w:p>
            <w:pPr>
              <w:ind w:left="460"/>
              <w:spacing w:after="0"/>
              <w:rPr>
                <w:sz w:val="20"/>
                <w:szCs w:val="20"/>
                <w:color w:val="auto"/>
              </w:rPr>
            </w:pPr>
            <w:r>
              <w:rPr>
                <w:rFonts w:ascii="Arial" w:cs="Arial" w:eastAsia="Arial" w:hAnsi="Arial"/>
                <w:sz w:val="14"/>
                <w:szCs w:val="14"/>
                <w:color w:val="auto"/>
              </w:rPr>
              <w:t>Remaining entitlements after Phase II include approximately 1 million square feet of commercial-use buildings and 736 residential units.</w:t>
            </w:r>
          </w:p>
        </w:tc>
      </w:tr>
      <w:tr>
        <w:trPr>
          <w:trHeight w:val="33"/>
        </w:trPr>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200" w:type="dxa"/>
            <w:vAlign w:val="bottom"/>
            <w:gridSpan w:val="3"/>
          </w:tcPr>
          <w:p>
            <w:pPr>
              <w:spacing w:after="0"/>
              <w:rPr>
                <w:sz w:val="2"/>
                <w:szCs w:val="2"/>
                <w:color w:val="auto"/>
              </w:rPr>
            </w:pPr>
          </w:p>
        </w:tc>
      </w:tr>
      <w:tr>
        <w:trPr>
          <w:trHeight w:val="237"/>
        </w:trPr>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Santana Row</w:t>
            </w:r>
          </w:p>
        </w:tc>
        <w:tc>
          <w:tcPr>
            <w:tcW w:w="9200" w:type="dxa"/>
            <w:vAlign w:val="bottom"/>
            <w:tcBorders>
              <w:bottom w:val="single" w:sz="8" w:color="CCEEFF"/>
            </w:tcBorders>
            <w:gridSpan w:val="3"/>
            <w:shd w:val="clear" w:color="auto" w:fill="CCEEFF"/>
          </w:tcPr>
          <w:p>
            <w:pPr>
              <w:ind w:left="460"/>
              <w:spacing w:after="0"/>
              <w:rPr>
                <w:sz w:val="20"/>
                <w:szCs w:val="20"/>
                <w:color w:val="auto"/>
              </w:rPr>
            </w:pPr>
            <w:r>
              <w:rPr>
                <w:rFonts w:ascii="Arial" w:cs="Arial" w:eastAsia="Arial" w:hAnsi="Arial"/>
                <w:sz w:val="14"/>
                <w:szCs w:val="14"/>
                <w:color w:val="auto"/>
              </w:rPr>
              <w:t>Remaining entitlements include approximately 634,000 square feet of commercial space and 395 residential units.</w:t>
            </w:r>
          </w:p>
        </w:tc>
      </w:tr>
      <w:tr>
        <w:trPr>
          <w:trHeight w:val="459"/>
        </w:trPr>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000" w:type="dxa"/>
            <w:vAlign w:val="bottom"/>
          </w:tcPr>
          <w:p>
            <w:pPr>
              <w:ind w:left="1120"/>
              <w:spacing w:after="0"/>
              <w:rPr>
                <w:sz w:val="20"/>
                <w:szCs w:val="20"/>
                <w:color w:val="auto"/>
              </w:rPr>
            </w:pPr>
            <w:r>
              <w:rPr>
                <w:rFonts w:ascii="Arial" w:cs="Arial" w:eastAsia="Arial" w:hAnsi="Arial"/>
                <w:sz w:val="18"/>
                <w:szCs w:val="18"/>
                <w:color w:val="auto"/>
              </w:rPr>
              <w:t>18</w:t>
            </w:r>
          </w:p>
        </w:tc>
        <w:tc>
          <w:tcPr>
            <w:tcW w:w="392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Acquisitions and Dispositions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December 31, 2015</w:t>
      </w:r>
    </w:p>
    <w:p>
      <w:pPr>
        <w:spacing w:after="0" w:line="32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2015 Significant Acquisitions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20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City/State</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GLA</w:t>
            </w:r>
          </w:p>
        </w:tc>
        <w:tc>
          <w:tcPr>
            <w:tcW w:w="320" w:type="dxa"/>
            <w:vAlign w:val="bottom"/>
          </w:tcPr>
          <w:p>
            <w:pPr>
              <w:spacing w:after="0"/>
              <w:rPr>
                <w:sz w:val="14"/>
                <w:szCs w:val="14"/>
                <w:color w:val="auto"/>
              </w:rPr>
            </w:pPr>
          </w:p>
        </w:tc>
        <w:tc>
          <w:tcPr>
            <w:tcW w:w="940" w:type="dxa"/>
            <w:vAlign w:val="bottom"/>
          </w:tcPr>
          <w:p>
            <w:pPr>
              <w:jc w:val="center"/>
              <w:ind w:right="23"/>
              <w:spacing w:after="0"/>
              <w:rPr>
                <w:sz w:val="20"/>
                <w:szCs w:val="20"/>
                <w:color w:val="auto"/>
              </w:rPr>
            </w:pPr>
            <w:r>
              <w:rPr>
                <w:rFonts w:ascii="Arial" w:cs="Arial" w:eastAsia="Arial" w:hAnsi="Arial"/>
                <w:sz w:val="14"/>
                <w:szCs w:val="14"/>
                <w:b w:val="1"/>
                <w:bCs w:val="1"/>
                <w:color w:val="auto"/>
                <w:w w:val="92"/>
              </w:rPr>
              <w:t>Total Gross</w:t>
            </w:r>
          </w:p>
        </w:tc>
        <w:tc>
          <w:tcPr>
            <w:tcW w:w="320" w:type="dxa"/>
            <w:vAlign w:val="bottom"/>
          </w:tcPr>
          <w:p>
            <w:pPr>
              <w:spacing w:after="0"/>
              <w:rPr>
                <w:sz w:val="14"/>
                <w:szCs w:val="14"/>
                <w:color w:val="auto"/>
              </w:rPr>
            </w:pPr>
          </w:p>
        </w:tc>
        <w:tc>
          <w:tcPr>
            <w:tcW w:w="244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2"/>
        </w:trPr>
        <w:tc>
          <w:tcPr>
            <w:tcW w:w="1820" w:type="dxa"/>
            <w:vAlign w:val="bottom"/>
            <w:tcBorders>
              <w:bottom w:val="single" w:sz="8" w:color="auto"/>
            </w:tcBorders>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320" w:type="dxa"/>
            <w:vAlign w:val="bottom"/>
          </w:tcPr>
          <w:p>
            <w:pPr>
              <w:spacing w:after="0"/>
              <w:rPr>
                <w:sz w:val="16"/>
                <w:szCs w:val="16"/>
                <w:color w:val="auto"/>
              </w:rPr>
            </w:pPr>
          </w:p>
        </w:tc>
        <w:tc>
          <w:tcPr>
            <w:tcW w:w="940" w:type="dxa"/>
            <w:vAlign w:val="bottom"/>
          </w:tcPr>
          <w:p>
            <w:pPr>
              <w:jc w:val="center"/>
              <w:ind w:right="43"/>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2015</w:t>
            </w:r>
          </w:p>
        </w:tc>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San Antonio Center</w:t>
            </w:r>
          </w:p>
        </w:tc>
        <w:tc>
          <w:tcPr>
            <w:tcW w:w="2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Mountain View, CA</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376,000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440" w:type="dxa"/>
            <w:vAlign w:val="bottom"/>
            <w:shd w:val="clear" w:color="auto" w:fill="CCEEFF"/>
          </w:tcPr>
          <w:p>
            <w:pPr>
              <w:ind w:left="80"/>
              <w:spacing w:after="0"/>
              <w:rPr>
                <w:sz w:val="20"/>
                <w:szCs w:val="20"/>
                <w:color w:val="auto"/>
              </w:rPr>
            </w:pPr>
            <w:r>
              <w:rPr>
                <w:rFonts w:ascii="Arial" w:cs="Arial" w:eastAsia="Arial" w:hAnsi="Arial"/>
                <w:sz w:val="16"/>
                <w:szCs w:val="16"/>
                <w:color w:val="auto"/>
                <w:w w:val="94"/>
              </w:rPr>
              <w:t>Walmart / Kohl's / Trader Joe's / 24</w:t>
            </w: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Hour Fitness</w:t>
            </w:r>
          </w:p>
        </w:tc>
        <w:tc>
          <w:tcPr>
            <w:tcW w:w="0" w:type="dxa"/>
            <w:vAlign w:val="bottom"/>
          </w:tcPr>
          <w:p>
            <w:pPr>
              <w:spacing w:after="0"/>
              <w:rPr>
                <w:sz w:val="1"/>
                <w:szCs w:val="1"/>
                <w:color w:val="auto"/>
              </w:rPr>
            </w:pPr>
          </w:p>
        </w:tc>
      </w:tr>
      <w:tr>
        <w:trPr>
          <w:trHeight w:val="220"/>
        </w:trPr>
        <w:tc>
          <w:tcPr>
            <w:tcW w:w="1820" w:type="dxa"/>
            <w:vAlign w:val="bottom"/>
          </w:tcPr>
          <w:p>
            <w:pPr>
              <w:ind w:left="20"/>
              <w:spacing w:after="0"/>
              <w:rPr>
                <w:sz w:val="20"/>
                <w:szCs w:val="20"/>
                <w:color w:val="auto"/>
              </w:rPr>
            </w:pPr>
            <w:r>
              <w:rPr>
                <w:rFonts w:ascii="Arial" w:cs="Arial" w:eastAsia="Arial" w:hAnsi="Arial"/>
                <w:sz w:val="16"/>
                <w:szCs w:val="16"/>
                <w:color w:val="auto"/>
              </w:rPr>
              <w:t>May 4, 2015</w:t>
            </w:r>
          </w:p>
        </w:tc>
        <w:tc>
          <w:tcPr>
            <w:tcW w:w="2080" w:type="dxa"/>
            <w:vAlign w:val="bottom"/>
          </w:tcPr>
          <w:p>
            <w:pPr>
              <w:ind w:left="20"/>
              <w:spacing w:after="0"/>
              <w:rPr>
                <w:sz w:val="20"/>
                <w:szCs w:val="20"/>
                <w:color w:val="auto"/>
              </w:rPr>
            </w:pPr>
            <w:r>
              <w:rPr>
                <w:rFonts w:ascii="Arial" w:cs="Arial" w:eastAsia="Arial" w:hAnsi="Arial"/>
                <w:sz w:val="16"/>
                <w:szCs w:val="16"/>
                <w:color w:val="auto"/>
              </w:rPr>
              <w:t>CocoWalk</w:t>
            </w:r>
          </w:p>
        </w:tc>
        <w:tc>
          <w:tcPr>
            <w:tcW w:w="2020" w:type="dxa"/>
            <w:vAlign w:val="bottom"/>
          </w:tcPr>
          <w:p>
            <w:pPr>
              <w:ind w:left="340"/>
              <w:spacing w:after="0"/>
              <w:rPr>
                <w:sz w:val="20"/>
                <w:szCs w:val="20"/>
                <w:color w:val="auto"/>
              </w:rPr>
            </w:pPr>
            <w:r>
              <w:rPr>
                <w:rFonts w:ascii="Arial" w:cs="Arial" w:eastAsia="Arial" w:hAnsi="Arial"/>
                <w:sz w:val="16"/>
                <w:szCs w:val="16"/>
                <w:color w:val="auto"/>
              </w:rPr>
              <w:t>Miami, Florida</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198,000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87.5</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2440" w:type="dxa"/>
            <w:vAlign w:val="bottom"/>
          </w:tcPr>
          <w:p>
            <w:pPr>
              <w:ind w:left="80"/>
              <w:spacing w:after="0"/>
              <w:rPr>
                <w:sz w:val="20"/>
                <w:szCs w:val="20"/>
                <w:color w:val="auto"/>
              </w:rPr>
            </w:pPr>
            <w:r>
              <w:rPr>
                <w:rFonts w:ascii="Arial" w:cs="Arial" w:eastAsia="Arial" w:hAnsi="Arial"/>
                <w:sz w:val="16"/>
                <w:szCs w:val="16"/>
                <w:color w:val="auto"/>
              </w:rPr>
              <w:t>Cinepolis Theaters / Gap / Youfit</w:t>
            </w:r>
          </w:p>
        </w:tc>
        <w:tc>
          <w:tcPr>
            <w:tcW w:w="0" w:type="dxa"/>
            <w:vAlign w:val="bottom"/>
          </w:tcPr>
          <w:p>
            <w:pPr>
              <w:spacing w:after="0"/>
              <w:rPr>
                <w:sz w:val="1"/>
                <w:szCs w:val="1"/>
                <w:color w:val="auto"/>
              </w:rPr>
            </w:pPr>
          </w:p>
        </w:tc>
      </w:tr>
      <w:tr>
        <w:trPr>
          <w:trHeight w:val="206"/>
        </w:trPr>
        <w:tc>
          <w:tcPr>
            <w:tcW w:w="18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40" w:type="dxa"/>
            <w:vAlign w:val="bottom"/>
          </w:tcPr>
          <w:p>
            <w:pPr>
              <w:ind w:left="80"/>
              <w:spacing w:after="0"/>
              <w:rPr>
                <w:sz w:val="20"/>
                <w:szCs w:val="20"/>
                <w:color w:val="auto"/>
              </w:rPr>
            </w:pPr>
            <w:r>
              <w:rPr>
                <w:rFonts w:ascii="Arial" w:cs="Arial" w:eastAsia="Arial" w:hAnsi="Arial"/>
                <w:sz w:val="16"/>
                <w:szCs w:val="16"/>
                <w:color w:val="auto"/>
              </w:rPr>
              <w:t>Health Club</w:t>
            </w:r>
          </w:p>
        </w:tc>
        <w:tc>
          <w:tcPr>
            <w:tcW w:w="0" w:type="dxa"/>
            <w:vAlign w:val="bottom"/>
          </w:tcPr>
          <w:p>
            <w:pPr>
              <w:spacing w:after="0"/>
              <w:rPr>
                <w:sz w:val="1"/>
                <w:szCs w:val="1"/>
                <w:color w:val="auto"/>
              </w:rPr>
            </w:pPr>
          </w:p>
        </w:tc>
      </w:tr>
      <w:tr>
        <w:trPr>
          <w:trHeight w:val="33"/>
        </w:trPr>
        <w:tc>
          <w:tcPr>
            <w:tcW w:w="18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1, 2015</w:t>
            </w:r>
          </w:p>
        </w:tc>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Shops at Sunset Place</w:t>
            </w:r>
          </w:p>
        </w:tc>
        <w:tc>
          <w:tcPr>
            <w:tcW w:w="2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South Miami, Florida</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515,000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440" w:type="dxa"/>
            <w:vAlign w:val="bottom"/>
            <w:shd w:val="clear" w:color="auto" w:fill="CCEEFF"/>
          </w:tcPr>
          <w:p>
            <w:pPr>
              <w:ind w:left="80"/>
              <w:spacing w:after="0"/>
              <w:rPr>
                <w:sz w:val="20"/>
                <w:szCs w:val="20"/>
                <w:color w:val="auto"/>
              </w:rPr>
            </w:pPr>
            <w:r>
              <w:rPr>
                <w:rFonts w:ascii="Arial" w:cs="Arial" w:eastAsia="Arial" w:hAnsi="Arial"/>
                <w:sz w:val="16"/>
                <w:szCs w:val="16"/>
                <w:color w:val="auto"/>
              </w:rPr>
              <w:t>AMC Theatres / L.A. Fitness /</w:t>
            </w:r>
          </w:p>
        </w:tc>
        <w:tc>
          <w:tcPr>
            <w:tcW w:w="0" w:type="dxa"/>
            <w:vAlign w:val="bottom"/>
          </w:tcPr>
          <w:p>
            <w:pPr>
              <w:spacing w:after="0"/>
              <w:rPr>
                <w:sz w:val="1"/>
                <w:szCs w:val="1"/>
                <w:color w:val="auto"/>
              </w:rPr>
            </w:pPr>
          </w:p>
        </w:tc>
      </w:tr>
      <w:tr>
        <w:trPr>
          <w:trHeight w:val="219"/>
        </w:trPr>
        <w:tc>
          <w:tcPr>
            <w:tcW w:w="18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4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Barnes &amp; Noble</w:t>
            </w: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60" w:right="160" w:firstLine="2"/>
        <w:spacing w:after="0" w:line="278" w:lineRule="auto"/>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effective interest approximates 80% and was funded by the assumption of our share of $19 million of mortgage debt, 58,000 downREIT operating partnership units, and approximately $27 million of cash ($18 million in one closing and $9 million in a second closing). The mortgage debt, which had a stated rate interest rate of 5.3%, was repaid on November 2, 2015.</w:t>
      </w:r>
    </w:p>
    <w:p>
      <w:pPr>
        <w:spacing w:after="0" w:line="22" w:lineRule="exact"/>
        <w:rPr>
          <w:rFonts w:ascii="Arial" w:cs="Arial" w:eastAsia="Arial" w:hAnsi="Arial"/>
          <w:sz w:val="16"/>
          <w:szCs w:val="16"/>
          <w:color w:val="auto"/>
        </w:rPr>
      </w:pPr>
    </w:p>
    <w:p>
      <w:pPr>
        <w:ind w:left="300" w:hanging="238"/>
        <w:spacing w:after="0"/>
        <w:tabs>
          <w:tab w:leader="none" w:pos="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acquisition was completed through a newly formed entity for which we own a preferred interest and an 80% common interest.</w:t>
      </w:r>
    </w:p>
    <w:p>
      <w:pPr>
        <w:spacing w:after="0" w:line="72" w:lineRule="exact"/>
        <w:rPr>
          <w:rFonts w:ascii="Arial" w:cs="Arial" w:eastAsia="Arial" w:hAnsi="Arial"/>
          <w:sz w:val="16"/>
          <w:szCs w:val="16"/>
          <w:color w:val="auto"/>
        </w:rPr>
      </w:pPr>
    </w:p>
    <w:p>
      <w:pPr>
        <w:ind w:left="60" w:right="160" w:firstLine="2"/>
        <w:spacing w:after="0" w:line="293" w:lineRule="auto"/>
        <w:tabs>
          <w:tab w:leader="none" w:pos="29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acquisition was completed through a newly formed entity for which we own an 85% interest. The transaction included the assumption of our share of $71 million of mortgage debt that has a stated rate of 5.6% and matures on September 1, 2020.</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2015 Significant Dispositions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Property</w:t>
            </w:r>
          </w:p>
        </w:tc>
        <w:tc>
          <w:tcPr>
            <w:tcW w:w="22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City/State</w:t>
            </w:r>
          </w:p>
        </w:tc>
        <w:tc>
          <w:tcPr>
            <w:tcW w:w="1620" w:type="dxa"/>
            <w:vAlign w:val="bottom"/>
            <w:tcBorders>
              <w:bottom w:val="single" w:sz="8" w:color="auto"/>
            </w:tcBorders>
          </w:tcPr>
          <w:p>
            <w:pPr>
              <w:jc w:val="center"/>
              <w:ind w:left="83"/>
              <w:spacing w:after="0"/>
              <w:rPr>
                <w:sz w:val="20"/>
                <w:szCs w:val="20"/>
                <w:color w:val="auto"/>
              </w:rPr>
            </w:pPr>
            <w:r>
              <w:rPr>
                <w:rFonts w:ascii="Arial" w:cs="Arial" w:eastAsia="Arial" w:hAnsi="Arial"/>
                <w:sz w:val="14"/>
                <w:szCs w:val="14"/>
                <w:b w:val="1"/>
                <w:bCs w:val="1"/>
                <w:color w:val="auto"/>
              </w:rPr>
              <w:t>GLA</w:t>
            </w: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w w:val="98"/>
              </w:rPr>
              <w:t>Sales Price</w:t>
            </w: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Total Gain</w:t>
            </w:r>
          </w:p>
        </w:tc>
      </w:tr>
      <w:tr>
        <w:trPr>
          <w:trHeight w:val="190"/>
        </w:trPr>
        <w:tc>
          <w:tcPr>
            <w:tcW w:w="15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20" w:type="dxa"/>
            <w:vAlign w:val="bottom"/>
          </w:tcPr>
          <w:p>
            <w:pPr>
              <w:jc w:val="center"/>
              <w:ind w:left="83"/>
              <w:spacing w:after="0"/>
              <w:rPr>
                <w:sz w:val="20"/>
                <w:szCs w:val="20"/>
                <w:color w:val="auto"/>
              </w:rPr>
            </w:pPr>
            <w:r>
              <w:rPr>
                <w:rFonts w:ascii="Arial" w:cs="Arial" w:eastAsia="Arial" w:hAnsi="Arial"/>
                <w:sz w:val="14"/>
                <w:szCs w:val="14"/>
                <w:b w:val="1"/>
                <w:bCs w:val="1"/>
                <w:color w:val="auto"/>
                <w:w w:val="93"/>
              </w:rPr>
              <w:t>(in square feet)</w:t>
            </w:r>
          </w:p>
        </w:tc>
        <w:tc>
          <w:tcPr>
            <w:tcW w:w="400" w:type="dxa"/>
            <w:vAlign w:val="bottom"/>
          </w:tcPr>
          <w:p>
            <w:pPr>
              <w:spacing w:after="0"/>
              <w:rPr>
                <w:sz w:val="16"/>
                <w:szCs w:val="16"/>
                <w:color w:val="auto"/>
              </w:rPr>
            </w:pP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auto"/>
                <w:w w:val="99"/>
              </w:rPr>
              <w:t>(in millions)</w:t>
            </w:r>
          </w:p>
        </w:tc>
        <w:tc>
          <w:tcPr>
            <w:tcW w:w="360" w:type="dxa"/>
            <w:vAlign w:val="bottom"/>
          </w:tcPr>
          <w:p>
            <w:pPr>
              <w:spacing w:after="0"/>
              <w:rPr>
                <w:sz w:val="16"/>
                <w:szCs w:val="16"/>
                <w:color w:val="auto"/>
              </w:rPr>
            </w:pPr>
          </w:p>
        </w:tc>
        <w:tc>
          <w:tcPr>
            <w:tcW w:w="980" w:type="dxa"/>
            <w:vAlign w:val="bottom"/>
          </w:tcPr>
          <w:p>
            <w:pPr>
              <w:jc w:val="right"/>
              <w:ind w:right="123"/>
              <w:spacing w:after="0"/>
              <w:rPr>
                <w:sz w:val="20"/>
                <w:szCs w:val="20"/>
                <w:color w:val="auto"/>
              </w:rPr>
            </w:pPr>
            <w:r>
              <w:rPr>
                <w:rFonts w:ascii="Arial" w:cs="Arial" w:eastAsia="Arial" w:hAnsi="Arial"/>
                <w:sz w:val="14"/>
                <w:szCs w:val="14"/>
                <w:b w:val="1"/>
                <w:bCs w:val="1"/>
                <w:color w:val="auto"/>
                <w:w w:val="96"/>
              </w:rPr>
              <w:t>(in millions)</w:t>
            </w:r>
          </w:p>
        </w:tc>
      </w:tr>
      <w:tr>
        <w:trPr>
          <w:trHeight w:val="80"/>
        </w:trPr>
        <w:tc>
          <w:tcPr>
            <w:tcW w:w="15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24, 2015</w:t>
            </w:r>
          </w:p>
        </w:tc>
        <w:tc>
          <w:tcPr>
            <w:tcW w:w="1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Houston Street</w:t>
            </w:r>
          </w:p>
        </w:tc>
        <w:tc>
          <w:tcPr>
            <w:tcW w:w="22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San Antonio, TX</w:t>
            </w:r>
          </w:p>
        </w:tc>
        <w:tc>
          <w:tcPr>
            <w:tcW w:w="1620" w:type="dxa"/>
            <w:vAlign w:val="bottom"/>
            <w:tcBorders>
              <w:bottom w:val="single" w:sz="8" w:color="CCEEFF"/>
            </w:tcBorders>
            <w:shd w:val="clear" w:color="auto" w:fill="CCEEFF"/>
          </w:tcPr>
          <w:p>
            <w:pPr>
              <w:jc w:val="center"/>
              <w:ind w:left="83"/>
              <w:spacing w:after="0"/>
              <w:rPr>
                <w:sz w:val="20"/>
                <w:szCs w:val="20"/>
                <w:color w:val="auto"/>
              </w:rPr>
            </w:pPr>
            <w:r>
              <w:rPr>
                <w:rFonts w:ascii="Arial" w:cs="Arial" w:eastAsia="Arial" w:hAnsi="Arial"/>
                <w:sz w:val="16"/>
                <w:szCs w:val="16"/>
                <w:color w:val="auto"/>
                <w:w w:val="93"/>
              </w:rPr>
              <w:t>172,000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46.1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11.5</w:t>
            </w:r>
          </w:p>
        </w:tc>
      </w:tr>
      <w:tr>
        <w:trPr>
          <w:trHeight w:val="224"/>
        </w:trPr>
        <w:tc>
          <w:tcPr>
            <w:tcW w:w="1540" w:type="dxa"/>
            <w:vAlign w:val="bottom"/>
          </w:tcPr>
          <w:p>
            <w:pPr>
              <w:ind w:left="40"/>
              <w:spacing w:after="0"/>
              <w:rPr>
                <w:sz w:val="20"/>
                <w:szCs w:val="20"/>
                <w:color w:val="auto"/>
              </w:rPr>
            </w:pPr>
            <w:r>
              <w:rPr>
                <w:rFonts w:ascii="Arial" w:cs="Arial" w:eastAsia="Arial" w:hAnsi="Arial"/>
                <w:sz w:val="16"/>
                <w:szCs w:val="16"/>
                <w:color w:val="auto"/>
              </w:rPr>
              <w:t>November 19, 2015</w:t>
            </w:r>
          </w:p>
        </w:tc>
        <w:tc>
          <w:tcPr>
            <w:tcW w:w="1960" w:type="dxa"/>
            <w:vAlign w:val="bottom"/>
          </w:tcPr>
          <w:p>
            <w:pPr>
              <w:ind w:left="220"/>
              <w:spacing w:after="0"/>
              <w:rPr>
                <w:sz w:val="20"/>
                <w:szCs w:val="20"/>
                <w:color w:val="auto"/>
              </w:rPr>
            </w:pPr>
            <w:r>
              <w:rPr>
                <w:rFonts w:ascii="Arial" w:cs="Arial" w:eastAsia="Arial" w:hAnsi="Arial"/>
                <w:sz w:val="16"/>
                <w:szCs w:val="16"/>
                <w:color w:val="auto"/>
              </w:rPr>
              <w:t>Courtyard Shops</w:t>
            </w:r>
          </w:p>
        </w:tc>
        <w:tc>
          <w:tcPr>
            <w:tcW w:w="2200" w:type="dxa"/>
            <w:vAlign w:val="bottom"/>
          </w:tcPr>
          <w:p>
            <w:pPr>
              <w:ind w:left="660"/>
              <w:spacing w:after="0"/>
              <w:rPr>
                <w:sz w:val="20"/>
                <w:szCs w:val="20"/>
                <w:color w:val="auto"/>
              </w:rPr>
            </w:pPr>
            <w:r>
              <w:rPr>
                <w:rFonts w:ascii="Arial" w:cs="Arial" w:eastAsia="Arial" w:hAnsi="Arial"/>
                <w:sz w:val="16"/>
                <w:szCs w:val="16"/>
                <w:color w:val="auto"/>
              </w:rPr>
              <w:t>Wellington, FL</w:t>
            </w:r>
          </w:p>
        </w:tc>
        <w:tc>
          <w:tcPr>
            <w:tcW w:w="1620" w:type="dxa"/>
            <w:vAlign w:val="bottom"/>
          </w:tcPr>
          <w:p>
            <w:pPr>
              <w:jc w:val="center"/>
              <w:ind w:left="83"/>
              <w:spacing w:after="0"/>
              <w:rPr>
                <w:sz w:val="20"/>
                <w:szCs w:val="20"/>
                <w:color w:val="auto"/>
              </w:rPr>
            </w:pPr>
            <w:r>
              <w:rPr>
                <w:rFonts w:ascii="Arial" w:cs="Arial" w:eastAsia="Arial" w:hAnsi="Arial"/>
                <w:sz w:val="16"/>
                <w:szCs w:val="16"/>
                <w:color w:val="auto"/>
                <w:w w:val="93"/>
              </w:rPr>
              <w:t>127,000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43"/>
              <w:spacing w:after="0"/>
              <w:rPr>
                <w:sz w:val="20"/>
                <w:szCs w:val="20"/>
                <w:color w:val="auto"/>
              </w:rPr>
            </w:pPr>
            <w:r>
              <w:rPr>
                <w:rFonts w:ascii="Arial" w:cs="Arial" w:eastAsia="Arial" w:hAnsi="Arial"/>
                <w:sz w:val="16"/>
                <w:szCs w:val="16"/>
                <w:color w:val="auto"/>
              </w:rPr>
              <w:t>52.8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16.8</w:t>
            </w:r>
          </w:p>
        </w:tc>
      </w:tr>
    </w:tbl>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Subsequent Event - 2016 Significant Acquisition</w:t>
      </w:r>
    </w:p>
    <w:p>
      <w:pPr>
        <w:spacing w:after="0" w:line="171"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auto"/>
        </w:rPr>
        <w:t>On January 13, 2016, we acquired the outstanding 70% equity interest in our joint venture arrangement with affiliates of a discretionary fund created and advised by Clarion Partners ("Clarion") for $153.7 million, which includes $130 million of cash and the assumption of three interest only mortgage loans which are detailed on the "Summary of Outstanding Debt and Debt Maturities - 30% Owned Joint Venture" schedule. With the acquisition, we gained control of the six underlying properties which are described on the "Real Estate Status - 30% Owned Joint Venture" schedule on page 29.</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75" w:right="25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Real</w:t>
            </w:r>
          </w:p>
        </w:tc>
        <w:tc>
          <w:tcPr>
            <w:tcW w:w="80" w:type="dxa"/>
            <w:vAlign w:val="bottom"/>
          </w:tcPr>
          <w:p>
            <w:pPr>
              <w:spacing w:after="0"/>
              <w:rPr>
                <w:sz w:val="11"/>
                <w:szCs w:val="11"/>
                <w:color w:val="auto"/>
              </w:rPr>
            </w:pPr>
          </w:p>
        </w:tc>
        <w:tc>
          <w:tcPr>
            <w:tcW w:w="58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1"/>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Rent PSF</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420" w:type="dxa"/>
            <w:vAlign w:val="bottom"/>
          </w:tcPr>
          <w:p>
            <w:pPr>
              <w:spacing w:after="0"/>
              <w:rPr>
                <w:sz w:val="11"/>
                <w:szCs w:val="11"/>
                <w:color w:val="auto"/>
              </w:rPr>
            </w:pPr>
          </w:p>
        </w:tc>
      </w:tr>
      <w:tr>
        <w:trPr>
          <w:trHeight w:val="174"/>
        </w:trPr>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MSA Description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Cost</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7"/>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Occupied</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(3)</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80" w:type="dxa"/>
            <w:vAlign w:val="bottom"/>
          </w:tcPr>
          <w:p>
            <w:pPr>
              <w:spacing w:after="0"/>
              <w:rPr>
                <w:sz w:val="11"/>
                <w:szCs w:val="11"/>
                <w:color w:val="auto"/>
              </w:rPr>
            </w:pPr>
          </w:p>
        </w:tc>
        <w:tc>
          <w:tcPr>
            <w:tcW w:w="580" w:type="dxa"/>
            <w:vAlign w:val="bottom"/>
          </w:tcPr>
          <w:p>
            <w:pPr>
              <w:jc w:val="center"/>
              <w:ind w:right="18"/>
              <w:spacing w:after="0"/>
              <w:rPr>
                <w:sz w:val="20"/>
                <w:szCs w:val="20"/>
                <w:color w:val="auto"/>
              </w:rPr>
            </w:pPr>
            <w:r>
              <w:rPr>
                <w:rFonts w:ascii="Arial" w:cs="Arial" w:eastAsia="Arial" w:hAnsi="Arial"/>
                <w:sz w:val="11"/>
                <w:szCs w:val="11"/>
                <w:color w:val="auto"/>
                <w:w w:val="84"/>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r>
      <w:tr>
        <w:trPr>
          <w:trHeight w:val="148"/>
        </w:trPr>
        <w:tc>
          <w:tcPr>
            <w:tcW w:w="12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Washington, DC-MD-VA</w:t>
            </w:r>
          </w:p>
        </w:tc>
        <w:tc>
          <w:tcPr>
            <w:tcW w:w="1540" w:type="dxa"/>
            <w:vAlign w:val="bottom"/>
            <w:gridSpan w:val="2"/>
          </w:tcPr>
          <w:p>
            <w:pPr>
              <w:jc w:val="right"/>
              <w:ind w:right="37"/>
              <w:spacing w:after="0" w:line="148" w:lineRule="exact"/>
              <w:rPr>
                <w:sz w:val="20"/>
                <w:szCs w:val="20"/>
                <w:color w:val="auto"/>
              </w:rPr>
            </w:pPr>
            <w:r>
              <w:rPr>
                <w:rFonts w:ascii="Arial" w:cs="Arial" w:eastAsia="Arial" w:hAnsi="Arial"/>
                <w:sz w:val="13"/>
                <w:szCs w:val="13"/>
                <w:color w:val="auto"/>
              </w:rPr>
              <w:t>1993- $ 224,991</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$49.07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3"/>
              </w:rPr>
              <w:t>Apple Computer / Barnes &amp; Noble / Equinox</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w w:val="89"/>
              </w:rPr>
              <w:t>2006/2008/2010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 Landmark Theater</w:t>
            </w:r>
          </w:p>
        </w:tc>
      </w:tr>
      <w:tr>
        <w:trPr>
          <w:trHeight w:val="156"/>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(4)</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90,498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40.10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The Fresh</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Buy Buy Baby / Container Store / Last Call</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Studio by Neiman Marcus</w:t>
            </w:r>
          </w:p>
        </w:tc>
      </w:tr>
      <w:tr>
        <w:trPr>
          <w:trHeight w:val="173"/>
        </w:trPr>
        <w:tc>
          <w:tcPr>
            <w:tcW w:w="128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4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4,733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66%</w:t>
            </w:r>
          </w:p>
        </w:tc>
        <w:tc>
          <w:tcPr>
            <w:tcW w:w="580" w:type="dxa"/>
            <w:vAlign w:val="bottom"/>
          </w:tcPr>
          <w:p>
            <w:pPr>
              <w:jc w:val="right"/>
              <w:spacing w:after="0"/>
              <w:rPr>
                <w:sz w:val="20"/>
                <w:szCs w:val="20"/>
                <w:color w:val="auto"/>
              </w:rPr>
            </w:pPr>
            <w:r>
              <w:rPr>
                <w:rFonts w:ascii="Arial" w:cs="Arial" w:eastAsia="Arial" w:hAnsi="Arial"/>
                <w:sz w:val="13"/>
                <w:szCs w:val="13"/>
                <w:color w:val="auto"/>
              </w:rPr>
              <w:t>66%</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23.60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48"/>
        </w:trPr>
        <w:tc>
          <w:tcPr>
            <w:tcW w:w="12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w w:val="90"/>
              </w:rPr>
              <w:t>Falls Plaza/Falls Plaza-</w:t>
            </w:r>
          </w:p>
        </w:tc>
        <w:tc>
          <w:tcPr>
            <w:tcW w:w="4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12,847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34.43</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51,000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CVS / Staples</w:t>
            </w:r>
          </w:p>
        </w:tc>
      </w:tr>
      <w:tr>
        <w:trPr>
          <w:trHeight w:val="176"/>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East</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48"/>
        </w:trPr>
        <w:tc>
          <w:tcPr>
            <w:tcW w:w="12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Federal Plaza</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1989</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65,971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34.48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14,000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TJ Maxx / Micro Center / Ross Dress For</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Less</w:t>
            </w:r>
          </w:p>
        </w:tc>
      </w:tr>
      <w:tr>
        <w:trPr>
          <w:trHeight w:val="156"/>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4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37,519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28.12</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 / Maggiano's / Nordstrom Rack /</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148"/>
        </w:trPr>
        <w:tc>
          <w:tcPr>
            <w:tcW w:w="12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Gaithersburg Square</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26,674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26.53</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Bed, Bath &amp; Beyond / Ross Dress For Less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Ashley Furniture HomeStore</w:t>
            </w:r>
          </w:p>
        </w:tc>
      </w:tr>
      <w:tr>
        <w:trPr>
          <w:trHeight w:val="181"/>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 Plaza</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34,335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27.77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 Fitness / Stein Mart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280" w:type="dxa"/>
            <w:vAlign w:val="bottom"/>
            <w:gridSpan w:val="3"/>
          </w:tcPr>
          <w:p>
            <w:pPr>
              <w:ind w:left="40"/>
              <w:spacing w:after="0"/>
              <w:rPr>
                <w:sz w:val="20"/>
                <w:szCs w:val="20"/>
                <w:color w:val="auto"/>
              </w:rPr>
            </w:pPr>
            <w:r>
              <w:rPr>
                <w:rFonts w:ascii="Arial" w:cs="Arial" w:eastAsia="Arial" w:hAnsi="Arial"/>
                <w:sz w:val="13"/>
                <w:szCs w:val="13"/>
                <w:color w:val="auto"/>
              </w:rPr>
              <w:t>Idylwood Plaza</w:t>
            </w:r>
          </w:p>
        </w:tc>
        <w:tc>
          <w:tcPr>
            <w:tcW w:w="4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1994</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16,736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46.59</w:t>
            </w:r>
          </w:p>
        </w:tc>
        <w:tc>
          <w:tcPr>
            <w:tcW w:w="600" w:type="dxa"/>
            <w:vAlign w:val="bottom"/>
          </w:tcPr>
          <w:p>
            <w:pPr>
              <w:ind w:left="60"/>
              <w:spacing w:after="0"/>
              <w:rPr>
                <w:sz w:val="20"/>
                <w:szCs w:val="20"/>
                <w:color w:val="auto"/>
              </w:rPr>
            </w:pPr>
            <w:r>
              <w:rPr>
                <w:rFonts w:ascii="Arial" w:cs="Arial" w:eastAsia="Arial" w:hAnsi="Arial"/>
                <w:sz w:val="13"/>
                <w:szCs w:val="13"/>
                <w:color w:val="auto"/>
              </w:rPr>
              <w:t>30,000</w:t>
            </w:r>
          </w:p>
        </w:tc>
        <w:tc>
          <w:tcPr>
            <w:tcW w:w="820" w:type="dxa"/>
            <w:vAlign w:val="bottom"/>
          </w:tcPr>
          <w:p>
            <w:pPr>
              <w:ind w:left="80"/>
              <w:spacing w:after="0"/>
              <w:rPr>
                <w:sz w:val="20"/>
                <w:szCs w:val="20"/>
                <w:color w:val="auto"/>
              </w:rPr>
            </w:pPr>
            <w:r>
              <w:rPr>
                <w:rFonts w:ascii="Arial" w:cs="Arial" w:eastAsia="Arial" w:hAnsi="Arial"/>
                <w:sz w:val="13"/>
                <w:szCs w:val="13"/>
                <w:color w:val="auto"/>
                <w:w w:val="93"/>
              </w:rPr>
              <w:t>Whole Foods</w:t>
            </w:r>
          </w:p>
        </w:tc>
        <w:tc>
          <w:tcPr>
            <w:tcW w:w="24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55,408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22.41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280" w:type="dxa"/>
            <w:vAlign w:val="bottom"/>
            <w:gridSpan w:val="3"/>
          </w:tcPr>
          <w:p>
            <w:pPr>
              <w:ind w:left="40"/>
              <w:spacing w:after="0"/>
              <w:rPr>
                <w:sz w:val="20"/>
                <w:szCs w:val="20"/>
                <w:color w:val="auto"/>
              </w:rPr>
            </w:pPr>
            <w:r>
              <w:rPr>
                <w:rFonts w:ascii="Arial" w:cs="Arial" w:eastAsia="Arial" w:hAnsi="Arial"/>
                <w:sz w:val="13"/>
                <w:szCs w:val="13"/>
                <w:color w:val="auto"/>
              </w:rPr>
              <w:t>Leesburg Plaza</w:t>
            </w:r>
          </w:p>
        </w:tc>
        <w:tc>
          <w:tcPr>
            <w:tcW w:w="4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36,185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23.04</w:t>
            </w:r>
          </w:p>
        </w:tc>
        <w:tc>
          <w:tcPr>
            <w:tcW w:w="600" w:type="dxa"/>
            <w:vAlign w:val="bottom"/>
          </w:tcPr>
          <w:p>
            <w:pPr>
              <w:ind w:left="60"/>
              <w:spacing w:after="0"/>
              <w:rPr>
                <w:sz w:val="20"/>
                <w:szCs w:val="20"/>
                <w:color w:val="auto"/>
              </w:rPr>
            </w:pPr>
            <w:r>
              <w:rPr>
                <w:rFonts w:ascii="Arial" w:cs="Arial" w:eastAsia="Arial" w:hAnsi="Arial"/>
                <w:sz w:val="13"/>
                <w:szCs w:val="13"/>
                <w:color w:val="auto"/>
              </w:rPr>
              <w:t>55,000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420" w:type="dxa"/>
            <w:vAlign w:val="bottom"/>
          </w:tcPr>
          <w:p>
            <w:pPr>
              <w:ind w:left="4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48"/>
        </w:trPr>
        <w:tc>
          <w:tcPr>
            <w:tcW w:w="12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Montrose Crossing</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(4)</w:t>
            </w:r>
          </w:p>
        </w:tc>
        <w:tc>
          <w:tcPr>
            <w:tcW w:w="14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2011/2013</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153,546</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74,329</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366,000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24.56</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73,000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Marshalls / Sports Authority / Barnes &amp;</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Noble / A.C. Moore</w:t>
            </w:r>
          </w:p>
        </w:tc>
      </w:tr>
      <w:tr>
        <w:trPr>
          <w:trHeight w:val="148"/>
        </w:trPr>
        <w:tc>
          <w:tcPr>
            <w:tcW w:w="12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(6)</w:t>
            </w: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82,866</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17.14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Bed, Bath &amp; Beyond / Michaels / Home</w:t>
            </w:r>
          </w:p>
        </w:tc>
      </w:tr>
      <w:tr>
        <w:trPr>
          <w:trHeight w:val="135"/>
        </w:trPr>
        <w:tc>
          <w:tcPr>
            <w:tcW w:w="128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3"/>
              </w:rPr>
              <w:t>Valley/7770 Richmond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420" w:type="dxa"/>
            <w:vAlign w:val="bottom"/>
          </w:tcPr>
          <w:p>
            <w:pPr>
              <w:ind w:left="40"/>
              <w:spacing w:after="0" w:line="135" w:lineRule="exact"/>
              <w:rPr>
                <w:sz w:val="20"/>
                <w:szCs w:val="20"/>
                <w:color w:val="auto"/>
              </w:rPr>
            </w:pPr>
            <w:r>
              <w:rPr>
                <w:rFonts w:ascii="Arial" w:cs="Arial" w:eastAsia="Arial" w:hAnsi="Arial"/>
                <w:sz w:val="13"/>
                <w:szCs w:val="13"/>
                <w:color w:val="auto"/>
              </w:rPr>
              <w:t>Depot / TJ Maxx / Gold's Gym / Staples /</w:t>
            </w:r>
          </w:p>
        </w:tc>
      </w:tr>
      <w:tr>
        <w:trPr>
          <w:trHeight w:val="168"/>
        </w:trPr>
        <w:tc>
          <w:tcPr>
            <w:tcW w:w="1280" w:type="dxa"/>
            <w:vAlign w:val="bottom"/>
            <w:gridSpan w:val="3"/>
          </w:tcPr>
          <w:p>
            <w:pPr>
              <w:ind w:left="40"/>
              <w:spacing w:after="0"/>
              <w:rPr>
                <w:sz w:val="20"/>
                <w:szCs w:val="20"/>
                <w:color w:val="auto"/>
              </w:rPr>
            </w:pPr>
            <w:r>
              <w:rPr>
                <w:rFonts w:ascii="Arial" w:cs="Arial" w:eastAsia="Arial" w:hAnsi="Arial"/>
                <w:sz w:val="13"/>
                <w:szCs w:val="13"/>
                <w:color w:val="auto"/>
              </w:rPr>
              <w:t>Hwy</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2420" w:type="dxa"/>
            <w:vAlign w:val="bottom"/>
          </w:tcPr>
          <w:p>
            <w:pPr>
              <w:ind w:left="40"/>
              <w:spacing w:after="0"/>
              <w:rPr>
                <w:sz w:val="20"/>
                <w:szCs w:val="20"/>
                <w:color w:val="auto"/>
              </w:rPr>
            </w:pPr>
            <w:r>
              <w:rPr>
                <w:rFonts w:ascii="Arial" w:cs="Arial" w:eastAsia="Arial" w:hAnsi="Arial"/>
                <w:sz w:val="13"/>
                <w:szCs w:val="13"/>
                <w:color w:val="auto"/>
              </w:rPr>
              <w:t>DSW</w:t>
            </w:r>
          </w:p>
        </w:tc>
      </w:tr>
      <w:tr>
        <w:trPr>
          <w:trHeight w:val="181"/>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6,411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41.19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280" w:type="dxa"/>
            <w:vAlign w:val="bottom"/>
            <w:gridSpan w:val="3"/>
          </w:tcPr>
          <w:p>
            <w:pPr>
              <w:ind w:left="40"/>
              <w:spacing w:after="0"/>
              <w:rPr>
                <w:sz w:val="20"/>
                <w:szCs w:val="20"/>
                <w:color w:val="auto"/>
              </w:rPr>
            </w:pPr>
            <w:r>
              <w:rPr>
                <w:rFonts w:ascii="Arial" w:cs="Arial" w:eastAsia="Arial" w:hAnsi="Arial"/>
                <w:sz w:val="13"/>
                <w:szCs w:val="13"/>
                <w:color w:val="auto"/>
              </w:rPr>
              <w:t>Pan Am</w:t>
            </w:r>
          </w:p>
        </w:tc>
        <w:tc>
          <w:tcPr>
            <w:tcW w:w="4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28,853</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22.37</w:t>
            </w:r>
          </w:p>
        </w:tc>
        <w:tc>
          <w:tcPr>
            <w:tcW w:w="600" w:type="dxa"/>
            <w:vAlign w:val="bottom"/>
          </w:tcPr>
          <w:p>
            <w:pPr>
              <w:ind w:left="60"/>
              <w:spacing w:after="0"/>
              <w:rPr>
                <w:sz w:val="20"/>
                <w:szCs w:val="20"/>
                <w:color w:val="auto"/>
              </w:rPr>
            </w:pPr>
            <w:r>
              <w:rPr>
                <w:rFonts w:ascii="Arial" w:cs="Arial" w:eastAsia="Arial" w:hAnsi="Arial"/>
                <w:sz w:val="13"/>
                <w:szCs w:val="13"/>
                <w:color w:val="auto"/>
              </w:rPr>
              <w:t>65,000</w:t>
            </w:r>
          </w:p>
        </w:tc>
        <w:tc>
          <w:tcPr>
            <w:tcW w:w="820" w:type="dxa"/>
            <w:vAlign w:val="bottom"/>
          </w:tcPr>
          <w:p>
            <w:pPr>
              <w:ind w:left="80"/>
              <w:spacing w:after="0"/>
              <w:rPr>
                <w:sz w:val="20"/>
                <w:szCs w:val="20"/>
                <w:color w:val="auto"/>
              </w:rPr>
            </w:pPr>
            <w:r>
              <w:rPr>
                <w:rFonts w:ascii="Arial" w:cs="Arial" w:eastAsia="Arial" w:hAnsi="Arial"/>
                <w:sz w:val="13"/>
                <w:szCs w:val="13"/>
                <w:color w:val="auto"/>
              </w:rPr>
              <w:t>Safeway</w:t>
            </w:r>
          </w:p>
        </w:tc>
        <w:tc>
          <w:tcPr>
            <w:tcW w:w="2420" w:type="dxa"/>
            <w:vAlign w:val="bottom"/>
          </w:tcPr>
          <w:p>
            <w:pPr>
              <w:ind w:left="4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96,681</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38.63</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Bed, Bath &amp; Beyond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48"/>
        </w:trPr>
        <w:tc>
          <w:tcPr>
            <w:tcW w:w="12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Pike &amp; Rose</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w w:val="89"/>
              </w:rPr>
              <w:t>1982/2007/2012</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366,529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44.14</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iPic Theater / Sport &amp; Health / Gap / Gap</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Kids</w:t>
            </w:r>
          </w:p>
        </w:tc>
      </w:tr>
      <w:tr>
        <w:trPr>
          <w:trHeight w:val="181"/>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1997/2015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41,714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42.75</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28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4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35,301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58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21.78</w:t>
            </w:r>
          </w:p>
        </w:tc>
        <w:tc>
          <w:tcPr>
            <w:tcW w:w="600" w:type="dxa"/>
            <w:vAlign w:val="bottom"/>
          </w:tcPr>
          <w:p>
            <w:pPr>
              <w:ind w:left="60"/>
              <w:spacing w:after="0"/>
              <w:rPr>
                <w:sz w:val="20"/>
                <w:szCs w:val="20"/>
                <w:color w:val="auto"/>
              </w:rPr>
            </w:pPr>
            <w:r>
              <w:rPr>
                <w:rFonts w:ascii="Arial" w:cs="Arial" w:eastAsia="Arial" w:hAnsi="Arial"/>
                <w:sz w:val="13"/>
                <w:szCs w:val="13"/>
                <w:color w:val="auto"/>
              </w:rPr>
              <w:t>19,000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2420" w:type="dxa"/>
            <w:vAlign w:val="bottom"/>
          </w:tcPr>
          <w:p>
            <w:pPr>
              <w:ind w:left="40"/>
              <w:spacing w:after="0"/>
              <w:rPr>
                <w:sz w:val="20"/>
                <w:szCs w:val="20"/>
                <w:color w:val="auto"/>
              </w:rPr>
            </w:pPr>
            <w:r>
              <w:rPr>
                <w:rFonts w:ascii="Arial" w:cs="Arial" w:eastAsia="Arial" w:hAnsi="Arial"/>
                <w:sz w:val="13"/>
                <w:szCs w:val="13"/>
                <w:color w:val="auto"/>
              </w:rPr>
              <w:t>L.A. Fitness / HomeGoods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48"/>
        </w:trPr>
        <w:tc>
          <w:tcPr>
            <w:tcW w:w="12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w w:val="91"/>
              </w:rPr>
              <w:t>Rockville Town Square</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(7)</w:t>
            </w:r>
          </w:p>
        </w:tc>
        <w:tc>
          <w:tcPr>
            <w:tcW w:w="14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50,087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4,492</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187,000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90%</w:t>
            </w:r>
          </w:p>
        </w:tc>
        <w:tc>
          <w:tcPr>
            <w:tcW w:w="5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29.59</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Dawson's</w:t>
            </w:r>
          </w:p>
        </w:tc>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CVS / Gold's Gym</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420" w:type="dxa"/>
            <w:vAlign w:val="bottom"/>
            <w:shd w:val="clear" w:color="auto" w:fill="CCEEFF"/>
          </w:tcPr>
          <w:p>
            <w:pPr>
              <w:spacing w:after="0"/>
              <w:rPr>
                <w:sz w:val="15"/>
                <w:szCs w:val="15"/>
                <w:color w:val="auto"/>
              </w:rPr>
            </w:pPr>
          </w:p>
        </w:tc>
      </w:tr>
      <w:tr>
        <w:trPr>
          <w:trHeight w:val="148"/>
        </w:trPr>
        <w:tc>
          <w:tcPr>
            <w:tcW w:w="12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Rollingwood</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1971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10,247</w:t>
            </w:r>
          </w:p>
        </w:tc>
        <w:tc>
          <w:tcPr>
            <w:tcW w:w="80" w:type="dxa"/>
            <w:vAlign w:val="bottom"/>
          </w:tcPr>
          <w:p>
            <w:pPr>
              <w:spacing w:after="0"/>
              <w:rPr>
                <w:sz w:val="12"/>
                <w:szCs w:val="12"/>
                <w:color w:val="auto"/>
              </w:rPr>
            </w:pPr>
          </w:p>
        </w:tc>
        <w:tc>
          <w:tcPr>
            <w:tcW w:w="5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21,716</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N/A</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spacing w:after="0"/>
              <w:rPr>
                <w:sz w:val="12"/>
                <w:szCs w:val="12"/>
                <w:color w:val="auto"/>
              </w:rPr>
            </w:pPr>
          </w:p>
        </w:tc>
      </w:tr>
      <w:tr>
        <w:trPr>
          <w:trHeight w:val="168"/>
        </w:trPr>
        <w:tc>
          <w:tcPr>
            <w:tcW w:w="1280" w:type="dxa"/>
            <w:vAlign w:val="bottom"/>
            <w:gridSpan w:val="3"/>
          </w:tcPr>
          <w:p>
            <w:pPr>
              <w:ind w:left="40"/>
              <w:spacing w:after="0"/>
              <w:rPr>
                <w:sz w:val="20"/>
                <w:szCs w:val="20"/>
                <w:color w:val="auto"/>
              </w:rPr>
            </w:pPr>
            <w:r>
              <w:rPr>
                <w:rFonts w:ascii="Arial" w:cs="Arial" w:eastAsia="Arial" w:hAnsi="Arial"/>
                <w:sz w:val="13"/>
                <w:szCs w:val="13"/>
                <w:color w:val="auto"/>
              </w:rPr>
              <w:t>Apartments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81"/>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12,554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44.28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280" w:type="dxa"/>
            <w:vAlign w:val="bottom"/>
            <w:gridSpan w:val="3"/>
          </w:tcPr>
          <w:p>
            <w:pPr>
              <w:ind w:left="40"/>
              <w:spacing w:after="0"/>
              <w:rPr>
                <w:sz w:val="20"/>
                <w:szCs w:val="20"/>
                <w:color w:val="auto"/>
              </w:rPr>
            </w:pPr>
            <w:r>
              <w:rPr>
                <w:rFonts w:ascii="Arial" w:cs="Arial" w:eastAsia="Arial" w:hAnsi="Arial"/>
                <w:sz w:val="13"/>
                <w:szCs w:val="13"/>
                <w:color w:val="auto"/>
                <w:w w:val="88"/>
              </w:rPr>
              <w:t>Tower Shopping Center</w:t>
            </w:r>
          </w:p>
        </w:tc>
        <w:tc>
          <w:tcPr>
            <w:tcW w:w="4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21,452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24.38</w:t>
            </w:r>
          </w:p>
        </w:tc>
        <w:tc>
          <w:tcPr>
            <w:tcW w:w="600" w:type="dxa"/>
            <w:vAlign w:val="bottom"/>
          </w:tcPr>
          <w:p>
            <w:pPr>
              <w:ind w:left="60"/>
              <w:spacing w:after="0"/>
              <w:rPr>
                <w:sz w:val="20"/>
                <w:szCs w:val="20"/>
                <w:color w:val="auto"/>
              </w:rPr>
            </w:pPr>
            <w:r>
              <w:rPr>
                <w:rFonts w:ascii="Arial" w:cs="Arial" w:eastAsia="Arial" w:hAnsi="Arial"/>
                <w:sz w:val="13"/>
                <w:szCs w:val="13"/>
                <w:color w:val="auto"/>
              </w:rPr>
              <w:t>26,000</w:t>
            </w:r>
          </w:p>
        </w:tc>
        <w:tc>
          <w:tcPr>
            <w:tcW w:w="820" w:type="dxa"/>
            <w:vAlign w:val="bottom"/>
          </w:tcPr>
          <w:p>
            <w:pPr>
              <w:ind w:left="80"/>
              <w:spacing w:after="0"/>
              <w:rPr>
                <w:sz w:val="20"/>
                <w:szCs w:val="20"/>
                <w:color w:val="auto"/>
              </w:rPr>
            </w:pPr>
            <w:r>
              <w:rPr>
                <w:rFonts w:ascii="Arial" w:cs="Arial" w:eastAsia="Arial" w:hAnsi="Arial"/>
                <w:sz w:val="13"/>
                <w:szCs w:val="13"/>
                <w:color w:val="auto"/>
              </w:rPr>
              <w:t>L.A. Mart</w:t>
            </w:r>
          </w:p>
        </w:tc>
        <w:tc>
          <w:tcPr>
            <w:tcW w:w="2420" w:type="dxa"/>
            <w:vAlign w:val="bottom"/>
          </w:tcPr>
          <w:p>
            <w:pPr>
              <w:ind w:left="40"/>
              <w:spacing w:after="0"/>
              <w:rPr>
                <w:sz w:val="20"/>
                <w:szCs w:val="20"/>
                <w:color w:val="auto"/>
              </w:rPr>
            </w:pPr>
            <w:r>
              <w:rPr>
                <w:rFonts w:ascii="Arial" w:cs="Arial" w:eastAsia="Arial" w:hAnsi="Arial"/>
                <w:sz w:val="13"/>
                <w:szCs w:val="13"/>
                <w:color w:val="auto"/>
              </w:rPr>
              <w:t>Talbots / Total Wine &amp; More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4,593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43.20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42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73"/>
        </w:trPr>
        <w:tc>
          <w:tcPr>
            <w:tcW w:w="128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400" w:type="dxa"/>
            <w:vAlign w:val="bottom"/>
          </w:tcPr>
          <w:p>
            <w:pPr>
              <w:jc w:val="center"/>
              <w:spacing w:after="0"/>
              <w:rPr>
                <w:sz w:val="20"/>
                <w:szCs w:val="20"/>
                <w:color w:val="auto"/>
              </w:rPr>
            </w:pPr>
            <w:r>
              <w:rPr>
                <w:rFonts w:ascii="Arial" w:cs="Arial" w:eastAsia="Arial" w:hAnsi="Arial"/>
                <w:sz w:val="13"/>
                <w:szCs w:val="13"/>
                <w:color w:val="auto"/>
                <w:w w:val="87"/>
              </w:rPr>
              <w:t>(7)</w:t>
            </w:r>
          </w:p>
        </w:tc>
        <w:tc>
          <w:tcPr>
            <w:tcW w:w="1400" w:type="dxa"/>
            <w:vAlign w:val="bottom"/>
            <w:gridSpan w:val="2"/>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61,407</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6,539</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rPr>
                <w:sz w:val="20"/>
                <w:szCs w:val="20"/>
                <w:color w:val="auto"/>
              </w:rPr>
            </w:pPr>
            <w:r>
              <w:rPr>
                <w:rFonts w:ascii="Arial" w:cs="Arial" w:eastAsia="Arial" w:hAnsi="Arial"/>
                <w:sz w:val="13"/>
                <w:szCs w:val="13"/>
                <w:color w:val="auto"/>
              </w:rPr>
              <w:t>88%</w:t>
            </w:r>
          </w:p>
        </w:tc>
        <w:tc>
          <w:tcPr>
            <w:tcW w:w="580" w:type="dxa"/>
            <w:vAlign w:val="bottom"/>
          </w:tcPr>
          <w:p>
            <w:pPr>
              <w:jc w:val="right"/>
              <w:spacing w:after="0"/>
              <w:rPr>
                <w:sz w:val="20"/>
                <w:szCs w:val="20"/>
                <w:color w:val="auto"/>
              </w:rPr>
            </w:pPr>
            <w:r>
              <w:rPr>
                <w:rFonts w:ascii="Arial" w:cs="Arial" w:eastAsia="Arial" w:hAnsi="Arial"/>
                <w:sz w:val="13"/>
                <w:szCs w:val="13"/>
                <w:color w:val="auto"/>
              </w:rPr>
              <w:t>85%</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36.17</w:t>
            </w:r>
          </w:p>
        </w:tc>
        <w:tc>
          <w:tcPr>
            <w:tcW w:w="600" w:type="dxa"/>
            <w:vAlign w:val="bottom"/>
          </w:tcPr>
          <w:p>
            <w:pPr>
              <w:ind w:left="60"/>
              <w:spacing w:after="0"/>
              <w:rPr>
                <w:sz w:val="20"/>
                <w:szCs w:val="20"/>
                <w:color w:val="auto"/>
              </w:rPr>
            </w:pPr>
            <w:r>
              <w:rPr>
                <w:rFonts w:ascii="Arial" w:cs="Arial" w:eastAsia="Arial" w:hAnsi="Arial"/>
                <w:sz w:val="13"/>
                <w:szCs w:val="13"/>
                <w:color w:val="auto"/>
              </w:rPr>
              <w:t>28,000</w:t>
            </w:r>
          </w:p>
        </w:tc>
        <w:tc>
          <w:tcPr>
            <w:tcW w:w="820" w:type="dxa"/>
            <w:vAlign w:val="bottom"/>
          </w:tcPr>
          <w:p>
            <w:pPr>
              <w:ind w:left="80"/>
              <w:spacing w:after="0"/>
              <w:rPr>
                <w:sz w:val="20"/>
                <w:szCs w:val="20"/>
                <w:color w:val="auto"/>
              </w:rPr>
            </w:pPr>
            <w:r>
              <w:rPr>
                <w:rFonts w:ascii="Arial" w:cs="Arial" w:eastAsia="Arial" w:hAnsi="Arial"/>
                <w:sz w:val="13"/>
                <w:szCs w:val="13"/>
                <w:color w:val="auto"/>
                <w:w w:val="94"/>
              </w:rPr>
              <w:t>Harris Teeter</w:t>
            </w:r>
          </w:p>
        </w:tc>
        <w:tc>
          <w:tcPr>
            <w:tcW w:w="2420" w:type="dxa"/>
            <w:vAlign w:val="bottom"/>
          </w:tcPr>
          <w:p>
            <w:pPr>
              <w:ind w:left="4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73"/>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Washington, DC-MD-VA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18,965</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95.44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Balducci's</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42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8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Total Washington Metropolitan Area</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1,597,103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5,507,000</w:t>
            </w:r>
          </w:p>
        </w:tc>
        <w:tc>
          <w:tcPr>
            <w:tcW w:w="500" w:type="dxa"/>
            <w:vAlign w:val="bottom"/>
          </w:tcPr>
          <w:p>
            <w:pPr>
              <w:jc w:val="right"/>
              <w:spacing w:after="0"/>
              <w:rPr>
                <w:sz w:val="20"/>
                <w:szCs w:val="20"/>
                <w:color w:val="auto"/>
              </w:rPr>
            </w:pPr>
            <w:r>
              <w:rPr>
                <w:rFonts w:ascii="Arial" w:cs="Arial" w:eastAsia="Arial" w:hAnsi="Arial"/>
                <w:sz w:val="13"/>
                <w:szCs w:val="13"/>
                <w:color w:val="auto"/>
              </w:rPr>
              <w:t>93%</w:t>
            </w:r>
          </w:p>
        </w:tc>
        <w:tc>
          <w:tcPr>
            <w:tcW w:w="580" w:type="dxa"/>
            <w:vAlign w:val="bottom"/>
          </w:tcPr>
          <w:p>
            <w:pPr>
              <w:jc w:val="right"/>
              <w:spacing w:after="0"/>
              <w:rPr>
                <w:sz w:val="20"/>
                <w:szCs w:val="20"/>
                <w:color w:val="auto"/>
              </w:rPr>
            </w:pPr>
            <w:r>
              <w:rPr>
                <w:rFonts w:ascii="Arial" w:cs="Arial" w:eastAsia="Arial" w:hAnsi="Arial"/>
                <w:sz w:val="13"/>
                <w:szCs w:val="13"/>
                <w:color w:val="auto"/>
              </w:rPr>
              <w:t>92%</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32.46</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42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r>
      <w:tr>
        <w:trPr>
          <w:trHeight w:val="230"/>
        </w:trPr>
        <w:tc>
          <w:tcPr>
            <w:tcW w:w="4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b w:val="1"/>
                <w:bCs w:val="1"/>
                <w:color w:val="auto"/>
              </w:rPr>
              <w:t>California</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48"/>
        </w:trPr>
        <w:tc>
          <w:tcPr>
            <w:tcW w:w="12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rPr>
              <w:t>Colorado Blvd</w:t>
            </w:r>
          </w:p>
        </w:tc>
        <w:tc>
          <w:tcPr>
            <w:tcW w:w="40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89"/>
              </w:rPr>
              <w:t>Los Angeles-Long Beach,</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18,002</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88%</w:t>
            </w:r>
          </w:p>
        </w:tc>
        <w:tc>
          <w:tcPr>
            <w:tcW w:w="5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41.05</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48"/>
        </w:trPr>
        <w:tc>
          <w:tcPr>
            <w:tcW w:w="12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Crow Canyon</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Ramon, CA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2005/2007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88,234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26.44</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32,000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Sprouts</w:t>
            </w: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2"/>
              </w:rPr>
              <w:t>Orchard Supply Hardware / Rite Aid / Sports</w:t>
            </w:r>
          </w:p>
        </w:tc>
      </w:tr>
      <w:tr>
        <w:trPr>
          <w:trHeight w:val="168"/>
        </w:trPr>
        <w:tc>
          <w:tcPr>
            <w:tcW w:w="1280" w:type="dxa"/>
            <w:vAlign w:val="bottom"/>
            <w:gridSpan w:val="3"/>
          </w:tcPr>
          <w:p>
            <w:pPr>
              <w:ind w:left="40"/>
              <w:spacing w:after="0"/>
              <w:rPr>
                <w:sz w:val="20"/>
                <w:szCs w:val="20"/>
                <w:color w:val="auto"/>
              </w:rPr>
            </w:pPr>
            <w:r>
              <w:rPr>
                <w:rFonts w:ascii="Arial" w:cs="Arial" w:eastAsia="Arial" w:hAnsi="Arial"/>
                <w:sz w:val="13"/>
                <w:szCs w:val="13"/>
                <w:color w:val="auto"/>
              </w:rPr>
              <w:t>Commons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Authority</w:t>
            </w:r>
          </w:p>
        </w:tc>
      </w:tr>
      <w:tr>
        <w:trPr>
          <w:trHeight w:val="156"/>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East Bay Bridge</w:t>
            </w:r>
          </w:p>
        </w:tc>
        <w:tc>
          <w:tcPr>
            <w:tcW w:w="4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San Francisco-Oakland-</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2012</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175,780</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438,000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17.72</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59,000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Pak-N-Save</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2"/>
              </w:rPr>
              <w:t>Home Depot / Michaels / Target / Nordstrom</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Fremont, CA</w:t>
            </w: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Rack</w:t>
            </w:r>
          </w:p>
        </w:tc>
      </w:tr>
      <w:tr>
        <w:trPr>
          <w:trHeight w:val="148"/>
        </w:trPr>
        <w:tc>
          <w:tcPr>
            <w:tcW w:w="128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2"/>
              </w:rPr>
              <w:t>Escondido Promenade</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Diego, CA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1996/2010</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47,104</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24.34</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0"/>
              </w:rPr>
              <w:t>TJ Maxx / Toys R Us / Dick’s Sporting Goods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 Ross Dress For Less</w:t>
            </w:r>
          </w:p>
        </w:tc>
      </w:tr>
      <w:tr>
        <w:trPr>
          <w:trHeight w:val="156"/>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Hermosa Avenue</w:t>
            </w:r>
          </w:p>
        </w:tc>
        <w:tc>
          <w:tcPr>
            <w:tcW w:w="4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9"/>
              </w:rPr>
              <w:t>Los Angeles-Long Beach,</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5,908</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37.64</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spacing w:after="0"/>
              <w:rPr>
                <w:sz w:val="15"/>
                <w:szCs w:val="15"/>
                <w:color w:val="auto"/>
              </w:rPr>
            </w:pPr>
          </w:p>
        </w:tc>
      </w:tr>
      <w:tr>
        <w:trPr>
          <w:trHeight w:val="148"/>
        </w:trPr>
        <w:tc>
          <w:tcPr>
            <w:tcW w:w="12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Hollywood Blvd</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89"/>
              </w:rPr>
              <w:t>Los Angeles-Long Beach,</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1999</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46,419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33.56</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3"/>
              </w:rPr>
              <w:t>DSW / L.A. Fitness / Marshalls / La La Land</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CA</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spacing w:after="0"/>
              <w:rPr>
                <w:sz w:val="14"/>
                <w:szCs w:val="14"/>
                <w:color w:val="auto"/>
              </w:rPr>
            </w:pPr>
          </w:p>
        </w:tc>
      </w:tr>
      <w:tr>
        <w:trPr>
          <w:trHeight w:val="156"/>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Kings Court</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11,612</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31.46</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Lunardi's</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Super Market</w:t>
            </w:r>
          </w:p>
        </w:tc>
        <w:tc>
          <w:tcPr>
            <w:tcW w:w="2420" w:type="dxa"/>
            <w:vAlign w:val="bottom"/>
            <w:shd w:val="clear" w:color="auto" w:fill="CCEEFF"/>
          </w:tcPr>
          <w:p>
            <w:pPr>
              <w:spacing w:after="0"/>
              <w:rPr>
                <w:sz w:val="15"/>
                <w:szCs w:val="15"/>
                <w:color w:val="auto"/>
              </w:rPr>
            </w:pPr>
          </w:p>
        </w:tc>
      </w:tr>
      <w:tr>
        <w:trPr>
          <w:trHeight w:val="173"/>
        </w:trPr>
        <w:tc>
          <w:tcPr>
            <w:tcW w:w="1280" w:type="dxa"/>
            <w:vAlign w:val="bottom"/>
            <w:gridSpan w:val="3"/>
          </w:tcPr>
          <w:p>
            <w:pPr>
              <w:ind w:left="40"/>
              <w:spacing w:after="0"/>
              <w:rPr>
                <w:sz w:val="20"/>
                <w:szCs w:val="20"/>
                <w:color w:val="auto"/>
              </w:rPr>
            </w:pPr>
            <w:r>
              <w:rPr>
                <w:rFonts w:ascii="Arial" w:cs="Arial" w:eastAsia="Arial" w:hAnsi="Arial"/>
                <w:sz w:val="13"/>
                <w:szCs w:val="13"/>
                <w:color w:val="auto"/>
              </w:rPr>
              <w:t>Old Town Center</w:t>
            </w:r>
          </w:p>
        </w:tc>
        <w:tc>
          <w:tcPr>
            <w:tcW w:w="400" w:type="dxa"/>
            <w:vAlign w:val="bottom"/>
          </w:tcPr>
          <w:p>
            <w:pPr>
              <w:spacing w:after="0"/>
              <w:rPr>
                <w:sz w:val="15"/>
                <w:szCs w:val="15"/>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San Jose, CA</w:t>
            </w:r>
          </w:p>
        </w:tc>
        <w:tc>
          <w:tcPr>
            <w:tcW w:w="8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37,840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38.55</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420" w:type="dxa"/>
            <w:vAlign w:val="bottom"/>
          </w:tcPr>
          <w:p>
            <w:pPr>
              <w:spacing w:after="0"/>
              <w:rPr>
                <w:sz w:val="8"/>
                <w:szCs w:val="8"/>
                <w:color w:val="auto"/>
              </w:rPr>
            </w:pPr>
          </w:p>
        </w:tc>
      </w:tr>
      <w:tr>
        <w:trPr>
          <w:trHeight w:val="148"/>
        </w:trPr>
        <w:tc>
          <w:tcPr>
            <w:tcW w:w="1280" w:type="dxa"/>
            <w:vAlign w:val="bottom"/>
            <w:gridSpan w:val="3"/>
            <w:shd w:val="clear" w:color="auto" w:fill="CCEEFF"/>
          </w:tcPr>
          <w:p>
            <w:pPr>
              <w:ind w:left="40"/>
              <w:spacing w:after="0" w:line="148" w:lineRule="exact"/>
              <w:rPr>
                <w:sz w:val="20"/>
                <w:szCs w:val="20"/>
                <w:color w:val="auto"/>
              </w:rPr>
            </w:pPr>
            <w:r>
              <w:rPr>
                <w:rFonts w:ascii="Arial" w:cs="Arial" w:eastAsia="Arial" w:hAnsi="Arial"/>
                <w:sz w:val="13"/>
                <w:szCs w:val="13"/>
                <w:color w:val="auto"/>
                <w:w w:val="89"/>
              </w:rPr>
              <w:t>Plaza El Segundo / The</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7"/>
              </w:rPr>
              <w:t>(4)</w:t>
            </w:r>
          </w:p>
        </w:tc>
        <w:tc>
          <w:tcPr>
            <w:tcW w:w="14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w w:val="89"/>
              </w:rPr>
              <w:t>Los Angeles-Long Beach,</w:t>
            </w:r>
          </w:p>
        </w:tc>
        <w:tc>
          <w:tcPr>
            <w:tcW w:w="8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2011/2015</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270,979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w w:val="93"/>
              </w:rPr>
              <w:t>175,000</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450,000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41.63</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66,000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w w:val="93"/>
              </w:rPr>
              <w:t>Whole Foods</w:t>
            </w:r>
          </w:p>
        </w:tc>
        <w:tc>
          <w:tcPr>
            <w:tcW w:w="242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3"/>
              </w:rPr>
              <w:t>Anthropologie / Best Buy / Container Store /</w:t>
            </w:r>
          </w:p>
        </w:tc>
      </w:tr>
      <w:tr>
        <w:trPr>
          <w:trHeight w:val="176"/>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Point</w:t>
            </w: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CA</w:t>
            </w: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Dick's Sporting Goods / H&amp;M / HomeGoods</w:t>
            </w:r>
          </w:p>
        </w:tc>
      </w:tr>
      <w:tr>
        <w:trPr>
          <w:trHeight w:val="148"/>
        </w:trPr>
        <w:tc>
          <w:tcPr>
            <w:tcW w:w="128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Santana Row</w:t>
            </w:r>
          </w:p>
        </w:tc>
        <w:tc>
          <w:tcPr>
            <w:tcW w:w="400" w:type="dxa"/>
            <w:vAlign w:val="bottom"/>
          </w:tcPr>
          <w:p>
            <w:pPr>
              <w:spacing w:after="0"/>
              <w:rPr>
                <w:sz w:val="12"/>
                <w:szCs w:val="12"/>
                <w:color w:val="auto"/>
              </w:rPr>
            </w:pPr>
          </w:p>
        </w:tc>
        <w:tc>
          <w:tcPr>
            <w:tcW w:w="1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San Jose, CA</w:t>
            </w:r>
          </w:p>
        </w:tc>
        <w:tc>
          <w:tcPr>
            <w:tcW w:w="880" w:type="dxa"/>
            <w:vAlign w:val="bottom"/>
          </w:tcPr>
          <w:p>
            <w:pPr>
              <w:jc w:val="right"/>
              <w:spacing w:after="0" w:line="148" w:lineRule="exact"/>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732,658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651,000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50.13</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2"/>
              </w:rPr>
              <w:t>Crate &amp; Barrel / Container Store / Best Buy /</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3"/>
                <w:szCs w:val="13"/>
                <w:color w:val="auto"/>
              </w:rPr>
              <w:t>CineArts Theatre / Hotel Valencia / H&amp;M</w:t>
            </w:r>
          </w:p>
        </w:tc>
      </w:tr>
      <w:tr>
        <w:trPr>
          <w:trHeight w:val="156"/>
        </w:trPr>
        <w:tc>
          <w:tcPr>
            <w:tcW w:w="1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San Antonio Center</w:t>
            </w:r>
          </w:p>
        </w:tc>
        <w:tc>
          <w:tcPr>
            <w:tcW w:w="4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(4) (6)</w:t>
            </w: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5"/>
              </w:rPr>
              <w:t>San Francisco-Oakland-</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72,769</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12.67</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Kohl's / Wal-mart / 24 Hour Fitness / Jo-Ann</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8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Stores</w:t>
            </w:r>
          </w:p>
        </w:tc>
      </w:tr>
    </w:tbl>
    <w:p>
      <w:pPr>
        <w:spacing w:after="0" w:line="200" w:lineRule="exact"/>
        <w:rPr>
          <w:sz w:val="20"/>
          <w:szCs w:val="20"/>
          <w:color w:val="auto"/>
        </w:rPr>
      </w:pPr>
    </w:p>
    <w:p>
      <w:pPr>
        <w:sectPr>
          <w:pgSz w:w="11900" w:h="16838" w:orient="portrait"/>
          <w:cols w:equalWidth="0" w:num="1">
            <w:col w:w="11420"/>
          </w:cols>
          <w:pgMar w:left="240" w:top="747" w:right="239" w:bottom="83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747" w:right="239" w:bottom="838"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6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4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600" w:type="dxa"/>
            <w:vAlign w:val="bottom"/>
          </w:tcPr>
          <w:p>
            <w:pPr>
              <w:spacing w:after="0"/>
              <w:rPr>
                <w:sz w:val="11"/>
                <w:szCs w:val="11"/>
                <w:color w:val="auto"/>
              </w:rPr>
            </w:pPr>
          </w:p>
        </w:tc>
      </w:tr>
      <w:tr>
        <w:trPr>
          <w:trHeight w:val="174"/>
        </w:trPr>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4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MSA Description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Occupied</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spacing w:after="0"/>
              <w:rPr>
                <w:sz w:val="11"/>
                <w:szCs w:val="11"/>
                <w:color w:val="auto"/>
              </w:rPr>
            </w:pPr>
          </w:p>
        </w:tc>
      </w:tr>
      <w:tr>
        <w:trPr>
          <w:trHeight w:val="170"/>
        </w:trPr>
        <w:tc>
          <w:tcPr>
            <w:tcW w:w="1340" w:type="dxa"/>
            <w:vAlign w:val="bottom"/>
            <w:gridSpan w:val="4"/>
          </w:tcPr>
          <w:p>
            <w:pPr>
              <w:ind w:left="40"/>
              <w:spacing w:after="0"/>
              <w:rPr>
                <w:sz w:val="20"/>
                <w:szCs w:val="20"/>
                <w:color w:val="auto"/>
              </w:rPr>
            </w:pPr>
            <w:r>
              <w:rPr>
                <w:rFonts w:ascii="Arial" w:cs="Arial" w:eastAsia="Arial" w:hAnsi="Arial"/>
                <w:sz w:val="13"/>
                <w:szCs w:val="13"/>
                <w:color w:val="auto"/>
                <w:w w:val="92"/>
              </w:rPr>
              <w:t>Third Street Promenade</w:t>
            </w:r>
          </w:p>
        </w:tc>
        <w:tc>
          <w:tcPr>
            <w:tcW w:w="4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color w:val="auto"/>
                <w:w w:val="94"/>
              </w:rPr>
              <w:t>Los Angeles-Long Beach,</w:t>
            </w:r>
          </w:p>
        </w:tc>
        <w:tc>
          <w:tcPr>
            <w:tcW w:w="600" w:type="dxa"/>
            <w:vAlign w:val="bottom"/>
          </w:tcPr>
          <w:p>
            <w:pPr>
              <w:jc w:val="right"/>
              <w:spacing w:after="0"/>
              <w:rPr>
                <w:sz w:val="20"/>
                <w:szCs w:val="20"/>
                <w:color w:val="auto"/>
              </w:rPr>
            </w:pPr>
            <w:r>
              <w:rPr>
                <w:rFonts w:ascii="Arial" w:cs="Arial" w:eastAsia="Arial" w:hAnsi="Arial"/>
                <w:sz w:val="13"/>
                <w:szCs w:val="13"/>
                <w:color w:val="auto"/>
              </w:rPr>
              <w:t>1996-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78,535</w:t>
            </w:r>
          </w:p>
        </w:tc>
        <w:tc>
          <w:tcPr>
            <w:tcW w:w="6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jc w:val="right"/>
              <w:spacing w:after="0"/>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71.00</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ind w:left="40"/>
              <w:spacing w:after="0"/>
              <w:rPr>
                <w:sz w:val="20"/>
                <w:szCs w:val="20"/>
                <w:color w:val="auto"/>
              </w:rPr>
            </w:pPr>
            <w:r>
              <w:rPr>
                <w:rFonts w:ascii="Arial" w:cs="Arial" w:eastAsia="Arial" w:hAnsi="Arial"/>
                <w:sz w:val="13"/>
                <w:szCs w:val="13"/>
                <w:color w:val="auto"/>
              </w:rPr>
              <w:t>J. Crew / Banana Republic / Old Navy /</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CA</w:t>
            </w:r>
          </w:p>
        </w:tc>
        <w:tc>
          <w:tcPr>
            <w:tcW w:w="600" w:type="dxa"/>
            <w:vAlign w:val="bottom"/>
          </w:tcPr>
          <w:p>
            <w:pPr>
              <w:jc w:val="right"/>
              <w:spacing w:after="0"/>
              <w:rPr>
                <w:sz w:val="20"/>
                <w:szCs w:val="20"/>
                <w:color w:val="auto"/>
              </w:rPr>
            </w:pPr>
            <w:r>
              <w:rPr>
                <w:rFonts w:ascii="Arial" w:cs="Arial" w:eastAsia="Arial" w:hAnsi="Arial"/>
                <w:sz w:val="13"/>
                <w:szCs w:val="13"/>
                <w:color w:val="auto"/>
              </w:rPr>
              <w:t>2000</w:t>
            </w: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ind w:left="40"/>
              <w:spacing w:after="0"/>
              <w:rPr>
                <w:sz w:val="20"/>
                <w:szCs w:val="20"/>
                <w:color w:val="auto"/>
              </w:rPr>
            </w:pPr>
            <w:r>
              <w:rPr>
                <w:rFonts w:ascii="Arial" w:cs="Arial" w:eastAsia="Arial" w:hAnsi="Arial"/>
                <w:sz w:val="13"/>
                <w:szCs w:val="13"/>
                <w:color w:val="auto"/>
              </w:rPr>
              <w:t>Abercrombie &amp; Fitch</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Westgate Center</w:t>
            </w:r>
          </w:p>
        </w:tc>
        <w:tc>
          <w:tcPr>
            <w:tcW w:w="4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San Jose, CA</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145,995</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17.38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38,000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Walmart</w:t>
            </w: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Target / Burlington Coat Factory / Ross Dress For</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0"/>
              </w:rPr>
              <w:t>Neighborhood</w:t>
            </w:r>
          </w:p>
        </w:tc>
        <w:tc>
          <w:tcPr>
            <w:tcW w:w="26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1"/>
              </w:rPr>
              <w:t>Less / Michaels / Nordstrom Rack / Nike Factory</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w:t>
            </w: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 J. Crew / Gap Factory Store</w:t>
            </w:r>
          </w:p>
        </w:tc>
      </w:tr>
      <w:tr>
        <w:trPr>
          <w:trHeight w:val="173"/>
        </w:trPr>
        <w:tc>
          <w:tcPr>
            <w:tcW w:w="1340" w:type="dxa"/>
            <w:vAlign w:val="bottom"/>
            <w:gridSpan w:val="4"/>
          </w:tcPr>
          <w:p>
            <w:pPr>
              <w:ind w:left="40"/>
              <w:spacing w:after="0"/>
              <w:rPr>
                <w:sz w:val="20"/>
                <w:szCs w:val="20"/>
                <w:color w:val="auto"/>
              </w:rPr>
            </w:pPr>
            <w:r>
              <w:rPr>
                <w:rFonts w:ascii="Arial" w:cs="Arial" w:eastAsia="Arial" w:hAnsi="Arial"/>
                <w:sz w:val="13"/>
                <w:szCs w:val="13"/>
                <w:color w:val="auto"/>
              </w:rPr>
              <w:t>150 Post Street</w:t>
            </w:r>
          </w:p>
        </w:tc>
        <w:tc>
          <w:tcPr>
            <w:tcW w:w="480" w:type="dxa"/>
            <w:vAlign w:val="bottom"/>
          </w:tcPr>
          <w:p>
            <w:pPr>
              <w:spacing w:after="0"/>
              <w:rPr>
                <w:sz w:val="15"/>
                <w:szCs w:val="15"/>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San Francisco, CA</w:t>
            </w:r>
          </w:p>
        </w:tc>
        <w:tc>
          <w:tcPr>
            <w:tcW w:w="60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37,066</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105,000</w:t>
            </w:r>
          </w:p>
        </w:tc>
        <w:tc>
          <w:tcPr>
            <w:tcW w:w="500" w:type="dxa"/>
            <w:vAlign w:val="bottom"/>
          </w:tcPr>
          <w:p>
            <w:pPr>
              <w:jc w:val="right"/>
              <w:spacing w:after="0"/>
              <w:rPr>
                <w:sz w:val="20"/>
                <w:szCs w:val="20"/>
                <w:color w:val="auto"/>
              </w:rPr>
            </w:pPr>
            <w:r>
              <w:rPr>
                <w:rFonts w:ascii="Arial" w:cs="Arial" w:eastAsia="Arial" w:hAnsi="Arial"/>
                <w:sz w:val="13"/>
                <w:szCs w:val="13"/>
                <w:color w:val="auto"/>
              </w:rPr>
              <w:t>83%</w:t>
            </w:r>
          </w:p>
        </w:tc>
        <w:tc>
          <w:tcPr>
            <w:tcW w:w="580" w:type="dxa"/>
            <w:vAlign w:val="bottom"/>
          </w:tcPr>
          <w:p>
            <w:pPr>
              <w:jc w:val="right"/>
              <w:spacing w:after="0"/>
              <w:rPr>
                <w:sz w:val="20"/>
                <w:szCs w:val="20"/>
                <w:color w:val="auto"/>
              </w:rPr>
            </w:pPr>
            <w:r>
              <w:rPr>
                <w:rFonts w:ascii="Arial" w:cs="Arial" w:eastAsia="Arial" w:hAnsi="Arial"/>
                <w:sz w:val="13"/>
                <w:szCs w:val="13"/>
                <w:color w:val="auto"/>
              </w:rPr>
              <w:t>82%</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35.18</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0" w:type="dxa"/>
            <w:vAlign w:val="bottom"/>
          </w:tcPr>
          <w:p>
            <w:pPr>
              <w:ind w:left="40"/>
              <w:spacing w:after="0"/>
              <w:rPr>
                <w:sz w:val="20"/>
                <w:szCs w:val="20"/>
                <w:color w:val="auto"/>
              </w:rPr>
            </w:pPr>
            <w:r>
              <w:rPr>
                <w:rFonts w:ascii="Arial" w:cs="Arial" w:eastAsia="Arial" w:hAnsi="Arial"/>
                <w:sz w:val="13"/>
                <w:szCs w:val="13"/>
                <w:color w:val="auto"/>
              </w:rPr>
              <w:t>H&amp;M</w:t>
            </w:r>
          </w:p>
        </w:tc>
      </w:tr>
      <w:tr>
        <w:trPr>
          <w:trHeight w:val="97"/>
        </w:trPr>
        <w:tc>
          <w:tcPr>
            <w:tcW w:w="4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1420" w:type="dxa"/>
            <w:vAlign w:val="bottom"/>
            <w:tcBorders>
              <w:bottom w:val="single" w:sz="8" w:color="CCEEFF"/>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260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California</w:t>
            </w:r>
          </w:p>
        </w:tc>
        <w:tc>
          <w:tcPr>
            <w:tcW w:w="6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3"/>
              </w:rPr>
              <w:t>1,768,901</w:t>
            </w:r>
          </w:p>
        </w:tc>
        <w:tc>
          <w:tcPr>
            <w:tcW w:w="66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6"/>
              </w:rPr>
              <w:t>3,854,000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31.98</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4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r>
      <w:tr>
        <w:trPr>
          <w:trHeight w:val="122"/>
        </w:trPr>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0" w:type="dxa"/>
            <w:vAlign w:val="bottom"/>
          </w:tcPr>
          <w:p>
            <w:pPr>
              <w:spacing w:after="0"/>
              <w:rPr>
                <w:sz w:val="10"/>
                <w:szCs w:val="10"/>
                <w:color w:val="auto"/>
              </w:rPr>
            </w:pPr>
          </w:p>
        </w:tc>
      </w:tr>
      <w:tr>
        <w:trPr>
          <w:trHeight w:val="149"/>
        </w:trPr>
        <w:tc>
          <w:tcPr>
            <w:tcW w:w="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92"/>
              </w:rPr>
              <w:t>NY Metro/New Jersey</w:t>
            </w:r>
          </w:p>
        </w:tc>
        <w:tc>
          <w:tcPr>
            <w:tcW w:w="4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4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2600" w:type="dxa"/>
            <w:vAlign w:val="bottom"/>
            <w:tcBorders>
              <w:top w:val="single" w:sz="8" w:color="CCEEFF"/>
            </w:tcBorders>
            <w:shd w:val="clear" w:color="auto" w:fill="CCEEFF"/>
          </w:tcPr>
          <w:p>
            <w:pPr>
              <w:spacing w:after="0"/>
              <w:rPr>
                <w:sz w:val="8"/>
                <w:szCs w:val="8"/>
                <w:color w:val="auto"/>
              </w:rPr>
            </w:pPr>
          </w:p>
        </w:tc>
      </w:tr>
      <w:tr>
        <w:trPr>
          <w:trHeight w:val="173"/>
        </w:trPr>
        <w:tc>
          <w:tcPr>
            <w:tcW w:w="1340" w:type="dxa"/>
            <w:vAlign w:val="bottom"/>
            <w:gridSpan w:val="4"/>
          </w:tcPr>
          <w:p>
            <w:pPr>
              <w:ind w:left="40"/>
              <w:spacing w:after="0"/>
              <w:rPr>
                <w:sz w:val="20"/>
                <w:szCs w:val="20"/>
                <w:color w:val="auto"/>
              </w:rPr>
            </w:pPr>
            <w:r>
              <w:rPr>
                <w:rFonts w:ascii="Arial" w:cs="Arial" w:eastAsia="Arial" w:hAnsi="Arial"/>
                <w:sz w:val="13"/>
                <w:szCs w:val="13"/>
                <w:color w:val="auto"/>
              </w:rPr>
              <w:t>Brick Plaza</w:t>
            </w:r>
          </w:p>
        </w:tc>
        <w:tc>
          <w:tcPr>
            <w:tcW w:w="480" w:type="dxa"/>
            <w:vAlign w:val="bottom"/>
          </w:tcPr>
          <w:p>
            <w:pPr>
              <w:spacing w:after="0"/>
              <w:rPr>
                <w:sz w:val="15"/>
                <w:szCs w:val="15"/>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Monmouth-Ocean, NJ</w:t>
            </w:r>
          </w:p>
        </w:tc>
        <w:tc>
          <w:tcPr>
            <w:tcW w:w="60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61,360</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422,000</w:t>
            </w:r>
          </w:p>
        </w:tc>
        <w:tc>
          <w:tcPr>
            <w:tcW w:w="500" w:type="dxa"/>
            <w:vAlign w:val="bottom"/>
          </w:tcPr>
          <w:p>
            <w:pPr>
              <w:jc w:val="right"/>
              <w:spacing w:after="0"/>
              <w:rPr>
                <w:sz w:val="20"/>
                <w:szCs w:val="20"/>
                <w:color w:val="auto"/>
              </w:rPr>
            </w:pPr>
            <w:r>
              <w:rPr>
                <w:rFonts w:ascii="Arial" w:cs="Arial" w:eastAsia="Arial" w:hAnsi="Arial"/>
                <w:sz w:val="13"/>
                <w:szCs w:val="13"/>
                <w:color w:val="auto"/>
              </w:rPr>
              <w:t>74%</w:t>
            </w:r>
          </w:p>
        </w:tc>
        <w:tc>
          <w:tcPr>
            <w:tcW w:w="580" w:type="dxa"/>
            <w:vAlign w:val="bottom"/>
          </w:tcPr>
          <w:p>
            <w:pPr>
              <w:jc w:val="right"/>
              <w:spacing w:after="0"/>
              <w:rPr>
                <w:sz w:val="20"/>
                <w:szCs w:val="20"/>
                <w:color w:val="auto"/>
              </w:rPr>
            </w:pPr>
            <w:r>
              <w:rPr>
                <w:rFonts w:ascii="Arial" w:cs="Arial" w:eastAsia="Arial" w:hAnsi="Arial"/>
                <w:sz w:val="13"/>
                <w:szCs w:val="13"/>
                <w:color w:val="auto"/>
              </w:rPr>
              <w:t>74%</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19.56</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0" w:type="dxa"/>
            <w:vAlign w:val="bottom"/>
          </w:tcPr>
          <w:p>
            <w:pPr>
              <w:ind w:left="40"/>
              <w:spacing w:after="0"/>
              <w:rPr>
                <w:sz w:val="20"/>
                <w:szCs w:val="20"/>
                <w:color w:val="auto"/>
              </w:rPr>
            </w:pPr>
            <w:r>
              <w:rPr>
                <w:rFonts w:ascii="Arial" w:cs="Arial" w:eastAsia="Arial" w:hAnsi="Arial"/>
                <w:sz w:val="13"/>
                <w:szCs w:val="13"/>
                <w:color w:val="auto"/>
                <w:w w:val="92"/>
              </w:rPr>
              <w:t>AMC Loews / Barnes &amp; Noble / Sports Authority</w:t>
            </w:r>
          </w:p>
        </w:tc>
      </w:tr>
      <w:tr>
        <w:trPr>
          <w:trHeight w:val="97"/>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0" w:type="dxa"/>
            <w:vAlign w:val="bottom"/>
          </w:tcPr>
          <w:p>
            <w:pPr>
              <w:spacing w:after="0"/>
              <w:rPr>
                <w:sz w:val="8"/>
                <w:szCs w:val="8"/>
                <w:color w:val="auto"/>
              </w:rPr>
            </w:pPr>
          </w:p>
        </w:tc>
      </w:tr>
      <w:tr>
        <w:trPr>
          <w:trHeight w:val="148"/>
        </w:trPr>
        <w:tc>
          <w:tcPr>
            <w:tcW w:w="134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Brook 35</w:t>
            </w:r>
          </w:p>
        </w:tc>
        <w:tc>
          <w:tcPr>
            <w:tcW w:w="48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5"/>
              </w:rPr>
              <w:t>(4) (6)</w:t>
            </w:r>
          </w:p>
        </w:tc>
        <w:tc>
          <w:tcPr>
            <w:tcW w:w="1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99"/>
              </w:rPr>
              <w:t>New York-Northern New</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46,817</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11,500</w:t>
            </w: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98,000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34.79</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Ann Taylor / Banana Republic / Coach /</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Jersey-Long Island, NY-</w:t>
            </w: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Williams-Sonoma</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NJ-PA</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Darien</w:t>
            </w:r>
          </w:p>
        </w:tc>
        <w:tc>
          <w:tcPr>
            <w:tcW w:w="480" w:type="dxa"/>
            <w:vAlign w:val="bottom"/>
          </w:tcPr>
          <w:p>
            <w:pPr>
              <w:spacing w:after="0"/>
              <w:rPr>
                <w:sz w:val="12"/>
                <w:szCs w:val="12"/>
                <w:color w:val="auto"/>
              </w:rPr>
            </w:pPr>
          </w:p>
        </w:tc>
        <w:tc>
          <w:tcPr>
            <w:tcW w:w="1420" w:type="dxa"/>
            <w:vAlign w:val="bottom"/>
          </w:tcPr>
          <w:p>
            <w:pPr>
              <w:spacing w:after="0" w:line="148" w:lineRule="exact"/>
              <w:rPr>
                <w:sz w:val="20"/>
                <w:szCs w:val="20"/>
                <w:color w:val="auto"/>
              </w:rPr>
            </w:pPr>
            <w:r>
              <w:rPr>
                <w:rFonts w:ascii="Arial" w:cs="Arial" w:eastAsia="Arial" w:hAnsi="Arial"/>
                <w:sz w:val="13"/>
                <w:szCs w:val="13"/>
                <w:color w:val="auto"/>
              </w:rPr>
              <w:t>New Haven-Bridgeport-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2013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48,391</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28.30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600" w:type="dxa"/>
            <w:vAlign w:val="bottom"/>
          </w:tcPr>
          <w:p>
            <w:pPr>
              <w:ind w:left="40"/>
              <w:spacing w:after="0" w:line="148" w:lineRule="exact"/>
              <w:rPr>
                <w:sz w:val="20"/>
                <w:szCs w:val="20"/>
                <w:color w:val="auto"/>
              </w:rPr>
            </w:pPr>
            <w:r>
              <w:rPr>
                <w:rFonts w:ascii="Arial" w:cs="Arial" w:eastAsia="Arial" w:hAnsi="Arial"/>
                <w:sz w:val="13"/>
                <w:szCs w:val="13"/>
                <w:color w:val="auto"/>
              </w:rPr>
              <w:t>Equinox</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Stamford-Waterbury</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81"/>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New York, NY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80,926</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404,000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30.60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2"/>
              </w:rPr>
              <w:t>Island of Gold</w:t>
            </w: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AMC Loews / Kohl's / Michaels / Modell's</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600" w:type="dxa"/>
            <w:vAlign w:val="bottom"/>
            <w:shd w:val="clear" w:color="auto" w:fill="CCEEFF"/>
          </w:tcPr>
          <w:p>
            <w:pPr>
              <w:spacing w:after="0"/>
              <w:rPr>
                <w:sz w:val="8"/>
                <w:szCs w:val="8"/>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480" w:type="dxa"/>
            <w:vAlign w:val="bottom"/>
          </w:tcPr>
          <w:p>
            <w:pPr>
              <w:spacing w:after="0"/>
              <w:rPr>
                <w:sz w:val="12"/>
                <w:szCs w:val="12"/>
                <w:color w:val="auto"/>
              </w:rPr>
            </w:pPr>
          </w:p>
        </w:tc>
        <w:tc>
          <w:tcPr>
            <w:tcW w:w="1420" w:type="dxa"/>
            <w:vAlign w:val="bottom"/>
          </w:tcPr>
          <w:p>
            <w:pPr>
              <w:spacing w:after="0" w:line="148" w:lineRule="exact"/>
              <w:rPr>
                <w:sz w:val="20"/>
                <w:szCs w:val="20"/>
                <w:color w:val="auto"/>
              </w:rPr>
            </w:pPr>
            <w:r>
              <w:rPr>
                <w:rFonts w:ascii="Arial" w:cs="Arial" w:eastAsia="Arial" w:hAnsi="Arial"/>
                <w:sz w:val="13"/>
                <w:szCs w:val="13"/>
                <w:color w:val="auto"/>
              </w:rPr>
              <w:t>New Haven-Bridgeport-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14,097</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61.00</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ind w:left="4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Stamford-Waterbury</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81"/>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Nassau-Suffolk, NY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28,646</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28.10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A.C. Moore</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600" w:type="dxa"/>
            <w:vAlign w:val="bottom"/>
            <w:shd w:val="clear" w:color="auto" w:fill="CCEEFF"/>
          </w:tcPr>
          <w:p>
            <w:pPr>
              <w:spacing w:after="0"/>
              <w:rPr>
                <w:sz w:val="8"/>
                <w:szCs w:val="8"/>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Huntington</w:t>
            </w:r>
          </w:p>
        </w:tc>
        <w:tc>
          <w:tcPr>
            <w:tcW w:w="480" w:type="dxa"/>
            <w:vAlign w:val="bottom"/>
          </w:tcPr>
          <w:p>
            <w:pPr>
              <w:spacing w:after="0"/>
              <w:rPr>
                <w:sz w:val="12"/>
                <w:szCs w:val="12"/>
                <w:color w:val="auto"/>
              </w:rPr>
            </w:pPr>
          </w:p>
        </w:tc>
        <w:tc>
          <w:tcPr>
            <w:tcW w:w="1420" w:type="dxa"/>
            <w:vAlign w:val="bottom"/>
          </w:tcPr>
          <w:p>
            <w:pPr>
              <w:spacing w:after="0" w:line="148" w:lineRule="exact"/>
              <w:rPr>
                <w:sz w:val="20"/>
                <w:szCs w:val="20"/>
                <w:color w:val="auto"/>
              </w:rPr>
            </w:pPr>
            <w:r>
              <w:rPr>
                <w:rFonts w:ascii="Arial" w:cs="Arial" w:eastAsia="Arial" w:hAnsi="Arial"/>
                <w:sz w:val="13"/>
                <w:szCs w:val="13"/>
                <w:color w:val="auto"/>
              </w:rPr>
              <w:t>Nassau-Suffolk, NY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w w:val="91"/>
              </w:rPr>
              <w:t>1988/2007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43,856</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25.92</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ind w:left="40"/>
              <w:spacing w:after="0" w:line="148" w:lineRule="exact"/>
              <w:rPr>
                <w:sz w:val="20"/>
                <w:szCs w:val="20"/>
                <w:color w:val="auto"/>
              </w:rPr>
            </w:pPr>
            <w:r>
              <w:rPr>
                <w:rFonts w:ascii="Arial" w:cs="Arial" w:eastAsia="Arial" w:hAnsi="Arial"/>
                <w:sz w:val="13"/>
                <w:szCs w:val="13"/>
                <w:color w:val="auto"/>
                <w:w w:val="91"/>
              </w:rPr>
              <w:t>Buy Buy Baby / Bed, Bath &amp; Beyond / Michaels /</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ind w:left="40"/>
              <w:spacing w:after="0"/>
              <w:rPr>
                <w:sz w:val="20"/>
                <w:szCs w:val="20"/>
                <w:color w:val="auto"/>
              </w:rPr>
            </w:pPr>
            <w:r>
              <w:rPr>
                <w:rFonts w:ascii="Arial" w:cs="Arial" w:eastAsia="Arial" w:hAnsi="Arial"/>
                <w:sz w:val="13"/>
                <w:szCs w:val="13"/>
                <w:color w:val="auto"/>
              </w:rPr>
              <w:t>Nordstrom Rack</w:t>
            </w:r>
          </w:p>
        </w:tc>
      </w:tr>
      <w:tr>
        <w:trPr>
          <w:trHeight w:val="181"/>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Nassau-Suffolk, NY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12,720</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26.90</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600" w:type="dxa"/>
            <w:vAlign w:val="bottom"/>
            <w:shd w:val="clear" w:color="auto" w:fill="CCEEFF"/>
          </w:tcPr>
          <w:p>
            <w:pPr>
              <w:spacing w:after="0"/>
              <w:rPr>
                <w:sz w:val="8"/>
                <w:szCs w:val="8"/>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Melville Mall</w:t>
            </w:r>
          </w:p>
        </w:tc>
        <w:tc>
          <w:tcPr>
            <w:tcW w:w="480" w:type="dxa"/>
            <w:vAlign w:val="bottom"/>
          </w:tcPr>
          <w:p>
            <w:pPr>
              <w:spacing w:after="0"/>
              <w:rPr>
                <w:sz w:val="12"/>
                <w:szCs w:val="12"/>
                <w:color w:val="auto"/>
              </w:rPr>
            </w:pPr>
          </w:p>
        </w:tc>
        <w:tc>
          <w:tcPr>
            <w:tcW w:w="1420" w:type="dxa"/>
            <w:vAlign w:val="bottom"/>
          </w:tcPr>
          <w:p>
            <w:pPr>
              <w:spacing w:after="0" w:line="148" w:lineRule="exact"/>
              <w:rPr>
                <w:sz w:val="20"/>
                <w:szCs w:val="20"/>
                <w:color w:val="auto"/>
              </w:rPr>
            </w:pPr>
            <w:r>
              <w:rPr>
                <w:rFonts w:ascii="Arial" w:cs="Arial" w:eastAsia="Arial" w:hAnsi="Arial"/>
                <w:sz w:val="13"/>
                <w:szCs w:val="13"/>
                <w:color w:val="auto"/>
              </w:rPr>
              <w:t>Nassau-Suffolk, NY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73,987</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73%</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54%</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24.01</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ind w:left="40"/>
              <w:spacing w:after="0" w:line="148" w:lineRule="exact"/>
              <w:rPr>
                <w:sz w:val="20"/>
                <w:szCs w:val="20"/>
                <w:color w:val="auto"/>
              </w:rPr>
            </w:pPr>
            <w:r>
              <w:rPr>
                <w:rFonts w:ascii="Arial" w:cs="Arial" w:eastAsia="Arial" w:hAnsi="Arial"/>
                <w:sz w:val="13"/>
                <w:szCs w:val="13"/>
                <w:color w:val="auto"/>
              </w:rPr>
              <w:t>Dick’s Sporting Goods / Marshalls / Macy's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ind w:left="40"/>
              <w:spacing w:after="0"/>
              <w:rPr>
                <w:sz w:val="20"/>
                <w:szCs w:val="20"/>
                <w:color w:val="auto"/>
              </w:rPr>
            </w:pPr>
            <w:r>
              <w:rPr>
                <w:rFonts w:ascii="Arial" w:cs="Arial" w:eastAsia="Arial" w:hAnsi="Arial"/>
                <w:sz w:val="13"/>
                <w:szCs w:val="13"/>
                <w:color w:val="auto"/>
              </w:rPr>
              <w:t>Backstage</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Mercer Mall</w:t>
            </w:r>
          </w:p>
        </w:tc>
        <w:tc>
          <w:tcPr>
            <w:tcW w:w="4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(7)</w:t>
            </w: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Trenton, NJ</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119,107</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55,682</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527,000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23.60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Bed, Bath &amp; Beyond / DSW / TJ Maxx /</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Raymour &amp; Flanigan / Nordstrom Rack / REI</w:t>
            </w: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The Grove at</w:t>
            </w: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auto"/>
                <w:w w:val="95"/>
              </w:rPr>
              <w:t>(4) (6)</w:t>
            </w:r>
          </w:p>
        </w:tc>
        <w:tc>
          <w:tcPr>
            <w:tcW w:w="1420" w:type="dxa"/>
            <w:vAlign w:val="bottom"/>
          </w:tcPr>
          <w:p>
            <w:pPr>
              <w:spacing w:after="0" w:line="148" w:lineRule="exact"/>
              <w:rPr>
                <w:sz w:val="20"/>
                <w:szCs w:val="20"/>
                <w:color w:val="auto"/>
              </w:rPr>
            </w:pPr>
            <w:r>
              <w:rPr>
                <w:rFonts w:ascii="Arial" w:cs="Arial" w:eastAsia="Arial" w:hAnsi="Arial"/>
                <w:sz w:val="13"/>
                <w:szCs w:val="13"/>
                <w:color w:val="auto"/>
                <w:w w:val="99"/>
              </w:rPr>
              <w:t>New York-Northern New</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122,126</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54,581</w:t>
            </w: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192,000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43.51</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ind w:left="40"/>
              <w:spacing w:after="0" w:line="148" w:lineRule="exact"/>
              <w:rPr>
                <w:sz w:val="20"/>
                <w:szCs w:val="20"/>
                <w:color w:val="auto"/>
              </w:rPr>
            </w:pPr>
            <w:r>
              <w:rPr>
                <w:rFonts w:ascii="Arial" w:cs="Arial" w:eastAsia="Arial" w:hAnsi="Arial"/>
                <w:sz w:val="13"/>
                <w:szCs w:val="13"/>
                <w:color w:val="auto"/>
                <w:w w:val="96"/>
              </w:rPr>
              <w:t>Lululemon / Brooks Brothers / Anthropologie /</w:t>
            </w:r>
          </w:p>
        </w:tc>
      </w:tr>
      <w:tr>
        <w:trPr>
          <w:trHeight w:val="135"/>
        </w:trPr>
        <w:tc>
          <w:tcPr>
            <w:tcW w:w="134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Shrewsbury</w:t>
            </w:r>
          </w:p>
        </w:tc>
        <w:tc>
          <w:tcPr>
            <w:tcW w:w="480" w:type="dxa"/>
            <w:vAlign w:val="bottom"/>
          </w:tcPr>
          <w:p>
            <w:pPr>
              <w:spacing w:after="0"/>
              <w:rPr>
                <w:sz w:val="11"/>
                <w:szCs w:val="11"/>
                <w:color w:val="auto"/>
              </w:rPr>
            </w:pPr>
          </w:p>
        </w:tc>
        <w:tc>
          <w:tcPr>
            <w:tcW w:w="1420" w:type="dxa"/>
            <w:vAlign w:val="bottom"/>
          </w:tcPr>
          <w:p>
            <w:pPr>
              <w:spacing w:after="0" w:line="135" w:lineRule="exact"/>
              <w:rPr>
                <w:sz w:val="20"/>
                <w:szCs w:val="20"/>
                <w:color w:val="auto"/>
              </w:rPr>
            </w:pPr>
            <w:r>
              <w:rPr>
                <w:rFonts w:ascii="Arial" w:cs="Arial" w:eastAsia="Arial" w:hAnsi="Arial"/>
                <w:sz w:val="13"/>
                <w:szCs w:val="13"/>
                <w:color w:val="auto"/>
              </w:rPr>
              <w:t>Jersey-Long Island, NY-</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ind w:left="40"/>
              <w:spacing w:after="0" w:line="135" w:lineRule="exact"/>
              <w:rPr>
                <w:sz w:val="20"/>
                <w:szCs w:val="20"/>
                <w:color w:val="auto"/>
              </w:rPr>
            </w:pPr>
            <w:r>
              <w:rPr>
                <w:rFonts w:ascii="Arial" w:cs="Arial" w:eastAsia="Arial" w:hAnsi="Arial"/>
                <w:sz w:val="13"/>
                <w:szCs w:val="13"/>
                <w:color w:val="auto"/>
              </w:rPr>
              <w:t>Pottery Barn / J. Crew / Banana Republic /</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NJ-PA</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ind w:left="40"/>
              <w:spacing w:after="0"/>
              <w:rPr>
                <w:sz w:val="20"/>
                <w:szCs w:val="20"/>
                <w:color w:val="auto"/>
              </w:rPr>
            </w:pPr>
            <w:r>
              <w:rPr>
                <w:rFonts w:ascii="Arial" w:cs="Arial" w:eastAsia="Arial" w:hAnsi="Arial"/>
                <w:sz w:val="13"/>
                <w:szCs w:val="13"/>
                <w:color w:val="auto"/>
              </w:rPr>
              <w:t>Williams-Sonoma</w:t>
            </w:r>
          </w:p>
        </w:tc>
      </w:tr>
      <w:tr>
        <w:trPr>
          <w:trHeight w:val="181"/>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Troy</w:t>
            </w: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Newark, NJ</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34,600</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27.92</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2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6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Total NY Metro/New Jersey</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686,633</w:t>
            </w:r>
          </w:p>
        </w:tc>
        <w:tc>
          <w:tcPr>
            <w:tcW w:w="660" w:type="dxa"/>
            <w:vAlign w:val="bottom"/>
          </w:tcPr>
          <w:p>
            <w:pPr>
              <w:spacing w:after="0"/>
              <w:rPr>
                <w:sz w:val="14"/>
                <w:szCs w:val="14"/>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w w:val="96"/>
              </w:rPr>
              <w:t>2,719,000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580" w:type="dxa"/>
            <w:vAlign w:val="bottom"/>
          </w:tcPr>
          <w:p>
            <w:pPr>
              <w:jc w:val="right"/>
              <w:spacing w:after="0"/>
              <w:rPr>
                <w:sz w:val="20"/>
                <w:szCs w:val="20"/>
                <w:color w:val="auto"/>
              </w:rPr>
            </w:pPr>
            <w:r>
              <w:rPr>
                <w:rFonts w:ascii="Arial" w:cs="Arial" w:eastAsia="Arial" w:hAnsi="Arial"/>
                <w:sz w:val="13"/>
                <w:szCs w:val="13"/>
                <w:color w:val="auto"/>
              </w:rPr>
              <w:t>88%</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27.89</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gridSpan w:val="2"/>
          </w:tcPr>
          <w:p>
            <w:pPr>
              <w:spacing w:after="0"/>
              <w:rPr>
                <w:sz w:val="7"/>
                <w:szCs w:val="7"/>
                <w:color w:val="auto"/>
              </w:rPr>
            </w:pPr>
          </w:p>
        </w:tc>
        <w:tc>
          <w:tcPr>
            <w:tcW w:w="1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600" w:type="dxa"/>
            <w:vAlign w:val="bottom"/>
          </w:tcPr>
          <w:p>
            <w:pPr>
              <w:spacing w:after="0"/>
              <w:rPr>
                <w:sz w:val="7"/>
                <w:szCs w:val="7"/>
                <w:color w:val="auto"/>
              </w:rPr>
            </w:pPr>
          </w:p>
        </w:tc>
      </w:tr>
      <w:tr>
        <w:trPr>
          <w:trHeight w:val="122"/>
        </w:trPr>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600" w:type="dxa"/>
            <w:vAlign w:val="bottom"/>
            <w:shd w:val="clear" w:color="auto" w:fill="CCEEFF"/>
          </w:tcPr>
          <w:p>
            <w:pPr>
              <w:spacing w:after="0"/>
              <w:rPr>
                <w:sz w:val="10"/>
                <w:szCs w:val="10"/>
                <w:color w:val="auto"/>
              </w:rPr>
            </w:pPr>
          </w:p>
        </w:tc>
      </w:tr>
      <w:tr>
        <w:trPr>
          <w:trHeight w:val="149"/>
        </w:trPr>
        <w:tc>
          <w:tcPr>
            <w:tcW w:w="40" w:type="dxa"/>
            <w:vAlign w:val="bottom"/>
          </w:tcPr>
          <w:p>
            <w:pPr>
              <w:spacing w:after="0"/>
              <w:rPr>
                <w:sz w:val="12"/>
                <w:szCs w:val="12"/>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3"/>
                <w:szCs w:val="13"/>
                <w:b w:val="1"/>
                <w:bCs w:val="1"/>
                <w:color w:val="auto"/>
                <w:w w:val="89"/>
              </w:rPr>
              <w:t>Philadelphia Metropolitan Area</w:t>
            </w:r>
          </w:p>
        </w:tc>
        <w:tc>
          <w:tcPr>
            <w:tcW w:w="1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0" w:type="dxa"/>
            <w:vAlign w:val="bottom"/>
          </w:tcPr>
          <w:p>
            <w:pPr>
              <w:spacing w:after="0"/>
              <w:rPr>
                <w:sz w:val="8"/>
                <w:szCs w:val="8"/>
                <w:color w:val="auto"/>
              </w:rPr>
            </w:pPr>
          </w:p>
        </w:tc>
      </w:tr>
      <w:tr>
        <w:trPr>
          <w:trHeight w:val="148"/>
        </w:trPr>
        <w:tc>
          <w:tcPr>
            <w:tcW w:w="134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Andorra</w:t>
            </w:r>
          </w:p>
        </w:tc>
        <w:tc>
          <w:tcPr>
            <w:tcW w:w="4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Philadelphia, PA-NJ</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1988</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25,745</w:t>
            </w: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95%</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15.65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24,000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Acme</w:t>
            </w:r>
          </w:p>
        </w:tc>
        <w:tc>
          <w:tcPr>
            <w:tcW w:w="26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Kohl's / Staples / L.A. Fitness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260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Bala Cynwyd</w:t>
            </w:r>
          </w:p>
        </w:tc>
        <w:tc>
          <w:tcPr>
            <w:tcW w:w="480" w:type="dxa"/>
            <w:vAlign w:val="bottom"/>
          </w:tcPr>
          <w:p>
            <w:pPr>
              <w:spacing w:after="0"/>
              <w:rPr>
                <w:sz w:val="12"/>
                <w:szCs w:val="12"/>
                <w:color w:val="auto"/>
              </w:rPr>
            </w:pPr>
          </w:p>
        </w:tc>
        <w:tc>
          <w:tcPr>
            <w:tcW w:w="1420" w:type="dxa"/>
            <w:vAlign w:val="bottom"/>
          </w:tcPr>
          <w:p>
            <w:pPr>
              <w:spacing w:after="0" w:line="148" w:lineRule="exact"/>
              <w:rPr>
                <w:sz w:val="20"/>
                <w:szCs w:val="20"/>
                <w:color w:val="auto"/>
              </w:rPr>
            </w:pPr>
            <w:r>
              <w:rPr>
                <w:rFonts w:ascii="Arial" w:cs="Arial" w:eastAsia="Arial" w:hAnsi="Arial"/>
                <w:sz w:val="13"/>
                <w:szCs w:val="13"/>
                <w:color w:val="auto"/>
              </w:rPr>
              <w:t>Philadelphia, PA-NJ</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41,108</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23.77</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600" w:type="dxa"/>
            <w:vAlign w:val="bottom"/>
          </w:tcPr>
          <w:p>
            <w:pPr>
              <w:ind w:left="40"/>
              <w:spacing w:after="0" w:line="148" w:lineRule="exact"/>
              <w:rPr>
                <w:sz w:val="20"/>
                <w:szCs w:val="20"/>
                <w:color w:val="auto"/>
              </w:rPr>
            </w:pPr>
            <w:r>
              <w:rPr>
                <w:rFonts w:ascii="Arial" w:cs="Arial" w:eastAsia="Arial" w:hAnsi="Arial"/>
                <w:sz w:val="13"/>
                <w:szCs w:val="13"/>
                <w:color w:val="auto"/>
              </w:rPr>
              <w:t>Lord &amp; Taylor / L.A. Fitness / Michaels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Markets</w:t>
            </w:r>
          </w:p>
        </w:tc>
        <w:tc>
          <w:tcPr>
            <w:tcW w:w="2600" w:type="dxa"/>
            <w:vAlign w:val="bottom"/>
          </w:tcPr>
          <w:p>
            <w:pPr>
              <w:spacing w:after="0"/>
              <w:rPr>
                <w:sz w:val="14"/>
                <w:szCs w:val="14"/>
                <w:color w:val="auto"/>
              </w:rPr>
            </w:pPr>
          </w:p>
        </w:tc>
      </w:tr>
      <w:tr>
        <w:trPr>
          <w:trHeight w:val="181"/>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Ellisburg</w:t>
            </w: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34,927</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15.94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47,000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Whole Foods</w:t>
            </w: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600" w:type="dxa"/>
            <w:vAlign w:val="bottom"/>
            <w:shd w:val="clear" w:color="auto" w:fill="CCEEFF"/>
          </w:tcPr>
          <w:p>
            <w:pPr>
              <w:spacing w:after="0"/>
              <w:rPr>
                <w:sz w:val="8"/>
                <w:szCs w:val="8"/>
                <w:color w:val="auto"/>
              </w:rPr>
            </w:pPr>
          </w:p>
        </w:tc>
      </w:tr>
      <w:tr>
        <w:trPr>
          <w:trHeight w:val="173"/>
        </w:trPr>
        <w:tc>
          <w:tcPr>
            <w:tcW w:w="1340" w:type="dxa"/>
            <w:vAlign w:val="bottom"/>
            <w:gridSpan w:val="4"/>
          </w:tcPr>
          <w:p>
            <w:pPr>
              <w:ind w:left="40"/>
              <w:spacing w:after="0"/>
              <w:rPr>
                <w:sz w:val="20"/>
                <w:szCs w:val="20"/>
                <w:color w:val="auto"/>
              </w:rPr>
            </w:pPr>
            <w:r>
              <w:rPr>
                <w:rFonts w:ascii="Arial" w:cs="Arial" w:eastAsia="Arial" w:hAnsi="Arial"/>
                <w:sz w:val="13"/>
                <w:szCs w:val="13"/>
                <w:color w:val="auto"/>
              </w:rPr>
              <w:t>Flourtown</w:t>
            </w:r>
          </w:p>
        </w:tc>
        <w:tc>
          <w:tcPr>
            <w:tcW w:w="480" w:type="dxa"/>
            <w:vAlign w:val="bottom"/>
          </w:tcPr>
          <w:p>
            <w:pPr>
              <w:spacing w:after="0"/>
              <w:rPr>
                <w:sz w:val="15"/>
                <w:szCs w:val="15"/>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Philadelphia, PA-NJ</w:t>
            </w:r>
          </w:p>
        </w:tc>
        <w:tc>
          <w:tcPr>
            <w:tcW w:w="600" w:type="dxa"/>
            <w:vAlign w:val="bottom"/>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16,641</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156,000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jc w:val="right"/>
              <w:spacing w:after="0"/>
              <w:rPr>
                <w:sz w:val="20"/>
                <w:szCs w:val="20"/>
                <w:color w:val="auto"/>
              </w:rPr>
            </w:pPr>
            <w:r>
              <w:rPr>
                <w:rFonts w:ascii="Arial" w:cs="Arial" w:eastAsia="Arial" w:hAnsi="Arial"/>
                <w:sz w:val="13"/>
                <w:szCs w:val="13"/>
                <w:color w:val="auto"/>
              </w:rPr>
              <w:t>97%</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20.81</w:t>
            </w:r>
          </w:p>
        </w:tc>
        <w:tc>
          <w:tcPr>
            <w:tcW w:w="600" w:type="dxa"/>
            <w:vAlign w:val="bottom"/>
          </w:tcPr>
          <w:p>
            <w:pPr>
              <w:ind w:left="60"/>
              <w:spacing w:after="0"/>
              <w:rPr>
                <w:sz w:val="20"/>
                <w:szCs w:val="20"/>
                <w:color w:val="auto"/>
              </w:rPr>
            </w:pPr>
            <w:r>
              <w:rPr>
                <w:rFonts w:ascii="Arial" w:cs="Arial" w:eastAsia="Arial" w:hAnsi="Arial"/>
                <w:sz w:val="13"/>
                <w:szCs w:val="13"/>
                <w:color w:val="auto"/>
              </w:rPr>
              <w:t>75,000</w:t>
            </w:r>
          </w:p>
        </w:tc>
        <w:tc>
          <w:tcPr>
            <w:tcW w:w="84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600" w:type="dxa"/>
            <w:vAlign w:val="bottom"/>
          </w:tcPr>
          <w:p>
            <w:pPr>
              <w:ind w:left="40"/>
              <w:spacing w:after="0"/>
              <w:rPr>
                <w:sz w:val="20"/>
                <w:szCs w:val="20"/>
                <w:color w:val="auto"/>
              </w:rPr>
            </w:pPr>
            <w:r>
              <w:rPr>
                <w:rFonts w:ascii="Arial" w:cs="Arial" w:eastAsia="Arial" w:hAnsi="Arial"/>
                <w:sz w:val="13"/>
                <w:szCs w:val="13"/>
                <w:color w:val="auto"/>
              </w:rPr>
              <w:t>Movie Tavern</w:t>
            </w:r>
          </w:p>
        </w:tc>
      </w:tr>
      <w:tr>
        <w:trPr>
          <w:trHeight w:val="97"/>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600" w:type="dxa"/>
            <w:vAlign w:val="bottom"/>
          </w:tcPr>
          <w:p>
            <w:pPr>
              <w:spacing w:after="0"/>
              <w:rPr>
                <w:sz w:val="8"/>
                <w:szCs w:val="8"/>
                <w:color w:val="auto"/>
              </w:rPr>
            </w:pPr>
          </w:p>
        </w:tc>
      </w:tr>
      <w:tr>
        <w:trPr>
          <w:trHeight w:val="148"/>
        </w:trPr>
        <w:tc>
          <w:tcPr>
            <w:tcW w:w="134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4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Philadelphia, PA-NJ</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21,762</w:t>
            </w: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w:t>
            </w:r>
          </w:p>
        </w:tc>
        <w:tc>
          <w:tcPr>
            <w:tcW w:w="4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17.39</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55,000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Redner's</w:t>
            </w:r>
          </w:p>
        </w:tc>
        <w:tc>
          <w:tcPr>
            <w:tcW w:w="26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Warehouse</w:t>
            </w:r>
          </w:p>
        </w:tc>
        <w:tc>
          <w:tcPr>
            <w:tcW w:w="260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Mkts.</w:t>
            </w:r>
          </w:p>
        </w:tc>
        <w:tc>
          <w:tcPr>
            <w:tcW w:w="260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Lawrence Park</w:t>
            </w:r>
          </w:p>
        </w:tc>
        <w:tc>
          <w:tcPr>
            <w:tcW w:w="480" w:type="dxa"/>
            <w:vAlign w:val="bottom"/>
          </w:tcPr>
          <w:p>
            <w:pPr>
              <w:spacing w:after="0"/>
              <w:rPr>
                <w:sz w:val="12"/>
                <w:szCs w:val="12"/>
                <w:color w:val="auto"/>
              </w:rPr>
            </w:pPr>
          </w:p>
        </w:tc>
        <w:tc>
          <w:tcPr>
            <w:tcW w:w="1420" w:type="dxa"/>
            <w:vAlign w:val="bottom"/>
          </w:tcPr>
          <w:p>
            <w:pPr>
              <w:spacing w:after="0" w:line="148" w:lineRule="exact"/>
              <w:rPr>
                <w:sz w:val="20"/>
                <w:szCs w:val="20"/>
                <w:color w:val="auto"/>
              </w:rPr>
            </w:pPr>
            <w:r>
              <w:rPr>
                <w:rFonts w:ascii="Arial" w:cs="Arial" w:eastAsia="Arial" w:hAnsi="Arial"/>
                <w:sz w:val="13"/>
                <w:szCs w:val="13"/>
                <w:color w:val="auto"/>
              </w:rPr>
              <w:t>Philadelphia, PA-NJ</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1980</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32,254</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20.45</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53,000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2600" w:type="dxa"/>
            <w:vAlign w:val="bottom"/>
          </w:tcPr>
          <w:p>
            <w:pPr>
              <w:ind w:left="40"/>
              <w:spacing w:after="0" w:line="148" w:lineRule="exact"/>
              <w:rPr>
                <w:sz w:val="20"/>
                <w:szCs w:val="20"/>
                <w:color w:val="auto"/>
              </w:rPr>
            </w:pPr>
            <w:r>
              <w:rPr>
                <w:rFonts w:ascii="Arial" w:cs="Arial" w:eastAsia="Arial" w:hAnsi="Arial"/>
                <w:sz w:val="13"/>
                <w:szCs w:val="13"/>
                <w:color w:val="auto"/>
              </w:rPr>
              <w:t>Virginia College / TJ Maxx / HomeGoods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Markets</w:t>
            </w:r>
          </w:p>
        </w:tc>
        <w:tc>
          <w:tcPr>
            <w:tcW w:w="2600" w:type="dxa"/>
            <w:vAlign w:val="bottom"/>
          </w:tcPr>
          <w:p>
            <w:pPr>
              <w:spacing w:after="0"/>
              <w:rPr>
                <w:sz w:val="14"/>
                <w:szCs w:val="14"/>
                <w:color w:val="auto"/>
              </w:rPr>
            </w:pP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Northeast</w:t>
            </w:r>
          </w:p>
        </w:tc>
        <w:tc>
          <w:tcPr>
            <w:tcW w:w="4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25,299</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12.02</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Burlington Coat Factory / Home Gallery /</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Marshalls</w:t>
            </w: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Town Center of New</w:t>
            </w:r>
          </w:p>
        </w:tc>
        <w:tc>
          <w:tcPr>
            <w:tcW w:w="480" w:type="dxa"/>
            <w:vAlign w:val="bottom"/>
          </w:tcPr>
          <w:p>
            <w:pPr>
              <w:spacing w:after="0"/>
              <w:rPr>
                <w:sz w:val="12"/>
                <w:szCs w:val="12"/>
                <w:color w:val="auto"/>
              </w:rPr>
            </w:pPr>
          </w:p>
        </w:tc>
        <w:tc>
          <w:tcPr>
            <w:tcW w:w="1420" w:type="dxa"/>
            <w:vAlign w:val="bottom"/>
          </w:tcPr>
          <w:p>
            <w:pPr>
              <w:spacing w:after="0" w:line="148" w:lineRule="exact"/>
              <w:rPr>
                <w:sz w:val="20"/>
                <w:szCs w:val="20"/>
                <w:color w:val="auto"/>
              </w:rPr>
            </w:pPr>
            <w:r>
              <w:rPr>
                <w:rFonts w:ascii="Arial" w:cs="Arial" w:eastAsia="Arial" w:hAnsi="Arial"/>
                <w:sz w:val="13"/>
                <w:szCs w:val="13"/>
                <w:color w:val="auto"/>
              </w:rPr>
              <w:t>Philadelphia, PA-NJ</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14,957</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86%</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9.91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36,000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2600" w:type="dxa"/>
            <w:vAlign w:val="bottom"/>
          </w:tcPr>
          <w:p>
            <w:pPr>
              <w:ind w:left="40"/>
              <w:spacing w:after="0" w:line="148" w:lineRule="exact"/>
              <w:rPr>
                <w:sz w:val="20"/>
                <w:szCs w:val="20"/>
                <w:color w:val="auto"/>
              </w:rPr>
            </w:pPr>
            <w:r>
              <w:rPr>
                <w:rFonts w:ascii="Arial" w:cs="Arial" w:eastAsia="Arial" w:hAnsi="Arial"/>
                <w:sz w:val="13"/>
                <w:szCs w:val="13"/>
                <w:color w:val="auto"/>
              </w:rPr>
              <w:t>Rite Aid</w:t>
            </w:r>
          </w:p>
        </w:tc>
      </w:tr>
      <w:tr>
        <w:trPr>
          <w:trHeight w:val="168"/>
        </w:trPr>
        <w:tc>
          <w:tcPr>
            <w:tcW w:w="1340" w:type="dxa"/>
            <w:vAlign w:val="bottom"/>
            <w:gridSpan w:val="4"/>
          </w:tcPr>
          <w:p>
            <w:pPr>
              <w:ind w:left="40"/>
              <w:spacing w:after="0"/>
              <w:rPr>
                <w:sz w:val="20"/>
                <w:szCs w:val="20"/>
                <w:color w:val="auto"/>
              </w:rPr>
            </w:pPr>
            <w:r>
              <w:rPr>
                <w:rFonts w:ascii="Arial" w:cs="Arial" w:eastAsia="Arial" w:hAnsi="Arial"/>
                <w:sz w:val="13"/>
                <w:szCs w:val="13"/>
                <w:color w:val="auto"/>
              </w:rPr>
              <w:t>Britain</w:t>
            </w: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81"/>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Willow Grove</w:t>
            </w: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Philadelphia, PA-NJ</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29,999</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19.51</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600" w:type="dxa"/>
            <w:vAlign w:val="bottom"/>
            <w:shd w:val="clear" w:color="auto" w:fill="CCEEFF"/>
          </w:tcPr>
          <w:p>
            <w:pPr>
              <w:spacing w:after="0"/>
              <w:rPr>
                <w:sz w:val="8"/>
                <w:szCs w:val="8"/>
                <w:color w:val="auto"/>
              </w:rPr>
            </w:pPr>
          </w:p>
        </w:tc>
      </w:tr>
      <w:tr>
        <w:trPr>
          <w:trHeight w:val="173"/>
        </w:trPr>
        <w:tc>
          <w:tcPr>
            <w:tcW w:w="1340" w:type="dxa"/>
            <w:vAlign w:val="bottom"/>
            <w:gridSpan w:val="4"/>
          </w:tcPr>
          <w:p>
            <w:pPr>
              <w:ind w:left="40"/>
              <w:spacing w:after="0"/>
              <w:rPr>
                <w:sz w:val="20"/>
                <w:szCs w:val="20"/>
                <w:color w:val="auto"/>
              </w:rPr>
            </w:pPr>
            <w:r>
              <w:rPr>
                <w:rFonts w:ascii="Arial" w:cs="Arial" w:eastAsia="Arial" w:hAnsi="Arial"/>
                <w:sz w:val="13"/>
                <w:szCs w:val="13"/>
                <w:color w:val="auto"/>
              </w:rPr>
              <w:t>Wynnewood</w:t>
            </w:r>
          </w:p>
        </w:tc>
        <w:tc>
          <w:tcPr>
            <w:tcW w:w="480" w:type="dxa"/>
            <w:vAlign w:val="bottom"/>
          </w:tcPr>
          <w:p>
            <w:pPr>
              <w:spacing w:after="0"/>
              <w:rPr>
                <w:sz w:val="15"/>
                <w:szCs w:val="15"/>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Philadelphia, PA-NJ</w:t>
            </w:r>
          </w:p>
        </w:tc>
        <w:tc>
          <w:tcPr>
            <w:tcW w:w="600" w:type="dxa"/>
            <w:vAlign w:val="bottom"/>
          </w:tcPr>
          <w:p>
            <w:pPr>
              <w:jc w:val="right"/>
              <w:spacing w:after="0"/>
              <w:rPr>
                <w:sz w:val="20"/>
                <w:szCs w:val="20"/>
                <w:color w:val="auto"/>
              </w:rPr>
            </w:pPr>
            <w:r>
              <w:rPr>
                <w:rFonts w:ascii="Arial" w:cs="Arial" w:eastAsia="Arial" w:hAnsi="Arial"/>
                <w:sz w:val="13"/>
                <w:szCs w:val="13"/>
                <w:color w:val="auto"/>
              </w:rPr>
              <w:t>1996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41,726</w:t>
            </w:r>
          </w:p>
        </w:tc>
        <w:tc>
          <w:tcPr>
            <w:tcW w:w="66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jc w:val="right"/>
              <w:spacing w:after="0"/>
              <w:rPr>
                <w:sz w:val="20"/>
                <w:szCs w:val="20"/>
                <w:color w:val="auto"/>
              </w:rPr>
            </w:pPr>
            <w:r>
              <w:rPr>
                <w:rFonts w:ascii="Arial" w:cs="Arial" w:eastAsia="Arial" w:hAnsi="Arial"/>
                <w:sz w:val="13"/>
                <w:szCs w:val="13"/>
                <w:color w:val="auto"/>
              </w:rPr>
              <w:t>98%</w:t>
            </w: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27.24</w:t>
            </w:r>
          </w:p>
        </w:tc>
        <w:tc>
          <w:tcPr>
            <w:tcW w:w="600" w:type="dxa"/>
            <w:vAlign w:val="bottom"/>
          </w:tcPr>
          <w:p>
            <w:pPr>
              <w:ind w:left="60"/>
              <w:spacing w:after="0"/>
              <w:rPr>
                <w:sz w:val="20"/>
                <w:szCs w:val="20"/>
                <w:color w:val="auto"/>
              </w:rPr>
            </w:pPr>
            <w:r>
              <w:rPr>
                <w:rFonts w:ascii="Arial" w:cs="Arial" w:eastAsia="Arial" w:hAnsi="Arial"/>
                <w:sz w:val="13"/>
                <w:szCs w:val="13"/>
                <w:color w:val="auto"/>
              </w:rPr>
              <w:t>98,000</w:t>
            </w:r>
          </w:p>
        </w:tc>
        <w:tc>
          <w:tcPr>
            <w:tcW w:w="84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2600" w:type="dxa"/>
            <w:vAlign w:val="bottom"/>
          </w:tcPr>
          <w:p>
            <w:pPr>
              <w:ind w:left="4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40" w:type="dxa"/>
            <w:vAlign w:val="bottom"/>
            <w:tcBorders>
              <w:bottom w:val="single" w:sz="8" w:color="CCEEFF"/>
            </w:tcBorders>
          </w:tcPr>
          <w:p>
            <w:pPr>
              <w:spacing w:after="0"/>
              <w:rPr>
                <w:sz w:val="8"/>
                <w:szCs w:val="8"/>
                <w:color w:val="auto"/>
              </w:rPr>
            </w:pPr>
          </w:p>
        </w:tc>
        <w:tc>
          <w:tcPr>
            <w:tcW w:w="78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480" w:type="dxa"/>
            <w:vAlign w:val="bottom"/>
            <w:tcBorders>
              <w:bottom w:val="single" w:sz="8" w:color="CCEEFF"/>
            </w:tcBorders>
          </w:tcPr>
          <w:p>
            <w:pPr>
              <w:spacing w:after="0"/>
              <w:rPr>
                <w:sz w:val="8"/>
                <w:szCs w:val="8"/>
                <w:color w:val="auto"/>
              </w:rPr>
            </w:pPr>
          </w:p>
        </w:tc>
        <w:tc>
          <w:tcPr>
            <w:tcW w:w="2020" w:type="dxa"/>
            <w:vAlign w:val="bottom"/>
            <w:tcBorders>
              <w:bottom w:val="single" w:sz="8" w:color="CCEEFF"/>
            </w:tcBorders>
            <w:gridSpan w:val="2"/>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40" w:type="dxa"/>
            <w:vAlign w:val="bottom"/>
            <w:tcBorders>
              <w:bottom w:val="single" w:sz="8" w:color="CCEEFF"/>
            </w:tcBorders>
          </w:tcPr>
          <w:p>
            <w:pPr>
              <w:spacing w:after="0"/>
              <w:rPr>
                <w:sz w:val="8"/>
                <w:szCs w:val="8"/>
                <w:color w:val="auto"/>
              </w:rPr>
            </w:pPr>
          </w:p>
        </w:tc>
        <w:tc>
          <w:tcPr>
            <w:tcW w:w="2600" w:type="dxa"/>
            <w:vAlign w:val="bottom"/>
            <w:tcBorders>
              <w:bottom w:val="single" w:sz="8" w:color="CCEEFF"/>
            </w:tcBorders>
          </w:tcPr>
          <w:p>
            <w:pPr>
              <w:spacing w:after="0"/>
              <w:rPr>
                <w:sz w:val="8"/>
                <w:szCs w:val="8"/>
                <w:color w:val="auto"/>
              </w:rPr>
            </w:pPr>
          </w:p>
        </w:tc>
      </w:tr>
      <w:tr>
        <w:trPr>
          <w:trHeight w:val="129"/>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Philadelphia Metropolitan</w:t>
            </w:r>
          </w:p>
        </w:tc>
        <w:tc>
          <w:tcPr>
            <w:tcW w:w="660" w:type="dxa"/>
            <w:vAlign w:val="bottom"/>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284,418</w:t>
            </w: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96"/>
              </w:rPr>
              <w:t>2,440,000</w:t>
            </w:r>
          </w:p>
        </w:tc>
        <w:tc>
          <w:tcPr>
            <w:tcW w:w="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95%</w:t>
            </w:r>
          </w:p>
        </w:tc>
        <w:tc>
          <w:tcPr>
            <w:tcW w:w="480" w:type="dxa"/>
            <w:vAlign w:val="bottom"/>
            <w:shd w:val="clear" w:color="auto" w:fill="CCEEFF"/>
          </w:tcPr>
          <w:p>
            <w:pPr>
              <w:jc w:val="right"/>
              <w:ind w:right="57"/>
              <w:spacing w:after="0" w:line="129" w:lineRule="exact"/>
              <w:rPr>
                <w:sz w:val="20"/>
                <w:szCs w:val="20"/>
                <w:color w:val="auto"/>
              </w:rPr>
            </w:pPr>
            <w:r>
              <w:rPr>
                <w:rFonts w:ascii="Arial" w:cs="Arial" w:eastAsia="Arial" w:hAnsi="Arial"/>
                <w:sz w:val="13"/>
                <w:szCs w:val="13"/>
                <w:color w:val="auto"/>
              </w:rPr>
              <w:t>18.84</w:t>
            </w: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60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Area</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r>
      <w:tr>
        <w:trPr>
          <w:trHeight w:val="122"/>
        </w:trPr>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0" w:type="dxa"/>
            <w:vAlign w:val="bottom"/>
          </w:tcPr>
          <w:p>
            <w:pPr>
              <w:spacing w:after="0"/>
              <w:rPr>
                <w:sz w:val="10"/>
                <w:szCs w:val="10"/>
                <w:color w:val="auto"/>
              </w:rPr>
            </w:pPr>
          </w:p>
        </w:tc>
      </w:tr>
      <w:tr>
        <w:trPr>
          <w:trHeight w:val="149"/>
        </w:trPr>
        <w:tc>
          <w:tcPr>
            <w:tcW w:w="4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New England</w:t>
            </w:r>
          </w:p>
        </w:tc>
        <w:tc>
          <w:tcPr>
            <w:tcW w:w="4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14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2600" w:type="dxa"/>
            <w:vAlign w:val="bottom"/>
            <w:tcBorders>
              <w:top w:val="single" w:sz="8" w:color="CCEEFF"/>
            </w:tcBorders>
            <w:shd w:val="clear" w:color="auto" w:fill="CCEEFF"/>
          </w:tcPr>
          <w:p>
            <w:pPr>
              <w:spacing w:after="0"/>
              <w:rPr>
                <w:sz w:val="8"/>
                <w:szCs w:val="8"/>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Assembly Row /</w:t>
            </w:r>
          </w:p>
        </w:tc>
        <w:tc>
          <w:tcPr>
            <w:tcW w:w="480" w:type="dxa"/>
            <w:vAlign w:val="bottom"/>
          </w:tcPr>
          <w:p>
            <w:pPr>
              <w:jc w:val="center"/>
              <w:spacing w:after="0" w:line="148" w:lineRule="exact"/>
              <w:rPr>
                <w:sz w:val="20"/>
                <w:szCs w:val="20"/>
                <w:color w:val="auto"/>
              </w:rPr>
            </w:pPr>
            <w:r>
              <w:rPr>
                <w:rFonts w:ascii="Arial" w:cs="Arial" w:eastAsia="Arial" w:hAnsi="Arial"/>
                <w:sz w:val="13"/>
                <w:szCs w:val="13"/>
                <w:color w:val="auto"/>
                <w:w w:val="87"/>
              </w:rPr>
              <w:t>(5)</w:t>
            </w:r>
          </w:p>
        </w:tc>
        <w:tc>
          <w:tcPr>
            <w:tcW w:w="1420" w:type="dxa"/>
            <w:vAlign w:val="bottom"/>
          </w:tcPr>
          <w:p>
            <w:pPr>
              <w:spacing w:after="0" w:line="148" w:lineRule="exact"/>
              <w:rPr>
                <w:sz w:val="20"/>
                <w:szCs w:val="20"/>
                <w:color w:val="auto"/>
              </w:rPr>
            </w:pPr>
            <w:r>
              <w:rPr>
                <w:rFonts w:ascii="Arial" w:cs="Arial" w:eastAsia="Arial" w:hAnsi="Arial"/>
                <w:sz w:val="13"/>
                <w:szCs w:val="13"/>
                <w:color w:val="auto"/>
                <w:w w:val="89"/>
              </w:rPr>
              <w:t>Boston-Cambridge-Quincy,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473,892</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738,000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22.49</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ind w:left="40"/>
              <w:spacing w:after="0" w:line="148" w:lineRule="exact"/>
              <w:rPr>
                <w:sz w:val="20"/>
                <w:szCs w:val="20"/>
                <w:color w:val="auto"/>
              </w:rPr>
            </w:pPr>
            <w:r>
              <w:rPr>
                <w:rFonts w:ascii="Arial" w:cs="Arial" w:eastAsia="Arial" w:hAnsi="Arial"/>
                <w:sz w:val="13"/>
                <w:szCs w:val="13"/>
                <w:color w:val="auto"/>
                <w:w w:val="92"/>
              </w:rPr>
              <w:t>AMC Theatres / LEGOLAND Discovery Center /</w:t>
            </w:r>
          </w:p>
        </w:tc>
      </w:tr>
      <w:tr>
        <w:trPr>
          <w:trHeight w:val="135"/>
        </w:trPr>
        <w:tc>
          <w:tcPr>
            <w:tcW w:w="134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Assembly Square</w:t>
            </w:r>
          </w:p>
        </w:tc>
        <w:tc>
          <w:tcPr>
            <w:tcW w:w="480" w:type="dxa"/>
            <w:vAlign w:val="bottom"/>
          </w:tcPr>
          <w:p>
            <w:pPr>
              <w:spacing w:after="0"/>
              <w:rPr>
                <w:sz w:val="11"/>
                <w:szCs w:val="11"/>
                <w:color w:val="auto"/>
              </w:rPr>
            </w:pPr>
          </w:p>
        </w:tc>
        <w:tc>
          <w:tcPr>
            <w:tcW w:w="1420" w:type="dxa"/>
            <w:vAlign w:val="bottom"/>
          </w:tcPr>
          <w:p>
            <w:pPr>
              <w:spacing w:after="0" w:line="135" w:lineRule="exact"/>
              <w:rPr>
                <w:sz w:val="20"/>
                <w:szCs w:val="20"/>
                <w:color w:val="auto"/>
              </w:rPr>
            </w:pPr>
            <w:r>
              <w:rPr>
                <w:rFonts w:ascii="Arial" w:cs="Arial" w:eastAsia="Arial" w:hAnsi="Arial"/>
                <w:sz w:val="13"/>
                <w:szCs w:val="13"/>
                <w:color w:val="auto"/>
              </w:rPr>
              <w:t>MA-NH</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2011,</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ind w:left="40"/>
              <w:spacing w:after="0" w:line="135" w:lineRule="exact"/>
              <w:rPr>
                <w:sz w:val="20"/>
                <w:szCs w:val="20"/>
                <w:color w:val="auto"/>
              </w:rPr>
            </w:pPr>
            <w:r>
              <w:rPr>
                <w:rFonts w:ascii="Arial" w:cs="Arial" w:eastAsia="Arial" w:hAnsi="Arial"/>
                <w:sz w:val="13"/>
                <w:szCs w:val="13"/>
                <w:color w:val="auto"/>
              </w:rPr>
              <w:t>Saks Fifth Avenue Off 5th / J. Crew / Nike</w:t>
            </w:r>
          </w:p>
        </w:tc>
      </w:tr>
      <w:tr>
        <w:trPr>
          <w:trHeight w:val="135"/>
        </w:trPr>
        <w:tc>
          <w:tcPr>
            <w:tcW w:w="134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Marketplace</w:t>
            </w:r>
          </w:p>
        </w:tc>
        <w:tc>
          <w:tcPr>
            <w:tcW w:w="4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2013</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ind w:left="40"/>
              <w:spacing w:after="0" w:line="135" w:lineRule="exact"/>
              <w:rPr>
                <w:sz w:val="20"/>
                <w:szCs w:val="20"/>
                <w:color w:val="auto"/>
              </w:rPr>
            </w:pPr>
            <w:r>
              <w:rPr>
                <w:rFonts w:ascii="Arial" w:cs="Arial" w:eastAsia="Arial" w:hAnsi="Arial"/>
                <w:sz w:val="13"/>
                <w:szCs w:val="13"/>
                <w:color w:val="auto"/>
                <w:w w:val="92"/>
              </w:rPr>
              <w:t>Factory / Bed, Bath &amp; Beyond / TJ Maxx / Legal</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ind w:left="40"/>
              <w:spacing w:after="0"/>
              <w:rPr>
                <w:sz w:val="20"/>
                <w:szCs w:val="20"/>
                <w:color w:val="auto"/>
              </w:rPr>
            </w:pPr>
            <w:r>
              <w:rPr>
                <w:rFonts w:ascii="Arial" w:cs="Arial" w:eastAsia="Arial" w:hAnsi="Arial"/>
                <w:sz w:val="13"/>
                <w:szCs w:val="13"/>
                <w:color w:val="auto"/>
              </w:rPr>
              <w:t>on the Mystic</w:t>
            </w: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Chelsea Commons</w:t>
            </w:r>
          </w:p>
        </w:tc>
        <w:tc>
          <w:tcPr>
            <w:tcW w:w="4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w w:val="89"/>
              </w:rPr>
              <w:t>Boston-Cambridge-Quincy,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42,736</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6,868</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11.43</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16,000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Sav-A-Lot</w:t>
            </w: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Depot / Planet Fitness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MA-NH</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2008</w:t>
            </w: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Dedham Plaza</w:t>
            </w:r>
          </w:p>
        </w:tc>
        <w:tc>
          <w:tcPr>
            <w:tcW w:w="480" w:type="dxa"/>
            <w:vAlign w:val="bottom"/>
          </w:tcPr>
          <w:p>
            <w:pPr>
              <w:spacing w:after="0"/>
              <w:rPr>
                <w:sz w:val="12"/>
                <w:szCs w:val="12"/>
                <w:color w:val="auto"/>
              </w:rPr>
            </w:pPr>
          </w:p>
        </w:tc>
        <w:tc>
          <w:tcPr>
            <w:tcW w:w="1420" w:type="dxa"/>
            <w:vAlign w:val="bottom"/>
          </w:tcPr>
          <w:p>
            <w:pPr>
              <w:spacing w:after="0" w:line="148" w:lineRule="exact"/>
              <w:rPr>
                <w:sz w:val="20"/>
                <w:szCs w:val="20"/>
                <w:color w:val="auto"/>
              </w:rPr>
            </w:pPr>
            <w:r>
              <w:rPr>
                <w:rFonts w:ascii="Arial" w:cs="Arial" w:eastAsia="Arial" w:hAnsi="Arial"/>
                <w:sz w:val="13"/>
                <w:szCs w:val="13"/>
                <w:color w:val="auto"/>
                <w:w w:val="89"/>
              </w:rPr>
              <w:t>Boston-Cambridge-Quincy,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35,092</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15.90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80,000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Star Market</w:t>
            </w:r>
          </w:p>
        </w:tc>
        <w:tc>
          <w:tcPr>
            <w:tcW w:w="260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MA-NH</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Linden Square</w:t>
            </w:r>
          </w:p>
        </w:tc>
        <w:tc>
          <w:tcPr>
            <w:tcW w:w="4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w w:val="89"/>
              </w:rPr>
              <w:t>Boston-Cambridge-Quincy,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147,498</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46.08</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MA-NH</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r>
      <w:tr>
        <w:trPr>
          <w:trHeight w:val="148"/>
        </w:trPr>
        <w:tc>
          <w:tcPr>
            <w:tcW w:w="134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North Dartmouth</w:t>
            </w:r>
          </w:p>
        </w:tc>
        <w:tc>
          <w:tcPr>
            <w:tcW w:w="480" w:type="dxa"/>
            <w:vAlign w:val="bottom"/>
          </w:tcPr>
          <w:p>
            <w:pPr>
              <w:spacing w:after="0"/>
              <w:rPr>
                <w:sz w:val="12"/>
                <w:szCs w:val="12"/>
                <w:color w:val="auto"/>
              </w:rPr>
            </w:pPr>
          </w:p>
        </w:tc>
        <w:tc>
          <w:tcPr>
            <w:tcW w:w="1420" w:type="dxa"/>
            <w:vAlign w:val="bottom"/>
          </w:tcPr>
          <w:p>
            <w:pPr>
              <w:spacing w:after="0" w:line="148" w:lineRule="exact"/>
              <w:rPr>
                <w:sz w:val="20"/>
                <w:szCs w:val="20"/>
                <w:color w:val="auto"/>
              </w:rPr>
            </w:pPr>
            <w:r>
              <w:rPr>
                <w:rFonts w:ascii="Arial" w:cs="Arial" w:eastAsia="Arial" w:hAnsi="Arial"/>
                <w:sz w:val="13"/>
                <w:szCs w:val="13"/>
                <w:color w:val="auto"/>
                <w:w w:val="89"/>
              </w:rPr>
              <w:t>Boston-Cambridge-Quincy,</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9,367</w:t>
            </w:r>
          </w:p>
        </w:tc>
        <w:tc>
          <w:tcPr>
            <w:tcW w:w="660" w:type="dxa"/>
            <w:vAlign w:val="bottom"/>
          </w:tcPr>
          <w:p>
            <w:pPr>
              <w:spacing w:after="0"/>
              <w:rPr>
                <w:sz w:val="12"/>
                <w:szCs w:val="12"/>
                <w:color w:val="auto"/>
              </w:rPr>
            </w:pPr>
          </w:p>
        </w:tc>
        <w:tc>
          <w:tcPr>
            <w:tcW w:w="66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4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15.71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48,000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60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20" w:type="dxa"/>
            <w:vAlign w:val="bottom"/>
          </w:tcPr>
          <w:p>
            <w:pPr>
              <w:spacing w:after="0"/>
              <w:rPr>
                <w:sz w:val="20"/>
                <w:szCs w:val="20"/>
                <w:color w:val="auto"/>
              </w:rPr>
            </w:pPr>
            <w:r>
              <w:rPr>
                <w:rFonts w:ascii="Arial" w:cs="Arial" w:eastAsia="Arial" w:hAnsi="Arial"/>
                <w:sz w:val="13"/>
                <w:szCs w:val="13"/>
                <w:color w:val="auto"/>
              </w:rPr>
              <w:t>MA-NH</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0" w:type="dxa"/>
            <w:vAlign w:val="bottom"/>
          </w:tcPr>
          <w:p>
            <w:pPr>
              <w:spacing w:after="0"/>
              <w:rPr>
                <w:sz w:val="14"/>
                <w:szCs w:val="14"/>
                <w:color w:val="auto"/>
              </w:rPr>
            </w:pPr>
          </w:p>
        </w:tc>
      </w:tr>
      <w:tr>
        <w:trPr>
          <w:trHeight w:val="156"/>
        </w:trPr>
        <w:tc>
          <w:tcPr>
            <w:tcW w:w="13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Queen Anne Plaza</w:t>
            </w:r>
          </w:p>
        </w:tc>
        <w:tc>
          <w:tcPr>
            <w:tcW w:w="4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w w:val="89"/>
              </w:rPr>
              <w:t>Boston-Cambridge-Quincy,</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1994</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18,197</w:t>
            </w:r>
          </w:p>
        </w:tc>
        <w:tc>
          <w:tcPr>
            <w:tcW w:w="6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Hannaford</w:t>
            </w:r>
          </w:p>
        </w:tc>
        <w:tc>
          <w:tcPr>
            <w:tcW w:w="2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TJ Maxx / HomeGoods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3"/>
                <w:szCs w:val="13"/>
                <w:color w:val="auto"/>
              </w:rPr>
              <w:t>MA-NH</w:t>
            </w: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82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825" w:gutter="0" w:footer="0" w:header="0"/>
          <w:type w:val="continuous"/>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54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2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80" w:type="dxa"/>
            <w:vAlign w:val="bottom"/>
          </w:tcPr>
          <w:p>
            <w:pPr>
              <w:spacing w:after="0"/>
              <w:rPr>
                <w:sz w:val="11"/>
                <w:szCs w:val="11"/>
                <w:color w:val="auto"/>
              </w:rPr>
            </w:pPr>
          </w:p>
        </w:tc>
        <w:tc>
          <w:tcPr>
            <w:tcW w:w="54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Rent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540" w:type="dxa"/>
            <w:vAlign w:val="bottom"/>
          </w:tcPr>
          <w:p>
            <w:pPr>
              <w:spacing w:after="0"/>
              <w:rPr>
                <w:sz w:val="11"/>
                <w:szCs w:val="11"/>
                <w:color w:val="auto"/>
              </w:rPr>
            </w:pPr>
          </w:p>
        </w:tc>
      </w:tr>
      <w:tr>
        <w:trPr>
          <w:trHeight w:val="174"/>
        </w:trPr>
        <w:tc>
          <w:tcPr>
            <w:tcW w:w="1260" w:type="dxa"/>
            <w:vAlign w:val="bottom"/>
            <w:tcBorders>
              <w:bottom w:val="single" w:sz="8" w:color="auto"/>
            </w:tcBorders>
            <w:gridSpan w:val="6"/>
          </w:tcPr>
          <w:p>
            <w:pPr>
              <w:ind w:left="40"/>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5"/>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7"/>
              </w:rPr>
              <w:t>Occupied</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(3)</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5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70"/>
        </w:trPr>
        <w:tc>
          <w:tcPr>
            <w:tcW w:w="1260" w:type="dxa"/>
            <w:vAlign w:val="bottom"/>
            <w:gridSpan w:val="6"/>
          </w:tcPr>
          <w:p>
            <w:pPr>
              <w:ind w:left="40"/>
              <w:spacing w:after="0"/>
              <w:rPr>
                <w:sz w:val="20"/>
                <w:szCs w:val="20"/>
                <w:color w:val="auto"/>
              </w:rPr>
            </w:pPr>
            <w:r>
              <w:rPr>
                <w:rFonts w:ascii="Arial" w:cs="Arial" w:eastAsia="Arial" w:hAnsi="Arial"/>
                <w:sz w:val="13"/>
                <w:szCs w:val="13"/>
                <w:color w:val="auto"/>
              </w:rPr>
              <w:t>Saugus Plaza</w:t>
            </w:r>
          </w:p>
        </w:tc>
        <w:tc>
          <w:tcPr>
            <w:tcW w:w="4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Boston-Cambridge-</w:t>
            </w:r>
          </w:p>
        </w:tc>
        <w:tc>
          <w:tcPr>
            <w:tcW w:w="620" w:type="dxa"/>
            <w:vAlign w:val="bottom"/>
          </w:tcPr>
          <w:p>
            <w:pPr>
              <w:jc w:val="right"/>
              <w:spacing w:after="0"/>
              <w:rPr>
                <w:sz w:val="20"/>
                <w:szCs w:val="20"/>
                <w:color w:val="auto"/>
              </w:rPr>
            </w:pPr>
            <w:r>
              <w:rPr>
                <w:rFonts w:ascii="Arial" w:cs="Arial" w:eastAsia="Arial" w:hAnsi="Arial"/>
                <w:sz w:val="13"/>
                <w:szCs w:val="13"/>
                <w:color w:val="auto"/>
              </w:rPr>
              <w:t>1996</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15,255</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168,000</w:t>
            </w:r>
          </w:p>
        </w:tc>
        <w:tc>
          <w:tcPr>
            <w:tcW w:w="54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right"/>
              <w:spacing w:after="0"/>
              <w:rPr>
                <w:sz w:val="20"/>
                <w:szCs w:val="20"/>
                <w:color w:val="auto"/>
              </w:rPr>
            </w:pPr>
            <w:r>
              <w:rPr>
                <w:rFonts w:ascii="Arial" w:cs="Arial" w:eastAsia="Arial" w:hAnsi="Arial"/>
                <w:sz w:val="13"/>
                <w:szCs w:val="13"/>
                <w:color w:val="auto"/>
              </w:rPr>
              <w:t>100%</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11.99</w:t>
            </w:r>
          </w:p>
        </w:tc>
        <w:tc>
          <w:tcPr>
            <w:tcW w:w="600" w:type="dxa"/>
            <w:vAlign w:val="bottom"/>
          </w:tcPr>
          <w:p>
            <w:pPr>
              <w:ind w:left="60"/>
              <w:spacing w:after="0"/>
              <w:rPr>
                <w:sz w:val="20"/>
                <w:szCs w:val="20"/>
                <w:color w:val="auto"/>
              </w:rPr>
            </w:pPr>
            <w:r>
              <w:rPr>
                <w:rFonts w:ascii="Arial" w:cs="Arial" w:eastAsia="Arial" w:hAnsi="Arial"/>
                <w:sz w:val="13"/>
                <w:szCs w:val="13"/>
                <w:color w:val="auto"/>
              </w:rPr>
              <w:t>55,000</w:t>
            </w:r>
          </w:p>
        </w:tc>
        <w:tc>
          <w:tcPr>
            <w:tcW w:w="820" w:type="dxa"/>
            <w:vAlign w:val="bottom"/>
          </w:tcPr>
          <w:p>
            <w:pPr>
              <w:ind w:left="80"/>
              <w:spacing w:after="0"/>
              <w:rPr>
                <w:sz w:val="20"/>
                <w:szCs w:val="20"/>
                <w:color w:val="auto"/>
              </w:rPr>
            </w:pPr>
            <w:r>
              <w:rPr>
                <w:rFonts w:ascii="Arial" w:cs="Arial" w:eastAsia="Arial" w:hAnsi="Arial"/>
                <w:sz w:val="13"/>
                <w:szCs w:val="13"/>
                <w:color w:val="auto"/>
                <w:w w:val="93"/>
              </w:rPr>
              <w:t>Super Stop &amp;</w:t>
            </w:r>
          </w:p>
        </w:tc>
        <w:tc>
          <w:tcPr>
            <w:tcW w:w="2540" w:type="dxa"/>
            <w:vAlign w:val="bottom"/>
          </w:tcPr>
          <w:p>
            <w:pPr>
              <w:ind w:left="60"/>
              <w:spacing w:after="0"/>
              <w:rPr>
                <w:sz w:val="20"/>
                <w:szCs w:val="20"/>
                <w:color w:val="auto"/>
              </w:rPr>
            </w:pPr>
            <w:r>
              <w:rPr>
                <w:rFonts w:ascii="Arial" w:cs="Arial" w:eastAsia="Arial" w:hAnsi="Arial"/>
                <w:sz w:val="13"/>
                <w:szCs w:val="13"/>
                <w:color w:val="auto"/>
              </w:rPr>
              <w:t>Kmart</w:t>
            </w:r>
          </w:p>
        </w:tc>
      </w:tr>
      <w:tr>
        <w:trPr>
          <w:trHeight w:val="170"/>
        </w:trPr>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Quincy, MA-NH</w:t>
            </w:r>
          </w:p>
        </w:tc>
        <w:tc>
          <w:tcPr>
            <w:tcW w:w="6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254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New England</w:t>
            </w: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742,037</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1,789,000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21.38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540" w:type="dxa"/>
            <w:vAlign w:val="bottom"/>
            <w:shd w:val="clear" w:color="auto" w:fill="CCEEFF"/>
          </w:tcPr>
          <w:p>
            <w:pPr>
              <w:spacing w:after="0"/>
              <w:rPr>
                <w:sz w:val="7"/>
                <w:szCs w:val="7"/>
                <w:color w:val="auto"/>
              </w:rPr>
            </w:pP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540" w:type="dxa"/>
            <w:vAlign w:val="bottom"/>
          </w:tcPr>
          <w:p>
            <w:pPr>
              <w:spacing w:after="0"/>
              <w:rPr>
                <w:sz w:val="11"/>
                <w:szCs w:val="11"/>
                <w:color w:val="auto"/>
              </w:rPr>
            </w:pPr>
          </w:p>
        </w:tc>
      </w:tr>
      <w:tr>
        <w:trPr>
          <w:trHeight w:val="149"/>
        </w:trPr>
        <w:tc>
          <w:tcPr>
            <w:tcW w:w="40" w:type="dxa"/>
            <w:vAlign w:val="bottom"/>
            <w:shd w:val="clear" w:color="auto" w:fill="CCEEFF"/>
          </w:tcPr>
          <w:p>
            <w:pPr>
              <w:spacing w:after="0"/>
              <w:rPr>
                <w:sz w:val="12"/>
                <w:szCs w:val="12"/>
                <w:color w:val="auto"/>
              </w:rPr>
            </w:pPr>
          </w:p>
        </w:tc>
        <w:tc>
          <w:tcPr>
            <w:tcW w:w="122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South Florida</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4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540" w:type="dxa"/>
            <w:vAlign w:val="bottom"/>
            <w:tcBorders>
              <w:top w:val="single" w:sz="8" w:color="CCEEFF"/>
            </w:tcBorders>
            <w:shd w:val="clear" w:color="auto" w:fill="CCEEFF"/>
          </w:tcPr>
          <w:p>
            <w:pPr>
              <w:spacing w:after="0"/>
              <w:rPr>
                <w:sz w:val="8"/>
                <w:szCs w:val="8"/>
                <w:color w:val="auto"/>
              </w:rPr>
            </w:pPr>
          </w:p>
        </w:tc>
      </w:tr>
      <w:tr>
        <w:trPr>
          <w:trHeight w:val="173"/>
        </w:trPr>
        <w:tc>
          <w:tcPr>
            <w:tcW w:w="1260" w:type="dxa"/>
            <w:vAlign w:val="bottom"/>
            <w:gridSpan w:val="6"/>
          </w:tcPr>
          <w:p>
            <w:pPr>
              <w:ind w:left="40"/>
              <w:spacing w:after="0"/>
              <w:rPr>
                <w:sz w:val="20"/>
                <w:szCs w:val="20"/>
                <w:color w:val="auto"/>
              </w:rPr>
            </w:pPr>
            <w:r>
              <w:rPr>
                <w:rFonts w:ascii="Arial" w:cs="Arial" w:eastAsia="Arial" w:hAnsi="Arial"/>
                <w:sz w:val="13"/>
                <w:szCs w:val="13"/>
                <w:color w:val="auto"/>
              </w:rPr>
              <w:t>Cocowalk</w:t>
            </w:r>
          </w:p>
        </w:tc>
        <w:tc>
          <w:tcPr>
            <w:tcW w:w="460" w:type="dxa"/>
            <w:vAlign w:val="bottom"/>
          </w:tcPr>
          <w:p>
            <w:pPr>
              <w:jc w:val="center"/>
              <w:spacing w:after="0"/>
              <w:rPr>
                <w:sz w:val="20"/>
                <w:szCs w:val="20"/>
                <w:color w:val="auto"/>
              </w:rPr>
            </w:pPr>
            <w:r>
              <w:rPr>
                <w:rFonts w:ascii="Arial" w:cs="Arial" w:eastAsia="Arial" w:hAnsi="Arial"/>
                <w:sz w:val="13"/>
                <w:szCs w:val="13"/>
                <w:color w:val="auto"/>
                <w:w w:val="90"/>
              </w:rPr>
              <w:t>(4) (8)</w:t>
            </w:r>
          </w:p>
        </w:tc>
        <w:tc>
          <w:tcPr>
            <w:tcW w:w="1400" w:type="dxa"/>
            <w:vAlign w:val="bottom"/>
          </w:tcPr>
          <w:p>
            <w:pPr>
              <w:ind w:left="40"/>
              <w:spacing w:after="0"/>
              <w:rPr>
                <w:sz w:val="20"/>
                <w:szCs w:val="20"/>
                <w:color w:val="auto"/>
              </w:rPr>
            </w:pPr>
            <w:r>
              <w:rPr>
                <w:rFonts w:ascii="Arial" w:cs="Arial" w:eastAsia="Arial" w:hAnsi="Arial"/>
                <w:sz w:val="13"/>
                <w:szCs w:val="13"/>
                <w:color w:val="auto"/>
              </w:rPr>
              <w:t>Miami-Ft Lauderdale</w:t>
            </w:r>
          </w:p>
        </w:tc>
        <w:tc>
          <w:tcPr>
            <w:tcW w:w="620" w:type="dxa"/>
            <w:vAlign w:val="bottom"/>
          </w:tcPr>
          <w:p>
            <w:pPr>
              <w:jc w:val="right"/>
              <w:spacing w:after="0"/>
              <w:rPr>
                <w:sz w:val="20"/>
                <w:szCs w:val="20"/>
                <w:color w:val="auto"/>
              </w:rPr>
            </w:pPr>
            <w:r>
              <w:rPr>
                <w:rFonts w:ascii="Arial" w:cs="Arial" w:eastAsia="Arial" w:hAnsi="Arial"/>
                <w:sz w:val="13"/>
                <w:szCs w:val="13"/>
                <w:color w:val="auto"/>
              </w:rPr>
              <w:t>2015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98,958</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216,000</w:t>
            </w:r>
          </w:p>
        </w:tc>
        <w:tc>
          <w:tcPr>
            <w:tcW w:w="540" w:type="dxa"/>
            <w:vAlign w:val="bottom"/>
          </w:tcPr>
          <w:p>
            <w:pPr>
              <w:jc w:val="right"/>
              <w:spacing w:after="0"/>
              <w:rPr>
                <w:sz w:val="20"/>
                <w:szCs w:val="20"/>
                <w:color w:val="auto"/>
              </w:rPr>
            </w:pPr>
            <w:r>
              <w:rPr>
                <w:rFonts w:ascii="Arial" w:cs="Arial" w:eastAsia="Arial" w:hAnsi="Arial"/>
                <w:sz w:val="13"/>
                <w:szCs w:val="13"/>
                <w:color w:val="auto"/>
              </w:rPr>
              <w:t>82%</w:t>
            </w:r>
          </w:p>
        </w:tc>
        <w:tc>
          <w:tcPr>
            <w:tcW w:w="600" w:type="dxa"/>
            <w:vAlign w:val="bottom"/>
          </w:tcPr>
          <w:p>
            <w:pPr>
              <w:jc w:val="right"/>
              <w:spacing w:after="0"/>
              <w:rPr>
                <w:sz w:val="20"/>
                <w:szCs w:val="20"/>
                <w:color w:val="auto"/>
              </w:rPr>
            </w:pPr>
            <w:r>
              <w:rPr>
                <w:rFonts w:ascii="Arial" w:cs="Arial" w:eastAsia="Arial" w:hAnsi="Arial"/>
                <w:sz w:val="13"/>
                <w:szCs w:val="13"/>
                <w:color w:val="auto"/>
              </w:rPr>
              <w:t>82%</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36.20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Arial" w:cs="Arial" w:eastAsia="Arial" w:hAnsi="Arial"/>
                <w:sz w:val="13"/>
                <w:szCs w:val="13"/>
                <w:color w:val="auto"/>
                <w:w w:val="94"/>
              </w:rPr>
              <w:t>Cinepolis Theaters / Gap / Youfit Health Club</w:t>
            </w: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173"/>
        </w:trPr>
        <w:tc>
          <w:tcPr>
            <w:tcW w:w="12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Del Mar Village</w:t>
            </w: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Miami-Ft Lauderdale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2008/2014</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60,399</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196,000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16.21</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2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r>
      <w:tr>
        <w:trPr>
          <w:trHeight w:val="148"/>
        </w:trPr>
        <w:tc>
          <w:tcPr>
            <w:tcW w:w="1260" w:type="dxa"/>
            <w:vAlign w:val="bottom"/>
            <w:gridSpan w:val="6"/>
          </w:tcPr>
          <w:p>
            <w:pPr>
              <w:ind w:left="40"/>
              <w:spacing w:after="0" w:line="148" w:lineRule="exact"/>
              <w:rPr>
                <w:sz w:val="20"/>
                <w:szCs w:val="20"/>
                <w:color w:val="auto"/>
              </w:rPr>
            </w:pPr>
            <w:r>
              <w:rPr>
                <w:rFonts w:ascii="Arial" w:cs="Arial" w:eastAsia="Arial" w:hAnsi="Arial"/>
                <w:sz w:val="13"/>
                <w:szCs w:val="13"/>
                <w:color w:val="auto"/>
                <w:w w:val="98"/>
              </w:rPr>
              <w:t>The Shops at Sunset</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w w:val="87"/>
              </w:rPr>
              <w:t>(4)</w:t>
            </w:r>
          </w:p>
        </w:tc>
        <w:tc>
          <w:tcPr>
            <w:tcW w:w="1400" w:type="dxa"/>
            <w:vAlign w:val="bottom"/>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116,581</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70,542</w:t>
            </w: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515,000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82%</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82%</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22.53</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ind w:left="60"/>
              <w:spacing w:after="0" w:line="148" w:lineRule="exact"/>
              <w:rPr>
                <w:sz w:val="20"/>
                <w:szCs w:val="20"/>
                <w:color w:val="auto"/>
              </w:rPr>
            </w:pPr>
            <w:r>
              <w:rPr>
                <w:rFonts w:ascii="Arial" w:cs="Arial" w:eastAsia="Arial" w:hAnsi="Arial"/>
                <w:sz w:val="13"/>
                <w:szCs w:val="13"/>
                <w:color w:val="auto"/>
                <w:w w:val="90"/>
              </w:rPr>
              <w:t>AMC Theatres / L.A. Fitness / Barnes &amp; Noble /</w:t>
            </w:r>
          </w:p>
        </w:tc>
      </w:tr>
      <w:tr>
        <w:trPr>
          <w:trHeight w:val="168"/>
        </w:trPr>
        <w:tc>
          <w:tcPr>
            <w:tcW w:w="1260" w:type="dxa"/>
            <w:vAlign w:val="bottom"/>
            <w:gridSpan w:val="6"/>
          </w:tcPr>
          <w:p>
            <w:pPr>
              <w:ind w:left="40"/>
              <w:spacing w:after="0"/>
              <w:rPr>
                <w:sz w:val="20"/>
                <w:szCs w:val="20"/>
                <w:color w:val="auto"/>
              </w:rPr>
            </w:pPr>
            <w:r>
              <w:rPr>
                <w:rFonts w:ascii="Arial" w:cs="Arial" w:eastAsia="Arial" w:hAnsi="Arial"/>
                <w:sz w:val="13"/>
                <w:szCs w:val="13"/>
                <w:color w:val="auto"/>
              </w:rPr>
              <w:t>Place</w:t>
            </w: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3"/>
                <w:szCs w:val="13"/>
                <w:color w:val="auto"/>
              </w:rPr>
              <w:t>GameTime</w:t>
            </w:r>
          </w:p>
        </w:tc>
      </w:tr>
      <w:tr>
        <w:trPr>
          <w:trHeight w:val="156"/>
        </w:trPr>
        <w:tc>
          <w:tcPr>
            <w:tcW w:w="12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Tower Shops</w:t>
            </w:r>
          </w:p>
        </w:tc>
        <w:tc>
          <w:tcPr>
            <w:tcW w:w="460" w:type="dxa"/>
            <w:vAlign w:val="bottom"/>
            <w:shd w:val="clear" w:color="auto" w:fill="CCEEFF"/>
          </w:tcPr>
          <w:p>
            <w:pPr>
              <w:spacing w:after="0"/>
              <w:rPr>
                <w:sz w:val="13"/>
                <w:szCs w:val="13"/>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Miami-Ft Lauderdale</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2011/2014</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93,375</w:t>
            </w:r>
          </w:p>
        </w:tc>
        <w:tc>
          <w:tcPr>
            <w:tcW w:w="66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20.14</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12,000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2540" w:type="dxa"/>
            <w:vAlign w:val="bottom"/>
            <w:shd w:val="clear" w:color="auto" w:fill="CCEEFF"/>
          </w:tcPr>
          <w:p>
            <w:pPr>
              <w:ind w:left="60"/>
              <w:spacing w:after="0"/>
              <w:rPr>
                <w:sz w:val="20"/>
                <w:szCs w:val="20"/>
                <w:color w:val="auto"/>
              </w:rPr>
            </w:pPr>
            <w:r>
              <w:rPr>
                <w:rFonts w:ascii="Arial" w:cs="Arial" w:eastAsia="Arial" w:hAnsi="Arial"/>
                <w:sz w:val="13"/>
                <w:szCs w:val="13"/>
                <w:color w:val="auto"/>
                <w:w w:val="95"/>
              </w:rPr>
              <w:t>Best Buy / DSW / Old Navy / Ross Dress For</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Less / TJ Maxx / Ulta</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6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369,313</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1,316,000</w:t>
            </w:r>
          </w:p>
        </w:tc>
        <w:tc>
          <w:tcPr>
            <w:tcW w:w="540" w:type="dxa"/>
            <w:vAlign w:val="bottom"/>
          </w:tcPr>
          <w:p>
            <w:pPr>
              <w:jc w:val="right"/>
              <w:spacing w:after="0"/>
              <w:rPr>
                <w:sz w:val="20"/>
                <w:szCs w:val="20"/>
                <w:color w:val="auto"/>
              </w:rPr>
            </w:pPr>
            <w:r>
              <w:rPr>
                <w:rFonts w:ascii="Arial" w:cs="Arial" w:eastAsia="Arial" w:hAnsi="Arial"/>
                <w:sz w:val="13"/>
                <w:szCs w:val="13"/>
                <w:color w:val="auto"/>
              </w:rPr>
              <w:t>86%</w:t>
            </w:r>
          </w:p>
        </w:tc>
        <w:tc>
          <w:tcPr>
            <w:tcW w:w="600" w:type="dxa"/>
            <w:vAlign w:val="bottom"/>
          </w:tcPr>
          <w:p>
            <w:pPr>
              <w:jc w:val="right"/>
              <w:spacing w:after="0"/>
              <w:rPr>
                <w:sz w:val="20"/>
                <w:szCs w:val="20"/>
                <w:color w:val="auto"/>
              </w:rPr>
            </w:pPr>
            <w:r>
              <w:rPr>
                <w:rFonts w:ascii="Arial" w:cs="Arial" w:eastAsia="Arial" w:hAnsi="Arial"/>
                <w:sz w:val="13"/>
                <w:szCs w:val="13"/>
                <w:color w:val="auto"/>
              </w:rPr>
              <w:t>86%</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23.04</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540" w:type="dxa"/>
            <w:vAlign w:val="bottom"/>
          </w:tcPr>
          <w:p>
            <w:pPr>
              <w:spacing w:after="0"/>
              <w:rPr>
                <w:sz w:val="7"/>
                <w:szCs w:val="7"/>
                <w:color w:val="auto"/>
              </w:rPr>
            </w:pPr>
          </w:p>
        </w:tc>
      </w:tr>
      <w:tr>
        <w:trPr>
          <w:trHeight w:val="135"/>
        </w:trPr>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1220" w:type="dxa"/>
            <w:vAlign w:val="bottom"/>
            <w:gridSpan w:val="5"/>
          </w:tcPr>
          <w:p>
            <w:pPr>
              <w:ind w:left="60"/>
              <w:spacing w:after="0"/>
              <w:rPr>
                <w:sz w:val="20"/>
                <w:szCs w:val="20"/>
                <w:color w:val="auto"/>
              </w:rPr>
            </w:pPr>
            <w:r>
              <w:rPr>
                <w:rFonts w:ascii="Arial" w:cs="Arial" w:eastAsia="Arial" w:hAnsi="Arial"/>
                <w:sz w:val="13"/>
                <w:szCs w:val="13"/>
                <w:b w:val="1"/>
                <w:bCs w:val="1"/>
                <w:color w:val="auto"/>
              </w:rPr>
              <w:t>Baltimore</w:t>
            </w: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196"/>
        </w:trPr>
        <w:tc>
          <w:tcPr>
            <w:tcW w:w="12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Governor Plaza</w:t>
            </w: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27,157</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243,000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18.95</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16,500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2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Dick’s Sporting Goods</w:t>
            </w:r>
          </w:p>
        </w:tc>
      </w:tr>
      <w:tr>
        <w:trPr>
          <w:trHeight w:val="148"/>
        </w:trPr>
        <w:tc>
          <w:tcPr>
            <w:tcW w:w="126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Perring Plaza</w:t>
            </w:r>
          </w:p>
        </w:tc>
        <w:tc>
          <w:tcPr>
            <w:tcW w:w="460" w:type="dxa"/>
            <w:vAlign w:val="bottom"/>
          </w:tcPr>
          <w:p>
            <w:pPr>
              <w:spacing w:after="0"/>
              <w:rPr>
                <w:sz w:val="12"/>
                <w:szCs w:val="12"/>
                <w:color w:val="auto"/>
              </w:rPr>
            </w:pPr>
          </w:p>
        </w:tc>
        <w:tc>
          <w:tcPr>
            <w:tcW w:w="140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30,417</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14.35</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2540" w:type="dxa"/>
            <w:vAlign w:val="bottom"/>
          </w:tcPr>
          <w:p>
            <w:pPr>
              <w:ind w:left="60"/>
              <w:spacing w:after="0" w:line="148" w:lineRule="exact"/>
              <w:rPr>
                <w:sz w:val="20"/>
                <w:szCs w:val="20"/>
                <w:color w:val="auto"/>
              </w:rPr>
            </w:pPr>
            <w:r>
              <w:rPr>
                <w:rFonts w:ascii="Arial" w:cs="Arial" w:eastAsia="Arial" w:hAnsi="Arial"/>
                <w:sz w:val="13"/>
                <w:szCs w:val="13"/>
                <w:color w:val="auto"/>
                <w:w w:val="90"/>
              </w:rPr>
              <w:t>Home Depot / Burlington Coat Factory / Jo-Ann</w:t>
            </w:r>
          </w:p>
        </w:tc>
      </w:tr>
      <w:tr>
        <w:trPr>
          <w:trHeight w:val="135"/>
        </w:trPr>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2540" w:type="dxa"/>
            <w:vAlign w:val="bottom"/>
          </w:tcPr>
          <w:p>
            <w:pPr>
              <w:ind w:left="60"/>
              <w:spacing w:after="0" w:line="135" w:lineRule="exact"/>
              <w:rPr>
                <w:sz w:val="20"/>
                <w:szCs w:val="20"/>
                <w:color w:val="auto"/>
              </w:rPr>
            </w:pPr>
            <w:r>
              <w:rPr>
                <w:rFonts w:ascii="Arial" w:cs="Arial" w:eastAsia="Arial" w:hAnsi="Arial"/>
                <w:sz w:val="13"/>
                <w:szCs w:val="13"/>
                <w:color w:val="auto"/>
              </w:rPr>
              <w:t>Stores / Micro Center</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2540" w:type="dxa"/>
            <w:vAlign w:val="bottom"/>
          </w:tcPr>
          <w:p>
            <w:pPr>
              <w:spacing w:after="0"/>
              <w:rPr>
                <w:sz w:val="14"/>
                <w:szCs w:val="14"/>
                <w:color w:val="auto"/>
              </w:rPr>
            </w:pPr>
          </w:p>
        </w:tc>
      </w:tr>
      <w:tr>
        <w:trPr>
          <w:trHeight w:val="156"/>
        </w:trPr>
        <w:tc>
          <w:tcPr>
            <w:tcW w:w="12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THE AVENUE at</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w:t>
            </w:r>
          </w:p>
        </w:tc>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100,142</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52,705</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305,000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24.24</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Loews / Old Navy / Barnes &amp; Noble /</w:t>
            </w:r>
          </w:p>
        </w:tc>
      </w:tr>
      <w:tr>
        <w:trPr>
          <w:trHeight w:val="176"/>
        </w:trPr>
        <w:tc>
          <w:tcPr>
            <w:tcW w:w="12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White Marsh</w:t>
            </w: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A.C. Moore</w:t>
            </w:r>
          </w:p>
        </w:tc>
      </w:tr>
      <w:tr>
        <w:trPr>
          <w:trHeight w:val="148"/>
        </w:trPr>
        <w:tc>
          <w:tcPr>
            <w:tcW w:w="126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The Shoppes at</w:t>
            </w:r>
          </w:p>
        </w:tc>
        <w:tc>
          <w:tcPr>
            <w:tcW w:w="460" w:type="dxa"/>
            <w:vAlign w:val="bottom"/>
          </w:tcPr>
          <w:p>
            <w:pPr>
              <w:spacing w:after="0"/>
              <w:rPr>
                <w:sz w:val="12"/>
                <w:szCs w:val="12"/>
                <w:color w:val="auto"/>
              </w:rPr>
            </w:pPr>
          </w:p>
        </w:tc>
        <w:tc>
          <w:tcPr>
            <w:tcW w:w="140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17,453</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48.13</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68"/>
        </w:trPr>
        <w:tc>
          <w:tcPr>
            <w:tcW w:w="1260" w:type="dxa"/>
            <w:vAlign w:val="bottom"/>
            <w:gridSpan w:val="6"/>
          </w:tcPr>
          <w:p>
            <w:pPr>
              <w:ind w:left="40"/>
              <w:spacing w:after="0"/>
              <w:rPr>
                <w:sz w:val="20"/>
                <w:szCs w:val="20"/>
                <w:color w:val="auto"/>
              </w:rPr>
            </w:pPr>
            <w:r>
              <w:rPr>
                <w:rFonts w:ascii="Arial" w:cs="Arial" w:eastAsia="Arial" w:hAnsi="Arial"/>
                <w:sz w:val="13"/>
                <w:szCs w:val="13"/>
                <w:color w:val="auto"/>
              </w:rPr>
              <w:t>Nottingham Square</w:t>
            </w: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204"/>
        </w:trPr>
        <w:tc>
          <w:tcPr>
            <w:tcW w:w="12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White Marsh Plaza</w:t>
            </w: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25,153</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21.80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540" w:type="dxa"/>
            <w:vAlign w:val="bottom"/>
            <w:tcBorders>
              <w:bottom w:val="single" w:sz="8" w:color="CCEEFF"/>
            </w:tcBorders>
            <w:shd w:val="clear" w:color="auto" w:fill="CCEEFF"/>
          </w:tcPr>
          <w:p>
            <w:pPr>
              <w:spacing w:after="0"/>
              <w:rPr>
                <w:sz w:val="17"/>
                <w:szCs w:val="17"/>
                <w:color w:val="auto"/>
              </w:rPr>
            </w:pPr>
          </w:p>
        </w:tc>
      </w:tr>
      <w:tr>
        <w:trPr>
          <w:trHeight w:val="173"/>
        </w:trPr>
        <w:tc>
          <w:tcPr>
            <w:tcW w:w="1260" w:type="dxa"/>
            <w:vAlign w:val="bottom"/>
            <w:gridSpan w:val="6"/>
          </w:tcPr>
          <w:p>
            <w:pPr>
              <w:ind w:left="40"/>
              <w:spacing w:after="0"/>
              <w:rPr>
                <w:sz w:val="20"/>
                <w:szCs w:val="20"/>
                <w:color w:val="auto"/>
              </w:rPr>
            </w:pPr>
            <w:r>
              <w:rPr>
                <w:rFonts w:ascii="Arial" w:cs="Arial" w:eastAsia="Arial" w:hAnsi="Arial"/>
                <w:sz w:val="13"/>
                <w:szCs w:val="13"/>
                <w:color w:val="auto"/>
              </w:rPr>
              <w:t>White Marsh Other</w:t>
            </w:r>
          </w:p>
        </w:tc>
        <w:tc>
          <w:tcPr>
            <w:tcW w:w="460" w:type="dxa"/>
            <w:vAlign w:val="bottom"/>
          </w:tcPr>
          <w:p>
            <w:pPr>
              <w:spacing w:after="0"/>
              <w:rPr>
                <w:sz w:val="15"/>
                <w:szCs w:val="15"/>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62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37,049</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4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right"/>
              <w:spacing w:after="0"/>
              <w:rPr>
                <w:sz w:val="20"/>
                <w:szCs w:val="20"/>
                <w:color w:val="auto"/>
              </w:rPr>
            </w:pPr>
            <w:r>
              <w:rPr>
                <w:rFonts w:ascii="Arial" w:cs="Arial" w:eastAsia="Arial" w:hAnsi="Arial"/>
                <w:sz w:val="13"/>
                <w:szCs w:val="13"/>
                <w:color w:val="auto"/>
              </w:rPr>
              <w:t>98%</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31.67</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43"/>
        </w:trPr>
        <w:tc>
          <w:tcPr>
            <w:tcW w:w="4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r>
      <w:tr>
        <w:trPr>
          <w:trHeight w:val="190"/>
        </w:trPr>
        <w:tc>
          <w:tcPr>
            <w:tcW w:w="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Total Baltimore</w:t>
            </w:r>
          </w:p>
        </w:tc>
        <w:tc>
          <w:tcPr>
            <w:tcW w:w="6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237,371</w:t>
            </w:r>
          </w:p>
        </w:tc>
        <w:tc>
          <w:tcPr>
            <w:tcW w:w="6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1,128,000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20.58</w:t>
            </w:r>
          </w:p>
        </w:tc>
        <w:tc>
          <w:tcPr>
            <w:tcW w:w="6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2540" w:type="dxa"/>
            <w:vAlign w:val="bottom"/>
            <w:tcBorders>
              <w:bottom w:val="single" w:sz="8" w:color="CCEEFF"/>
            </w:tcBorders>
            <w:shd w:val="clear" w:color="auto" w:fill="CCEEFF"/>
          </w:tcPr>
          <w:p>
            <w:pPr>
              <w:spacing w:after="0"/>
              <w:rPr>
                <w:sz w:val="16"/>
                <w:szCs w:val="16"/>
                <w:color w:val="auto"/>
              </w:rPr>
            </w:pPr>
          </w:p>
        </w:tc>
      </w:t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3"/>
                <w:szCs w:val="13"/>
                <w:b w:val="1"/>
                <w:bCs w:val="1"/>
                <w:color w:val="auto"/>
                <w:w w:val="81"/>
              </w:rPr>
              <w:t>Chicago</w:t>
            </w:r>
          </w:p>
        </w:tc>
        <w:tc>
          <w:tcPr>
            <w:tcW w:w="720" w:type="dxa"/>
            <w:vAlign w:val="bottom"/>
            <w:tcBorders>
              <w:bottom w:val="single" w:sz="8" w:color="CCEEFF"/>
            </w:tcBorders>
            <w:gridSpan w:val="3"/>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2540" w:type="dxa"/>
            <w:vAlign w:val="bottom"/>
            <w:tcBorders>
              <w:bottom w:val="single" w:sz="8" w:color="CCEEFF"/>
            </w:tcBorders>
            <w:shd w:val="clear" w:color="auto" w:fill="CCEEFF"/>
          </w:tcPr>
          <w:p>
            <w:pPr>
              <w:spacing w:after="0"/>
              <w:rPr>
                <w:sz w:val="17"/>
                <w:szCs w:val="17"/>
                <w:color w:val="auto"/>
              </w:rPr>
            </w:pPr>
          </w:p>
        </w:tc>
      </w:tr>
      <w:tr>
        <w:trPr>
          <w:trHeight w:val="173"/>
        </w:trPr>
        <w:tc>
          <w:tcPr>
            <w:tcW w:w="1260" w:type="dxa"/>
            <w:vAlign w:val="bottom"/>
            <w:gridSpan w:val="6"/>
          </w:tcPr>
          <w:p>
            <w:pPr>
              <w:ind w:left="40"/>
              <w:spacing w:after="0"/>
              <w:rPr>
                <w:sz w:val="20"/>
                <w:szCs w:val="20"/>
                <w:color w:val="auto"/>
              </w:rPr>
            </w:pPr>
            <w:r>
              <w:rPr>
                <w:rFonts w:ascii="Arial" w:cs="Arial" w:eastAsia="Arial" w:hAnsi="Arial"/>
                <w:sz w:val="13"/>
                <w:szCs w:val="13"/>
                <w:color w:val="auto"/>
              </w:rPr>
              <w:t>Crossroads</w:t>
            </w:r>
          </w:p>
        </w:tc>
        <w:tc>
          <w:tcPr>
            <w:tcW w:w="460" w:type="dxa"/>
            <w:vAlign w:val="bottom"/>
          </w:tcPr>
          <w:p>
            <w:pPr>
              <w:spacing w:after="0"/>
              <w:rPr>
                <w:sz w:val="15"/>
                <w:szCs w:val="15"/>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Chicago, IL</w:t>
            </w:r>
          </w:p>
        </w:tc>
        <w:tc>
          <w:tcPr>
            <w:tcW w:w="620" w:type="dxa"/>
            <w:vAlign w:val="bottom"/>
          </w:tcPr>
          <w:p>
            <w:pPr>
              <w:jc w:val="right"/>
              <w:spacing w:after="0"/>
              <w:rPr>
                <w:sz w:val="20"/>
                <w:szCs w:val="20"/>
                <w:color w:val="auto"/>
              </w:rPr>
            </w:pPr>
            <w:r>
              <w:rPr>
                <w:rFonts w:ascii="Arial" w:cs="Arial" w:eastAsia="Arial" w:hAnsi="Arial"/>
                <w:sz w:val="13"/>
                <w:szCs w:val="13"/>
                <w:color w:val="auto"/>
              </w:rPr>
              <w:t>1993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31,434</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168,000</w:t>
            </w:r>
          </w:p>
        </w:tc>
        <w:tc>
          <w:tcPr>
            <w:tcW w:w="54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jc w:val="right"/>
              <w:spacing w:after="0"/>
              <w:rPr>
                <w:sz w:val="20"/>
                <w:szCs w:val="20"/>
                <w:color w:val="auto"/>
              </w:rPr>
            </w:pPr>
            <w:r>
              <w:rPr>
                <w:rFonts w:ascii="Arial" w:cs="Arial" w:eastAsia="Arial" w:hAnsi="Arial"/>
                <w:sz w:val="13"/>
                <w:szCs w:val="13"/>
                <w:color w:val="auto"/>
              </w:rPr>
              <w:t>91%</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22.29</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148"/>
        </w:trPr>
        <w:tc>
          <w:tcPr>
            <w:tcW w:w="126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Finley Square</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Chicago, IL</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34,828</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315,000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12.49</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5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0"/>
              </w:rPr>
              <w:t>Bed, Bath &amp; Beyond / Buy Buy Baby / Petsmart</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Michaels</w:t>
            </w:r>
          </w:p>
        </w:tc>
      </w:tr>
      <w:tr>
        <w:trPr>
          <w:trHeight w:val="148"/>
        </w:trPr>
        <w:tc>
          <w:tcPr>
            <w:tcW w:w="1260" w:type="dxa"/>
            <w:vAlign w:val="bottom"/>
            <w:gridSpan w:val="6"/>
          </w:tcPr>
          <w:p>
            <w:pPr>
              <w:ind w:left="40"/>
              <w:spacing w:after="0" w:line="148" w:lineRule="exact"/>
              <w:rPr>
                <w:sz w:val="20"/>
                <w:szCs w:val="20"/>
                <w:color w:val="auto"/>
              </w:rPr>
            </w:pPr>
            <w:r>
              <w:rPr>
                <w:rFonts w:ascii="Arial" w:cs="Arial" w:eastAsia="Arial" w:hAnsi="Arial"/>
                <w:sz w:val="13"/>
                <w:szCs w:val="13"/>
                <w:color w:val="auto"/>
              </w:rPr>
              <w:t>Garden Market</w:t>
            </w:r>
          </w:p>
        </w:tc>
        <w:tc>
          <w:tcPr>
            <w:tcW w:w="460" w:type="dxa"/>
            <w:vAlign w:val="bottom"/>
          </w:tcPr>
          <w:p>
            <w:pPr>
              <w:spacing w:after="0"/>
              <w:rPr>
                <w:sz w:val="12"/>
                <w:szCs w:val="12"/>
                <w:color w:val="auto"/>
              </w:rPr>
            </w:pPr>
          </w:p>
        </w:tc>
        <w:tc>
          <w:tcPr>
            <w:tcW w:w="1400" w:type="dxa"/>
            <w:vAlign w:val="bottom"/>
          </w:tcPr>
          <w:p>
            <w:pPr>
              <w:ind w:left="40"/>
              <w:spacing w:after="0" w:line="148" w:lineRule="exact"/>
              <w:rPr>
                <w:sz w:val="20"/>
                <w:szCs w:val="20"/>
                <w:color w:val="auto"/>
              </w:rPr>
            </w:pPr>
            <w:r>
              <w:rPr>
                <w:rFonts w:ascii="Arial" w:cs="Arial" w:eastAsia="Arial" w:hAnsi="Arial"/>
                <w:sz w:val="13"/>
                <w:szCs w:val="13"/>
                <w:color w:val="auto"/>
              </w:rPr>
              <w:t>Chicago, IL</w:t>
            </w:r>
          </w:p>
        </w:tc>
        <w:tc>
          <w:tcPr>
            <w:tcW w:w="62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12,893</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4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20" w:type="dxa"/>
            <w:vAlign w:val="bottom"/>
          </w:tcPr>
          <w:p>
            <w:pPr>
              <w:jc w:val="center"/>
              <w:spacing w:after="0" w:line="148" w:lineRule="exact"/>
              <w:rPr>
                <w:sz w:val="20"/>
                <w:szCs w:val="20"/>
                <w:color w:val="auto"/>
              </w:rPr>
            </w:pPr>
            <w:r>
              <w:rPr>
                <w:rFonts w:ascii="Arial" w:cs="Arial" w:eastAsia="Arial" w:hAnsi="Arial"/>
                <w:sz w:val="13"/>
                <w:szCs w:val="13"/>
                <w:color w:val="auto"/>
                <w:w w:val="85"/>
              </w:rPr>
              <w:t>13.30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Mariano's</w:t>
            </w:r>
          </w:p>
        </w:tc>
        <w:tc>
          <w:tcPr>
            <w:tcW w:w="2540" w:type="dxa"/>
            <w:vAlign w:val="bottom"/>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68"/>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w w:val="93"/>
              </w:rPr>
              <w:t>Fresh Market</w:t>
            </w:r>
          </w:p>
        </w:tc>
        <w:tc>
          <w:tcPr>
            <w:tcW w:w="2540" w:type="dxa"/>
            <w:vAlign w:val="bottom"/>
          </w:tcPr>
          <w:p>
            <w:pPr>
              <w:spacing w:after="0"/>
              <w:rPr>
                <w:sz w:val="14"/>
                <w:szCs w:val="14"/>
                <w:color w:val="auto"/>
              </w:rPr>
            </w:pPr>
          </w:p>
        </w:tc>
      </w:tr>
      <w:tr>
        <w:trPr>
          <w:trHeight w:val="181"/>
        </w:trPr>
        <w:tc>
          <w:tcPr>
            <w:tcW w:w="12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w w:val="94"/>
              </w:rPr>
              <w:t>North Lake Commons</w:t>
            </w: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Chicago, IL</w:t>
            </w:r>
          </w:p>
        </w:tc>
        <w:tc>
          <w:tcPr>
            <w:tcW w:w="62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96"/>
              </w:rPr>
              <w:t>1994</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16,430</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129,000</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10.95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77,000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Jewel Osco</w:t>
            </w:r>
          </w:p>
        </w:tc>
        <w:tc>
          <w:tcPr>
            <w:tcW w:w="254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54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Arial" w:cs="Arial" w:eastAsia="Arial" w:hAnsi="Arial"/>
                <w:sz w:val="13"/>
                <w:szCs w:val="13"/>
                <w:b w:val="1"/>
                <w:bCs w:val="1"/>
                <w:color w:val="auto"/>
              </w:rPr>
              <w:t>Total Chicago</w:t>
            </w:r>
          </w:p>
        </w:tc>
        <w:tc>
          <w:tcPr>
            <w:tcW w:w="6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95,585</w:t>
            </w:r>
          </w:p>
        </w:tc>
        <w:tc>
          <w:tcPr>
            <w:tcW w:w="66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752,000</w:t>
            </w:r>
          </w:p>
        </w:tc>
        <w:tc>
          <w:tcPr>
            <w:tcW w:w="54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right"/>
              <w:spacing w:after="0"/>
              <w:rPr>
                <w:sz w:val="20"/>
                <w:szCs w:val="20"/>
                <w:color w:val="auto"/>
              </w:rPr>
            </w:pPr>
            <w:r>
              <w:rPr>
                <w:rFonts w:ascii="Arial" w:cs="Arial" w:eastAsia="Arial" w:hAnsi="Arial"/>
                <w:sz w:val="13"/>
                <w:szCs w:val="13"/>
                <w:color w:val="auto"/>
              </w:rPr>
              <w:t>92%</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14.59</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540" w:type="dxa"/>
            <w:vAlign w:val="bottom"/>
          </w:tcPr>
          <w:p>
            <w:pPr>
              <w:spacing w:after="0"/>
              <w:rPr>
                <w:sz w:val="7"/>
                <w:szCs w:val="7"/>
                <w:color w:val="auto"/>
              </w:rPr>
            </w:pPr>
          </w:p>
        </w:tc>
      </w:tr>
      <w:tr>
        <w:trPr>
          <w:trHeight w:val="135"/>
        </w:trPr>
        <w:tc>
          <w:tcPr>
            <w:tcW w:w="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1220" w:type="dxa"/>
            <w:vAlign w:val="bottom"/>
            <w:gridSpan w:val="5"/>
          </w:tcPr>
          <w:p>
            <w:pPr>
              <w:ind w:left="60"/>
              <w:spacing w:after="0"/>
              <w:rPr>
                <w:sz w:val="20"/>
                <w:szCs w:val="20"/>
                <w:color w:val="auto"/>
              </w:rPr>
            </w:pPr>
            <w:r>
              <w:rPr>
                <w:rFonts w:ascii="Arial" w:cs="Arial" w:eastAsia="Arial" w:hAnsi="Arial"/>
                <w:sz w:val="13"/>
                <w:szCs w:val="13"/>
                <w:b w:val="1"/>
                <w:bCs w:val="1"/>
                <w:color w:val="auto"/>
              </w:rPr>
              <w:t>Other</w:t>
            </w: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4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540" w:type="dxa"/>
            <w:vAlign w:val="bottom"/>
          </w:tcPr>
          <w:p>
            <w:pPr>
              <w:spacing w:after="0"/>
              <w:rPr>
                <w:sz w:val="8"/>
                <w:szCs w:val="8"/>
                <w:color w:val="auto"/>
              </w:rPr>
            </w:pPr>
          </w:p>
        </w:tc>
      </w:tr>
      <w:tr>
        <w:trPr>
          <w:trHeight w:val="148"/>
        </w:trPr>
        <w:tc>
          <w:tcPr>
            <w:tcW w:w="126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Barracks Road</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Charlottesville, VA</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60,898</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497,000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25.05</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336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93"/>
              </w:rPr>
              <w:t>Harris Teeter / Anthropologie / Bed, Bath &amp; Beyond / Barnes</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54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&amp; Noble / Old Navy / Michaels / Ulta</w:t>
            </w:r>
          </w:p>
        </w:tc>
      </w:tr>
      <w:tr>
        <w:trPr>
          <w:trHeight w:val="173"/>
        </w:trPr>
        <w:tc>
          <w:tcPr>
            <w:tcW w:w="1260" w:type="dxa"/>
            <w:vAlign w:val="bottom"/>
            <w:gridSpan w:val="6"/>
          </w:tcPr>
          <w:p>
            <w:pPr>
              <w:ind w:left="40"/>
              <w:spacing w:after="0"/>
              <w:rPr>
                <w:sz w:val="20"/>
                <w:szCs w:val="20"/>
                <w:color w:val="auto"/>
              </w:rPr>
            </w:pPr>
            <w:r>
              <w:rPr>
                <w:rFonts w:ascii="Arial" w:cs="Arial" w:eastAsia="Arial" w:hAnsi="Arial"/>
                <w:sz w:val="13"/>
                <w:szCs w:val="13"/>
                <w:color w:val="auto"/>
              </w:rPr>
              <w:t>Bristol Plaza</w:t>
            </w:r>
          </w:p>
        </w:tc>
        <w:tc>
          <w:tcPr>
            <w:tcW w:w="460" w:type="dxa"/>
            <w:vAlign w:val="bottom"/>
          </w:tcPr>
          <w:p>
            <w:pPr>
              <w:spacing w:after="0"/>
              <w:rPr>
                <w:sz w:val="15"/>
                <w:szCs w:val="15"/>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Hartford, CT</w:t>
            </w:r>
          </w:p>
        </w:tc>
        <w:tc>
          <w:tcPr>
            <w:tcW w:w="62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29,788</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266,000</w:t>
            </w:r>
          </w:p>
        </w:tc>
        <w:tc>
          <w:tcPr>
            <w:tcW w:w="54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right"/>
              <w:spacing w:after="0"/>
              <w:rPr>
                <w:sz w:val="20"/>
                <w:szCs w:val="20"/>
                <w:color w:val="auto"/>
              </w:rPr>
            </w:pPr>
            <w:r>
              <w:rPr>
                <w:rFonts w:ascii="Arial" w:cs="Arial" w:eastAsia="Arial" w:hAnsi="Arial"/>
                <w:sz w:val="13"/>
                <w:szCs w:val="13"/>
                <w:color w:val="auto"/>
              </w:rPr>
              <w:t>92%</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13.17</w:t>
            </w:r>
          </w:p>
        </w:tc>
        <w:tc>
          <w:tcPr>
            <w:tcW w:w="600" w:type="dxa"/>
            <w:vAlign w:val="bottom"/>
          </w:tcPr>
          <w:p>
            <w:pPr>
              <w:ind w:left="60"/>
              <w:spacing w:after="0"/>
              <w:rPr>
                <w:sz w:val="20"/>
                <w:szCs w:val="20"/>
                <w:color w:val="auto"/>
              </w:rPr>
            </w:pPr>
            <w:r>
              <w:rPr>
                <w:rFonts w:ascii="Arial" w:cs="Arial" w:eastAsia="Arial" w:hAnsi="Arial"/>
                <w:sz w:val="13"/>
                <w:szCs w:val="13"/>
                <w:color w:val="auto"/>
              </w:rPr>
              <w:t>74,000</w:t>
            </w:r>
          </w:p>
        </w:tc>
        <w:tc>
          <w:tcPr>
            <w:tcW w:w="820" w:type="dxa"/>
            <w:vAlign w:val="bottom"/>
          </w:tcPr>
          <w:p>
            <w:pPr>
              <w:ind w:left="80"/>
              <w:spacing w:after="0"/>
              <w:rPr>
                <w:sz w:val="20"/>
                <w:szCs w:val="20"/>
                <w:color w:val="auto"/>
              </w:rPr>
            </w:pPr>
            <w:r>
              <w:rPr>
                <w:rFonts w:ascii="Arial" w:cs="Arial" w:eastAsia="Arial" w:hAnsi="Arial"/>
                <w:sz w:val="13"/>
                <w:szCs w:val="13"/>
                <w:color w:val="auto"/>
                <w:w w:val="98"/>
              </w:rPr>
              <w:t>Stop &amp; Shop</w:t>
            </w:r>
          </w:p>
        </w:tc>
        <w:tc>
          <w:tcPr>
            <w:tcW w:w="2540" w:type="dxa"/>
            <w:vAlign w:val="bottom"/>
          </w:tcPr>
          <w:p>
            <w:pPr>
              <w:ind w:left="60"/>
              <w:spacing w:after="0"/>
              <w:rPr>
                <w:sz w:val="20"/>
                <w:szCs w:val="20"/>
                <w:color w:val="auto"/>
              </w:rPr>
            </w:pPr>
            <w:r>
              <w:rPr>
                <w:rFonts w:ascii="Arial" w:cs="Arial" w:eastAsia="Arial" w:hAnsi="Arial"/>
                <w:sz w:val="13"/>
                <w:szCs w:val="13"/>
                <w:color w:val="auto"/>
              </w:rPr>
              <w:t>TJ Maxx</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148"/>
        </w:trPr>
        <w:tc>
          <w:tcPr>
            <w:tcW w:w="1260" w:type="dxa"/>
            <w:vAlign w:val="bottom"/>
            <w:gridSpan w:val="6"/>
            <w:shd w:val="clear" w:color="auto" w:fill="CCEEFF"/>
          </w:tcPr>
          <w:p>
            <w:pPr>
              <w:ind w:left="40"/>
              <w:spacing w:after="0" w:line="148" w:lineRule="exact"/>
              <w:rPr>
                <w:sz w:val="20"/>
                <w:szCs w:val="20"/>
                <w:color w:val="auto"/>
              </w:rPr>
            </w:pPr>
            <w:r>
              <w:rPr>
                <w:rFonts w:ascii="Arial" w:cs="Arial" w:eastAsia="Arial" w:hAnsi="Arial"/>
                <w:sz w:val="13"/>
                <w:szCs w:val="13"/>
                <w:color w:val="auto"/>
              </w:rPr>
              <w:t>Eastgate</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5"/>
              </w:rPr>
              <w:t>Raleigh-Durham-Chapel</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28,137</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w:t>
            </w:r>
          </w:p>
        </w:tc>
        <w:tc>
          <w:tcPr>
            <w:tcW w:w="5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24.06</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25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76"/>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0" w:type="dxa"/>
            <w:vAlign w:val="bottom"/>
            <w:shd w:val="clear" w:color="auto" w:fill="CCEEFF"/>
          </w:tcPr>
          <w:p>
            <w:pPr>
              <w:ind w:left="40"/>
              <w:spacing w:after="0"/>
              <w:rPr>
                <w:sz w:val="20"/>
                <w:szCs w:val="20"/>
                <w:color w:val="auto"/>
              </w:rPr>
            </w:pPr>
            <w:r>
              <w:rPr>
                <w:rFonts w:ascii="Arial" w:cs="Arial" w:eastAsia="Arial" w:hAnsi="Arial"/>
                <w:sz w:val="13"/>
                <w:szCs w:val="13"/>
                <w:color w:val="auto"/>
              </w:rPr>
              <w:t>Hill, NC</w:t>
            </w:r>
          </w:p>
        </w:tc>
        <w:tc>
          <w:tcPr>
            <w:tcW w:w="6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r>
      <w:tr>
        <w:trPr>
          <w:trHeight w:val="173"/>
        </w:trPr>
        <w:tc>
          <w:tcPr>
            <w:tcW w:w="1260" w:type="dxa"/>
            <w:vAlign w:val="bottom"/>
            <w:gridSpan w:val="6"/>
          </w:tcPr>
          <w:p>
            <w:pPr>
              <w:ind w:left="40"/>
              <w:spacing w:after="0"/>
              <w:rPr>
                <w:sz w:val="20"/>
                <w:szCs w:val="20"/>
                <w:color w:val="auto"/>
              </w:rPr>
            </w:pPr>
            <w:r>
              <w:rPr>
                <w:rFonts w:ascii="Arial" w:cs="Arial" w:eastAsia="Arial" w:hAnsi="Arial"/>
                <w:sz w:val="13"/>
                <w:szCs w:val="13"/>
                <w:color w:val="auto"/>
              </w:rPr>
              <w:t>Gratiot Plaza</w:t>
            </w:r>
          </w:p>
        </w:tc>
        <w:tc>
          <w:tcPr>
            <w:tcW w:w="460" w:type="dxa"/>
            <w:vAlign w:val="bottom"/>
          </w:tcPr>
          <w:p>
            <w:pPr>
              <w:spacing w:after="0"/>
              <w:rPr>
                <w:sz w:val="15"/>
                <w:szCs w:val="15"/>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Detroit, MI</w:t>
            </w:r>
          </w:p>
        </w:tc>
        <w:tc>
          <w:tcPr>
            <w:tcW w:w="620" w:type="dxa"/>
            <w:vAlign w:val="bottom"/>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19,565</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217,000</w:t>
            </w:r>
          </w:p>
        </w:tc>
        <w:tc>
          <w:tcPr>
            <w:tcW w:w="54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jc w:val="right"/>
              <w:spacing w:after="0"/>
              <w:rPr>
                <w:sz w:val="20"/>
                <w:szCs w:val="20"/>
                <w:color w:val="auto"/>
              </w:rPr>
            </w:pPr>
            <w:r>
              <w:rPr>
                <w:rFonts w:ascii="Arial" w:cs="Arial" w:eastAsia="Arial" w:hAnsi="Arial"/>
                <w:sz w:val="13"/>
                <w:szCs w:val="13"/>
                <w:color w:val="auto"/>
              </w:rPr>
              <w:t>99%</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11.91</w:t>
            </w:r>
          </w:p>
        </w:tc>
        <w:tc>
          <w:tcPr>
            <w:tcW w:w="600" w:type="dxa"/>
            <w:vAlign w:val="bottom"/>
          </w:tcPr>
          <w:p>
            <w:pPr>
              <w:ind w:left="60"/>
              <w:spacing w:after="0"/>
              <w:rPr>
                <w:sz w:val="20"/>
                <w:szCs w:val="20"/>
                <w:color w:val="auto"/>
              </w:rPr>
            </w:pPr>
            <w:r>
              <w:rPr>
                <w:rFonts w:ascii="Arial" w:cs="Arial" w:eastAsia="Arial" w:hAnsi="Arial"/>
                <w:sz w:val="13"/>
                <w:szCs w:val="13"/>
                <w:color w:val="auto"/>
              </w:rPr>
              <w:t>69,000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2540" w:type="dxa"/>
            <w:vAlign w:val="bottom"/>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196"/>
        </w:trPr>
        <w:tc>
          <w:tcPr>
            <w:tcW w:w="12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Lancaster</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7"/>
              </w:rPr>
              <w:t>(7)</w:t>
            </w: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Lancaster, PA</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13,554</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127,000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17.73</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Michaels</w:t>
            </w:r>
          </w:p>
        </w:tc>
      </w:tr>
      <w:tr>
        <w:trPr>
          <w:trHeight w:val="173"/>
        </w:trPr>
        <w:tc>
          <w:tcPr>
            <w:tcW w:w="1260" w:type="dxa"/>
            <w:vAlign w:val="bottom"/>
            <w:gridSpan w:val="6"/>
          </w:tcPr>
          <w:p>
            <w:pPr>
              <w:ind w:left="40"/>
              <w:spacing w:after="0"/>
              <w:rPr>
                <w:sz w:val="20"/>
                <w:szCs w:val="20"/>
                <w:color w:val="auto"/>
              </w:rPr>
            </w:pPr>
            <w:r>
              <w:rPr>
                <w:rFonts w:ascii="Arial" w:cs="Arial" w:eastAsia="Arial" w:hAnsi="Arial"/>
                <w:sz w:val="13"/>
                <w:szCs w:val="13"/>
                <w:color w:val="auto"/>
              </w:rPr>
              <w:t>29th Place</w:t>
            </w:r>
          </w:p>
        </w:tc>
        <w:tc>
          <w:tcPr>
            <w:tcW w:w="460" w:type="dxa"/>
            <w:vAlign w:val="bottom"/>
          </w:tcPr>
          <w:p>
            <w:pPr>
              <w:spacing w:after="0"/>
              <w:rPr>
                <w:sz w:val="15"/>
                <w:szCs w:val="15"/>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Charlottesville, VA</w:t>
            </w:r>
          </w:p>
        </w:tc>
        <w:tc>
          <w:tcPr>
            <w:tcW w:w="62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40,515</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4,753</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169,000</w:t>
            </w:r>
          </w:p>
        </w:tc>
        <w:tc>
          <w:tcPr>
            <w:tcW w:w="54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right"/>
              <w:spacing w:after="0"/>
              <w:rPr>
                <w:sz w:val="20"/>
                <w:szCs w:val="20"/>
                <w:color w:val="auto"/>
              </w:rPr>
            </w:pPr>
            <w:r>
              <w:rPr>
                <w:rFonts w:ascii="Arial" w:cs="Arial" w:eastAsia="Arial" w:hAnsi="Arial"/>
                <w:sz w:val="13"/>
                <w:szCs w:val="13"/>
                <w:color w:val="auto"/>
              </w:rPr>
              <w:t>98%</w:t>
            </w:r>
          </w:p>
        </w:tc>
        <w:tc>
          <w:tcPr>
            <w:tcW w:w="520" w:type="dxa"/>
            <w:vAlign w:val="bottom"/>
          </w:tcPr>
          <w:p>
            <w:pPr>
              <w:jc w:val="center"/>
              <w:spacing w:after="0"/>
              <w:rPr>
                <w:sz w:val="20"/>
                <w:szCs w:val="20"/>
                <w:color w:val="auto"/>
              </w:rPr>
            </w:pPr>
            <w:r>
              <w:rPr>
                <w:rFonts w:ascii="Arial" w:cs="Arial" w:eastAsia="Arial" w:hAnsi="Arial"/>
                <w:sz w:val="13"/>
                <w:szCs w:val="13"/>
                <w:color w:val="auto"/>
                <w:w w:val="85"/>
              </w:rPr>
              <w:t>17.60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540" w:type="dxa"/>
            <w:vAlign w:val="bottom"/>
          </w:tcPr>
          <w:p>
            <w:pPr>
              <w:ind w:left="60"/>
              <w:spacing w:after="0"/>
              <w:rPr>
                <w:sz w:val="20"/>
                <w:szCs w:val="20"/>
                <w:color w:val="auto"/>
              </w:rPr>
            </w:pPr>
            <w:r>
              <w:rPr>
                <w:rFonts w:ascii="Arial" w:cs="Arial" w:eastAsia="Arial" w:hAnsi="Arial"/>
                <w:sz w:val="13"/>
                <w:szCs w:val="13"/>
                <w:color w:val="auto"/>
              </w:rPr>
              <w:t>DSW / HomeGoods / Staples / Stein Mart</w:t>
            </w:r>
          </w:p>
        </w:tc>
      </w:tr>
      <w:tr>
        <w:trPr>
          <w:trHeight w:val="43"/>
        </w:trPr>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540" w:type="dxa"/>
            <w:vAlign w:val="bottom"/>
          </w:tcPr>
          <w:p>
            <w:pPr>
              <w:spacing w:after="0"/>
              <w:rPr>
                <w:sz w:val="3"/>
                <w:szCs w:val="3"/>
                <w:color w:val="auto"/>
              </w:rPr>
            </w:pPr>
          </w:p>
        </w:tc>
      </w:tr>
      <w:tr>
        <w:trPr>
          <w:trHeight w:val="216"/>
        </w:trPr>
        <w:tc>
          <w:tcPr>
            <w:tcW w:w="126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3"/>
                <w:szCs w:val="13"/>
                <w:color w:val="auto"/>
              </w:rPr>
              <w:t>Willow Lawn</w:t>
            </w:r>
          </w:p>
        </w:tc>
        <w:tc>
          <w:tcPr>
            <w:tcW w:w="4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88"/>
              </w:rPr>
              <w:t>Richmond-Petersburg, VA</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90,588</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445,000</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17.91</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25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Old Navy / Staples / Ross Dress For Less</w:t>
            </w: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ind w:left="40"/>
              <w:spacing w:after="0"/>
              <w:rPr>
                <w:sz w:val="20"/>
                <w:szCs w:val="20"/>
                <w:color w:val="auto"/>
              </w:rPr>
            </w:pPr>
            <w:r>
              <w:rPr>
                <w:rFonts w:ascii="Arial" w:cs="Arial" w:eastAsia="Arial" w:hAnsi="Arial"/>
                <w:sz w:val="13"/>
                <w:szCs w:val="13"/>
                <w:b w:val="1"/>
                <w:bCs w:val="1"/>
                <w:color w:val="auto"/>
              </w:rPr>
              <w:t>Total Other</w:t>
            </w:r>
          </w:p>
        </w:tc>
        <w:tc>
          <w:tcPr>
            <w:tcW w:w="62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283,045</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1,874,000</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96%</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85"/>
              </w:rPr>
              <w:t>18.92</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540" w:type="dxa"/>
            <w:vAlign w:val="bottom"/>
          </w:tcPr>
          <w:p>
            <w:pPr>
              <w:spacing w:after="0"/>
              <w:rPr>
                <w:sz w:val="7"/>
                <w:szCs w:val="7"/>
                <w:color w:val="auto"/>
              </w:rPr>
            </w:pPr>
          </w:p>
        </w:tc>
      </w:tr>
      <w:tr>
        <w:trPr>
          <w:trHeight w:val="135"/>
        </w:trPr>
        <w:tc>
          <w:tcPr>
            <w:tcW w:w="4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gridSpan w:val="2"/>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2540" w:type="dxa"/>
            <w:vAlign w:val="bottom"/>
            <w:tcBorders>
              <w:bottom w:val="single" w:sz="8" w:color="auto"/>
            </w:tcBorders>
            <w:shd w:val="clear" w:color="auto" w:fill="CCEEFF"/>
          </w:tcPr>
          <w:p>
            <w:pPr>
              <w:spacing w:after="0"/>
              <w:rPr>
                <w:sz w:val="11"/>
                <w:szCs w:val="11"/>
                <w:color w:val="auto"/>
              </w:rPr>
            </w:pPr>
          </w:p>
        </w:tc>
      </w:tr>
      <w:tr>
        <w:trPr>
          <w:trHeight w:val="167"/>
        </w:trPr>
        <w:tc>
          <w:tcPr>
            <w:tcW w:w="1260" w:type="dxa"/>
            <w:vAlign w:val="bottom"/>
            <w:gridSpan w:val="6"/>
          </w:tcPr>
          <w:p>
            <w:pPr>
              <w:ind w:left="40"/>
              <w:spacing w:after="0"/>
              <w:rPr>
                <w:sz w:val="20"/>
                <w:szCs w:val="20"/>
                <w:color w:val="auto"/>
              </w:rPr>
            </w:pPr>
            <w:r>
              <w:rPr>
                <w:rFonts w:ascii="Arial" w:cs="Arial" w:eastAsia="Arial" w:hAnsi="Arial"/>
                <w:sz w:val="13"/>
                <w:szCs w:val="13"/>
                <w:b w:val="1"/>
                <w:bCs w:val="1"/>
                <w:color w:val="auto"/>
              </w:rPr>
              <w:t>Grand Total</w:t>
            </w: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$ 6,064,406</w:t>
            </w:r>
          </w:p>
        </w:tc>
        <w:tc>
          <w:tcPr>
            <w:tcW w:w="660" w:type="dxa"/>
            <w:vAlign w:val="bottom"/>
          </w:tcPr>
          <w:p>
            <w:pPr>
              <w:jc w:val="right"/>
              <w:ind w:right="38"/>
              <w:spacing w:after="0"/>
              <w:rPr>
                <w:sz w:val="20"/>
                <w:szCs w:val="20"/>
                <w:color w:val="auto"/>
              </w:rPr>
            </w:pPr>
            <w:r>
              <w:rPr>
                <w:rFonts w:ascii="Arial" w:cs="Arial" w:eastAsia="Arial" w:hAnsi="Arial"/>
                <w:sz w:val="13"/>
                <w:szCs w:val="13"/>
                <w:b w:val="1"/>
                <w:bCs w:val="1"/>
                <w:color w:val="auto"/>
                <w:w w:val="93"/>
              </w:rPr>
              <w:t>$ 543,614</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21,379,000</w:t>
            </w: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94%</w:t>
            </w:r>
          </w:p>
        </w:tc>
        <w:tc>
          <w:tcPr>
            <w:tcW w:w="112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94% $ 26.28</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320" w:hanging="1285"/>
        <w:spacing w:after="0"/>
        <w:tabs>
          <w:tab w:leader="none" w:pos="13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mortgage or capital lease obligations differ from the total reported on the consolidated balance sheet due to the unamortized discount or premium on certain mortgage payables.</w:t>
      </w:r>
    </w:p>
    <w:p>
      <w:pPr>
        <w:spacing w:after="0" w:line="51" w:lineRule="exact"/>
        <w:rPr>
          <w:rFonts w:ascii="Arial" w:cs="Arial" w:eastAsia="Arial" w:hAnsi="Arial"/>
          <w:sz w:val="12"/>
          <w:szCs w:val="12"/>
          <w:color w:val="auto"/>
        </w:rPr>
      </w:pPr>
    </w:p>
    <w:p>
      <w:pPr>
        <w:ind w:left="1320" w:hanging="1285"/>
        <w:spacing w:after="0"/>
        <w:tabs>
          <w:tab w:leader="none" w:pos="1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spacing w:after="0" w:line="39" w:lineRule="exact"/>
        <w:rPr>
          <w:rFonts w:ascii="Arial" w:cs="Arial" w:eastAsia="Arial" w:hAnsi="Arial"/>
          <w:sz w:val="13"/>
          <w:szCs w:val="13"/>
          <w:color w:val="auto"/>
        </w:rPr>
      </w:pPr>
    </w:p>
    <w:p>
      <w:pPr>
        <w:ind w:left="1320" w:hanging="1285"/>
        <w:spacing w:after="0"/>
        <w:tabs>
          <w:tab w:leader="none" w:pos="1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Calculated as the aggregate, annualized in-place contractual (cash basis) minimum rent for all occupied spaces divided by the aggregate GLA of all occupied spaces.</w:t>
      </w:r>
    </w:p>
    <w:p>
      <w:pPr>
        <w:spacing w:after="0" w:line="39" w:lineRule="exact"/>
        <w:rPr>
          <w:rFonts w:ascii="Arial" w:cs="Arial" w:eastAsia="Arial" w:hAnsi="Arial"/>
          <w:sz w:val="13"/>
          <w:szCs w:val="13"/>
          <w:color w:val="auto"/>
        </w:rPr>
      </w:pPr>
    </w:p>
    <w:p>
      <w:pPr>
        <w:ind w:left="1320" w:hanging="1285"/>
        <w:spacing w:after="0"/>
        <w:tabs>
          <w:tab w:leader="none" w:pos="1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320" w:hanging="1285"/>
        <w:spacing w:after="0"/>
        <w:tabs>
          <w:tab w:leader="none" w:pos="1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the Pike &amp; Rose and Assembly Row schedule.</w:t>
      </w:r>
    </w:p>
    <w:p>
      <w:pPr>
        <w:spacing w:after="0" w:line="39" w:lineRule="exact"/>
        <w:rPr>
          <w:rFonts w:ascii="Arial" w:cs="Arial" w:eastAsia="Arial" w:hAnsi="Arial"/>
          <w:sz w:val="13"/>
          <w:szCs w:val="13"/>
          <w:color w:val="auto"/>
        </w:rPr>
      </w:pPr>
    </w:p>
    <w:p>
      <w:pPr>
        <w:ind w:left="1320" w:right="20" w:hanging="1285"/>
        <w:spacing w:after="0" w:line="237" w:lineRule="auto"/>
        <w:tabs>
          <w:tab w:leader="none" w:pos="1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320" w:hanging="1285"/>
        <w:spacing w:after="0"/>
        <w:tabs>
          <w:tab w:leader="none" w:pos="1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All or a portion of property subject to capital lease obligation.</w:t>
      </w:r>
    </w:p>
    <w:p>
      <w:pPr>
        <w:spacing w:after="0" w:line="39" w:lineRule="exact"/>
        <w:rPr>
          <w:rFonts w:ascii="Arial" w:cs="Arial" w:eastAsia="Arial" w:hAnsi="Arial"/>
          <w:sz w:val="13"/>
          <w:szCs w:val="13"/>
          <w:color w:val="auto"/>
        </w:rPr>
      </w:pPr>
    </w:p>
    <w:p>
      <w:pPr>
        <w:ind w:left="1320" w:hanging="1285"/>
        <w:spacing w:after="0"/>
        <w:tabs>
          <w:tab w:leader="none" w:pos="1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property includes partial interests in eight buildings in addition to our initial acquisition.</w:t>
      </w:r>
    </w:p>
    <w:p>
      <w:pPr>
        <w:sectPr>
          <w:pgSz w:w="11900" w:h="16838" w:orient="portrait"/>
          <w:cols w:equalWidth="0" w:num="1">
            <w:col w:w="11420"/>
          </w:cols>
          <w:pgMar w:left="240" w:top="747" w:right="239"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7" w:right="239" w:bottom="1440" w:gutter="0" w:footer="0" w:header="0"/>
          <w:type w:val="continuous"/>
        </w:sectPr>
      </w:pPr>
    </w:p>
    <w:bookmarkStart w:id="25" w:name="page26"/>
    <w:bookmarkEnd w:id="25"/>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December 31, 2015</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9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0"/>
              </w:rPr>
              <w:t>Incentives Per Sq.</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2015</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380,714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31.88</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$ 26.00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2,238,079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16,261,721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42.71</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2015</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478,411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26.98</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$ 22.69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2,051,021</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10,113,482</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3"/>
              <w:spacing w:after="0"/>
              <w:rPr>
                <w:sz w:val="20"/>
                <w:szCs w:val="20"/>
                <w:color w:val="auto"/>
              </w:rPr>
            </w:pPr>
            <w:r>
              <w:rPr>
                <w:rFonts w:ascii="Arial" w:cs="Arial" w:eastAsia="Arial" w:hAnsi="Arial"/>
                <w:sz w:val="14"/>
                <w:szCs w:val="14"/>
                <w:color w:val="auto"/>
              </w:rPr>
              <w:t>21.14</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2015</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296,946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30.41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$ 26.36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1,203,298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8,780,682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29.57</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2015</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249,295</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37.50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$ 33.70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947,399</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5,721,362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22.95</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316</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1,405,366</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30.90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$ 26.32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6,439,797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40,877,247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29.09</w:t>
            </w:r>
          </w:p>
        </w:tc>
        <w:tc>
          <w:tcPr>
            <w:tcW w:w="3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120" w:type="dxa"/>
            <w:vAlign w:val="bottom"/>
            <w:gridSpan w:val="8"/>
            <w:shd w:val="clear" w:color="auto" w:fill="CCEEFF"/>
          </w:tcPr>
          <w:p>
            <w:pPr>
              <w:spacing w:after="0"/>
              <w:rPr>
                <w:sz w:val="20"/>
                <w:szCs w:val="20"/>
                <w:color w:val="auto"/>
              </w:rPr>
            </w:pPr>
            <w:r>
              <w:rPr>
                <w:rFonts w:ascii="Arial" w:cs="Arial" w:eastAsia="Arial" w:hAnsi="Arial"/>
                <w:sz w:val="14"/>
                <w:szCs w:val="14"/>
                <w:b w:val="1"/>
                <w:bCs w:val="1"/>
                <w:color w:val="auto"/>
              </w:rPr>
              <w:t>New Lease Summary - Comparable (2)</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CCEEFF"/>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tcBorders>
              <w:top w:val="single" w:sz="8" w:color="CCEEFF"/>
            </w:tcBorders>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9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0"/>
              </w:rPr>
              <w:t>Incentives Per Sq.</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2015</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191,931</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30.57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$ 21.14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1,810,518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14,704,178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76.61</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2015</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106,574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47.91</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$ 42.13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615,619</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6,248,270</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3"/>
              <w:spacing w:after="0"/>
              <w:rPr>
                <w:sz w:val="20"/>
                <w:szCs w:val="20"/>
                <w:color w:val="auto"/>
              </w:rPr>
            </w:pPr>
            <w:r>
              <w:rPr>
                <w:rFonts w:ascii="Arial" w:cs="Arial" w:eastAsia="Arial" w:hAnsi="Arial"/>
                <w:sz w:val="14"/>
                <w:szCs w:val="14"/>
                <w:color w:val="auto"/>
              </w:rPr>
              <w:t>58.63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2015</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147,114</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30.96</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$ 26.98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585,589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6,812,702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46.31</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93"/>
              </w:rPr>
              <w:t>(7)</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2015</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27</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100,934</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40.69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$ 35.13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560,791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5,563,472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55.12</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546,553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35.93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$ 29.39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3,572,517</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33,328,622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60.98</w:t>
            </w:r>
          </w:p>
        </w:tc>
        <w:tc>
          <w:tcPr>
            <w:tcW w:w="3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120" w:type="dxa"/>
            <w:vAlign w:val="bottom"/>
            <w:gridSpan w:val="8"/>
            <w:shd w:val="clear" w:color="auto" w:fill="CCEEFF"/>
          </w:tcPr>
          <w:p>
            <w:pPr>
              <w:spacing w:after="0"/>
              <w:rPr>
                <w:sz w:val="20"/>
                <w:szCs w:val="20"/>
                <w:color w:val="auto"/>
              </w:rPr>
            </w:pPr>
            <w:r>
              <w:rPr>
                <w:rFonts w:ascii="Arial" w:cs="Arial" w:eastAsia="Arial" w:hAnsi="Arial"/>
                <w:sz w:val="14"/>
                <w:szCs w:val="14"/>
                <w:b w:val="1"/>
                <w:bCs w:val="1"/>
                <w:color w:val="auto"/>
              </w:rPr>
              <w:t>Renewal Lease Summary - Comparable (2) (8)</w:t>
            </w:r>
          </w:p>
        </w:tc>
        <w:tc>
          <w:tcPr>
            <w:tcW w:w="8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82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4"/>
              </w:rPr>
              <w:t>Cash Basis</w:t>
            </w:r>
          </w:p>
        </w:tc>
        <w:tc>
          <w:tcPr>
            <w:tcW w:w="920" w:type="dxa"/>
            <w:vAlign w:val="bottom"/>
            <w:tcBorders>
              <w:top w:val="single" w:sz="8" w:color="CCEEFF"/>
            </w:tcBorders>
            <w:gridSpan w:val="3"/>
          </w:tcPr>
          <w:p>
            <w:pPr>
              <w:jc w:val="center"/>
              <w:ind w:right="120"/>
              <w:spacing w:after="0"/>
              <w:rPr>
                <w:sz w:val="20"/>
                <w:szCs w:val="20"/>
                <w:color w:val="auto"/>
              </w:rPr>
            </w:pPr>
            <w:r>
              <w:rPr>
                <w:rFonts w:ascii="Arial" w:cs="Arial" w:eastAsia="Arial" w:hAnsi="Arial"/>
                <w:sz w:val="11"/>
                <w:szCs w:val="11"/>
                <w:b w:val="1"/>
                <w:bCs w:val="1"/>
                <w:color w:val="auto"/>
                <w:w w:val="90"/>
              </w:rPr>
              <w:t>Straight-lined</w:t>
            </w: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Number of</w:t>
            </w:r>
          </w:p>
        </w:tc>
        <w:tc>
          <w:tcPr>
            <w:tcW w:w="220" w:type="dxa"/>
            <w:vAlign w:val="bottom"/>
          </w:tcPr>
          <w:p>
            <w:pPr>
              <w:spacing w:after="0"/>
              <w:rPr>
                <w:sz w:val="10"/>
                <w:szCs w:val="10"/>
                <w:color w:val="auto"/>
              </w:rPr>
            </w:pPr>
          </w:p>
        </w:tc>
        <w:tc>
          <w:tcPr>
            <w:tcW w:w="740" w:type="dxa"/>
            <w:vAlign w:val="bottom"/>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rPr>
              <w:t>% of</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 Increase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Basis %</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9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gridSpan w:val="2"/>
          </w:tcPr>
          <w:p>
            <w:pPr>
              <w:ind w:left="140"/>
              <w:spacing w:after="0" w:line="122" w:lineRule="exact"/>
              <w:rPr>
                <w:sz w:val="20"/>
                <w:szCs w:val="20"/>
                <w:color w:val="auto"/>
              </w:rPr>
            </w:pPr>
            <w:r>
              <w:rPr>
                <w:rFonts w:ascii="Arial" w:cs="Arial" w:eastAsia="Arial" w:hAnsi="Arial"/>
                <w:sz w:val="11"/>
                <w:szCs w:val="11"/>
                <w:b w:val="1"/>
                <w:bCs w:val="1"/>
                <w:color w:val="auto"/>
              </w:rPr>
              <w:t>Leases</w:t>
            </w:r>
          </w:p>
        </w:tc>
        <w:tc>
          <w:tcPr>
            <w:tcW w:w="96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Comparable</w:t>
            </w: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Annual Increase</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2"/>
              </w:rPr>
              <w:t>Over Prior</w:t>
            </w: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0"/>
              </w:rPr>
              <w:t>Incentives Per Sq.</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ind w:left="120"/>
              <w:spacing w:after="0"/>
              <w:rPr>
                <w:sz w:val="20"/>
                <w:szCs w:val="20"/>
                <w:color w:val="auto"/>
              </w:rPr>
            </w:pPr>
            <w:r>
              <w:rPr>
                <w:rFonts w:ascii="Arial" w:cs="Arial" w:eastAsia="Arial" w:hAnsi="Arial"/>
                <w:sz w:val="11"/>
                <w:szCs w:val="11"/>
                <w:b w:val="1"/>
                <w:bCs w:val="1"/>
                <w:color w:val="auto"/>
              </w:rPr>
              <w:t>Signed</w:t>
            </w:r>
          </w:p>
        </w:tc>
        <w:tc>
          <w:tcPr>
            <w:tcW w:w="96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w w:val="83"/>
              </w:rPr>
              <w:t>Leases Signed</w:t>
            </w:r>
          </w:p>
        </w:tc>
        <w:tc>
          <w:tcPr>
            <w:tcW w:w="940" w:type="dxa"/>
            <w:vAlign w:val="bottom"/>
            <w:gridSpan w:val="3"/>
          </w:tcPr>
          <w:p>
            <w:pPr>
              <w:ind w:left="12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0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3"/>
              </w:rPr>
              <w:t>Prior Rent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2015</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22"/>
                <w:szCs w:val="22"/>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188,783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33.21</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$ 30.95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427,561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1,557,543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8.25</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2015</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color w:val="auto"/>
              </w:rPr>
              <w:t>371,837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5"/>
              <w:spacing w:after="0"/>
              <w:rPr>
                <w:sz w:val="20"/>
                <w:szCs w:val="20"/>
                <w:color w:val="auto"/>
              </w:rPr>
            </w:pPr>
            <w:r>
              <w:rPr>
                <w:rFonts w:ascii="Arial" w:cs="Arial" w:eastAsia="Arial" w:hAnsi="Arial"/>
                <w:sz w:val="14"/>
                <w:szCs w:val="14"/>
                <w:color w:val="auto"/>
              </w:rPr>
              <w:t>20.98</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$ 17.12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1,435,402</w:t>
            </w: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3,865,212</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3"/>
              <w:spacing w:after="0"/>
              <w:rPr>
                <w:sz w:val="20"/>
                <w:szCs w:val="20"/>
                <w:color w:val="auto"/>
              </w:rPr>
            </w:pPr>
            <w:r>
              <w:rPr>
                <w:rFonts w:ascii="Arial" w:cs="Arial" w:eastAsia="Arial" w:hAnsi="Arial"/>
                <w:sz w:val="14"/>
                <w:szCs w:val="14"/>
                <w:color w:val="auto"/>
              </w:rPr>
              <w:t>10.39</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2015</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149,832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29.87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$ 25.75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617,709</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1,967,980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13.13</w:t>
            </w: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2015</w:t>
            </w: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148,361</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35.34</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$ 32.73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386,608</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157,890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1.06</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858,813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27.70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$ 24.36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2,867,280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7,548,625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8.79</w:t>
            </w:r>
          </w:p>
        </w:tc>
        <w:tc>
          <w:tcPr>
            <w:tcW w:w="3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4060" w:type="dxa"/>
            <w:vAlign w:val="bottom"/>
            <w:gridSpan w:val="11"/>
            <w:shd w:val="clear" w:color="auto" w:fill="CCEEFF"/>
          </w:tcPr>
          <w:p>
            <w:pPr>
              <w:spacing w:after="0"/>
              <w:rPr>
                <w:sz w:val="20"/>
                <w:szCs w:val="20"/>
                <w:color w:val="auto"/>
              </w:rPr>
            </w:pPr>
            <w:r>
              <w:rPr>
                <w:rFonts w:ascii="Arial" w:cs="Arial" w:eastAsia="Arial" w:hAnsi="Arial"/>
                <w:sz w:val="14"/>
                <w:szCs w:val="14"/>
                <w:b w:val="1"/>
                <w:bCs w:val="1"/>
                <w:color w:val="auto"/>
                <w:w w:val="95"/>
              </w:rPr>
              <w:t>Total Lease Summary - Comparable and Non-comparable (2) (9)</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40" w:type="dxa"/>
            <w:vAlign w:val="bottom"/>
            <w:tcBorders>
              <w:top w:val="single" w:sz="8" w:color="CCEEFF"/>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6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5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7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1"/>
                <w:szCs w:val="11"/>
                <w:b w:val="1"/>
                <w:bCs w:val="1"/>
                <w:color w:val="auto"/>
                <w:w w:val="88"/>
              </w:rPr>
              <w:t>Weighted</w:t>
            </w:r>
          </w:p>
        </w:tc>
        <w:tc>
          <w:tcPr>
            <w:tcW w:w="100" w:type="dxa"/>
            <w:vAlign w:val="bottom"/>
            <w:tcBorders>
              <w:top w:val="single" w:sz="8" w:color="CCEEFF"/>
            </w:tcBorders>
          </w:tcPr>
          <w:p>
            <w:pPr>
              <w:spacing w:after="0"/>
              <w:rPr>
                <w:sz w:val="11"/>
                <w:szCs w:val="11"/>
                <w:color w:val="auto"/>
              </w:rPr>
            </w:pPr>
          </w:p>
        </w:tc>
        <w:tc>
          <w:tcPr>
            <w:tcW w:w="90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80" w:type="dxa"/>
            <w:vAlign w:val="bottom"/>
            <w:tcBorders>
              <w:top w:val="single" w:sz="8" w:color="CCEEFF"/>
            </w:tcBorders>
          </w:tcPr>
          <w:p>
            <w:pPr>
              <w:spacing w:after="0"/>
              <w:rPr>
                <w:sz w:val="11"/>
                <w:szCs w:val="11"/>
                <w:color w:val="auto"/>
              </w:rPr>
            </w:pPr>
          </w:p>
        </w:tc>
        <w:tc>
          <w:tcPr>
            <w:tcW w:w="720" w:type="dxa"/>
            <w:vAlign w:val="bottom"/>
            <w:tcBorders>
              <w:top w:val="single" w:sz="8" w:color="CCEEFF"/>
            </w:tcBorders>
          </w:tcPr>
          <w:p>
            <w:pPr>
              <w:jc w:val="center"/>
              <w:ind w:right="133"/>
              <w:spacing w:after="0"/>
              <w:rPr>
                <w:sz w:val="20"/>
                <w:szCs w:val="20"/>
                <w:color w:val="auto"/>
              </w:rPr>
            </w:pPr>
            <w:r>
              <w:rPr>
                <w:rFonts w:ascii="Arial" w:cs="Arial" w:eastAsia="Arial" w:hAnsi="Arial"/>
                <w:sz w:val="11"/>
                <w:szCs w:val="11"/>
                <w:b w:val="1"/>
                <w:bCs w:val="1"/>
                <w:color w:val="auto"/>
                <w:w w:val="88"/>
              </w:rPr>
              <w:t>Tenant</w:t>
            </w:r>
          </w:p>
        </w:tc>
        <w:tc>
          <w:tcPr>
            <w:tcW w:w="3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9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8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0"/>
              </w:rPr>
              <w:t>Incentives Per Sq.</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jc w:val="right"/>
              <w:ind w:right="49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560" w:type="dxa"/>
            <w:vAlign w:val="bottom"/>
            <w:gridSpan w:val="5"/>
          </w:tcPr>
          <w:p>
            <w:pPr>
              <w:ind w:left="38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8"/>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8"/>
              </w:rPr>
              <w:t>Incentives (6)</w:t>
            </w:r>
          </w:p>
        </w:tc>
        <w:tc>
          <w:tcPr>
            <w:tcW w:w="180" w:type="dxa"/>
            <w:vAlign w:val="bottom"/>
          </w:tcPr>
          <w:p>
            <w:pPr>
              <w:spacing w:after="0"/>
              <w:rPr>
                <w:sz w:val="12"/>
                <w:szCs w:val="12"/>
                <w:color w:val="auto"/>
              </w:rPr>
            </w:pPr>
          </w:p>
        </w:tc>
        <w:tc>
          <w:tcPr>
            <w:tcW w:w="720" w:type="dxa"/>
            <w:vAlign w:val="bottom"/>
          </w:tcPr>
          <w:p>
            <w:pPr>
              <w:jc w:val="center"/>
              <w:ind w:right="133"/>
              <w:spacing w:after="0"/>
              <w:rPr>
                <w:sz w:val="20"/>
                <w:szCs w:val="20"/>
                <w:color w:val="auto"/>
              </w:rPr>
            </w:pPr>
            <w:r>
              <w:rPr>
                <w:rFonts w:ascii="Arial" w:cs="Arial" w:eastAsia="Arial" w:hAnsi="Arial"/>
                <w:sz w:val="11"/>
                <w:szCs w:val="11"/>
                <w:b w:val="1"/>
                <w:bCs w:val="1"/>
                <w:color w:val="auto"/>
                <w:w w:val="88"/>
              </w:rPr>
              <w:t>Ft.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4th Quarter 2015</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439,061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31.87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17,663,207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40.23</w:t>
            </w: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w w:val="95"/>
              </w:rPr>
              <w:t>3rd Quarter 2015</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560,884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28.92</w:t>
            </w:r>
          </w:p>
        </w:tc>
        <w:tc>
          <w:tcPr>
            <w:tcW w:w="100" w:type="dxa"/>
            <w:vAlign w:val="bottom"/>
          </w:tcPr>
          <w:p>
            <w:pPr>
              <w:spacing w:after="0"/>
              <w:rPr>
                <w:sz w:val="22"/>
                <w:szCs w:val="22"/>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12,254,941</w:t>
            </w:r>
          </w:p>
        </w:tc>
        <w:tc>
          <w:tcPr>
            <w:tcW w:w="120" w:type="dxa"/>
            <w:vAlign w:val="bottom"/>
          </w:tcPr>
          <w:p>
            <w:pPr>
              <w:spacing w:after="0"/>
              <w:rPr>
                <w:sz w:val="22"/>
                <w:szCs w:val="22"/>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3"/>
              <w:spacing w:after="0"/>
              <w:rPr>
                <w:sz w:val="20"/>
                <w:szCs w:val="20"/>
                <w:color w:val="auto"/>
              </w:rPr>
            </w:pPr>
            <w:r>
              <w:rPr>
                <w:rFonts w:ascii="Arial" w:cs="Arial" w:eastAsia="Arial" w:hAnsi="Arial"/>
                <w:sz w:val="14"/>
                <w:szCs w:val="14"/>
                <w:color w:val="auto"/>
              </w:rPr>
              <w:t>21.85</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2nd Quarter 2015</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313,887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31.66</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11,268,961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35.90</w:t>
            </w:r>
          </w:p>
        </w:tc>
        <w:tc>
          <w:tcPr>
            <w:tcW w:w="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1st Quarter 2015</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279,586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38.88</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7,500,950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26.83</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3"/>
              </w:rPr>
              <w:t>1,593,418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32.02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48,688,059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30.56</w:t>
            </w:r>
          </w:p>
        </w:tc>
        <w:tc>
          <w:tcPr>
            <w:tcW w:w="3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vMerge w:val="restart"/>
          </w:tcPr>
          <w:p>
            <w:pPr>
              <w:spacing w:after="0"/>
              <w:rPr>
                <w:sz w:val="20"/>
                <w:szCs w:val="20"/>
                <w:color w:val="auto"/>
              </w:rPr>
            </w:pPr>
            <w:r>
              <w:rPr>
                <w:rFonts w:ascii="Arial" w:cs="Arial" w:eastAsia="Arial" w:hAnsi="Arial"/>
                <w:sz w:val="14"/>
                <w:szCs w:val="14"/>
                <w:color w:val="auto"/>
                <w:w w:val="88"/>
              </w:rPr>
              <w:t>Notes:</w:t>
            </w:r>
          </w:p>
        </w:tc>
        <w:tc>
          <w:tcPr>
            <w:tcW w:w="108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0" w:type="dxa"/>
            <w:vAlign w:val="bottom"/>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1080" w:type="dxa"/>
            <w:vAlign w:val="bottom"/>
          </w:tcPr>
          <w:p>
            <w:pPr>
              <w:spacing w:after="0"/>
              <w:rPr>
                <w:sz w:val="18"/>
                <w:szCs w:val="18"/>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8"/>
              </w:rPr>
              <w:t>Leases on this report represent retail activity only; office and residential leases are not included.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(2)</w:t>
            </w:r>
          </w:p>
        </w:tc>
        <w:tc>
          <w:tcPr>
            <w:tcW w:w="1080" w:type="dxa"/>
            <w:vAlign w:val="bottom"/>
          </w:tcPr>
          <w:p>
            <w:pPr>
              <w:spacing w:after="0"/>
              <w:rPr>
                <w:sz w:val="17"/>
                <w:szCs w:val="17"/>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6"/>
              </w:rPr>
              <w:t>Comparable leases represent those leases signed on spaces for which there was a former tenant.</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(3)</w:t>
            </w:r>
          </w:p>
        </w:tc>
        <w:tc>
          <w:tcPr>
            <w:tcW w:w="1080" w:type="dxa"/>
            <w:vAlign w:val="bottom"/>
          </w:tcPr>
          <w:p>
            <w:pPr>
              <w:spacing w:after="0"/>
              <w:rPr>
                <w:sz w:val="17"/>
                <w:szCs w:val="17"/>
                <w:color w:val="auto"/>
              </w:rPr>
            </w:pPr>
          </w:p>
        </w:tc>
        <w:tc>
          <w:tcPr>
            <w:tcW w:w="6780" w:type="dxa"/>
            <w:vAlign w:val="bottom"/>
            <w:gridSpan w:val="23"/>
          </w:tcPr>
          <w:p>
            <w:pPr>
              <w:ind w:left="20"/>
              <w:spacing w:after="0"/>
              <w:rPr>
                <w:sz w:val="20"/>
                <w:szCs w:val="20"/>
                <w:color w:val="auto"/>
              </w:rPr>
            </w:pPr>
            <w:r>
              <w:rPr>
                <w:rFonts w:ascii="Arial" w:cs="Arial" w:eastAsia="Arial" w:hAnsi="Arial"/>
                <w:sz w:val="14"/>
                <w:szCs w:val="14"/>
                <w:color w:val="auto"/>
                <w:w w:val="99"/>
              </w:rPr>
              <w:t>Contractual rent represents contractual minimum rent under the new lease for the first 12 months of the term.</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(4)</w:t>
            </w:r>
          </w:p>
        </w:tc>
        <w:tc>
          <w:tcPr>
            <w:tcW w:w="1080" w:type="dxa"/>
            <w:vAlign w:val="bottom"/>
          </w:tcPr>
          <w:p>
            <w:pPr>
              <w:spacing w:after="0"/>
              <w:rPr>
                <w:sz w:val="17"/>
                <w:szCs w:val="17"/>
                <w:color w:val="auto"/>
              </w:rPr>
            </w:pPr>
          </w:p>
        </w:tc>
        <w:tc>
          <w:tcPr>
            <w:tcW w:w="7580" w:type="dxa"/>
            <w:vAlign w:val="bottom"/>
            <w:gridSpan w:val="25"/>
          </w:tcPr>
          <w:p>
            <w:pPr>
              <w:ind w:left="20"/>
              <w:spacing w:after="0"/>
              <w:rPr>
                <w:sz w:val="20"/>
                <w:szCs w:val="20"/>
                <w:color w:val="auto"/>
              </w:rPr>
            </w:pPr>
            <w:r>
              <w:rPr>
                <w:rFonts w:ascii="Arial" w:cs="Arial" w:eastAsia="Arial" w:hAnsi="Arial"/>
                <w:sz w:val="14"/>
                <w:szCs w:val="14"/>
                <w:color w:val="auto"/>
              </w:rPr>
              <w:t>Prior rent represents minimum rent and percentage rent, if any, paid by the prior tenant in the final 12 months of the term.</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(5)</w:t>
            </w:r>
          </w:p>
        </w:tc>
        <w:tc>
          <w:tcPr>
            <w:tcW w:w="1080" w:type="dxa"/>
            <w:vAlign w:val="bottom"/>
          </w:tcPr>
          <w:p>
            <w:pPr>
              <w:spacing w:after="0"/>
              <w:rPr>
                <w:sz w:val="17"/>
                <w:szCs w:val="17"/>
                <w:color w:val="auto"/>
              </w:rPr>
            </w:pPr>
          </w:p>
        </w:tc>
        <w:tc>
          <w:tcPr>
            <w:tcW w:w="5860" w:type="dxa"/>
            <w:vAlign w:val="bottom"/>
            <w:gridSpan w:val="20"/>
          </w:tcPr>
          <w:p>
            <w:pPr>
              <w:ind w:left="20"/>
              <w:spacing w:after="0"/>
              <w:rPr>
                <w:sz w:val="20"/>
                <w:szCs w:val="20"/>
                <w:color w:val="auto"/>
              </w:rPr>
            </w:pPr>
            <w:r>
              <w:rPr>
                <w:rFonts w:ascii="Arial" w:cs="Arial" w:eastAsia="Arial" w:hAnsi="Arial"/>
                <w:sz w:val="14"/>
                <w:szCs w:val="14"/>
                <w:color w:val="auto"/>
                <w:w w:val="95"/>
              </w:rPr>
              <w:t>Weighted average is determined on the basis of contractual rent for the first 12 months of the term.</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(6)</w:t>
            </w:r>
          </w:p>
        </w:tc>
        <w:tc>
          <w:tcPr>
            <w:tcW w:w="1080" w:type="dxa"/>
            <w:vAlign w:val="bottom"/>
          </w:tcPr>
          <w:p>
            <w:pPr>
              <w:spacing w:after="0"/>
              <w:rPr>
                <w:sz w:val="17"/>
                <w:szCs w:val="17"/>
                <w:color w:val="auto"/>
              </w:rPr>
            </w:pPr>
          </w:p>
        </w:tc>
        <w:tc>
          <w:tcPr>
            <w:tcW w:w="1660" w:type="dxa"/>
            <w:vAlign w:val="bottom"/>
            <w:gridSpan w:val="6"/>
          </w:tcPr>
          <w:p>
            <w:pPr>
              <w:ind w:left="20"/>
              <w:spacing w:after="0"/>
              <w:rPr>
                <w:sz w:val="20"/>
                <w:szCs w:val="20"/>
                <w:color w:val="auto"/>
              </w:rPr>
            </w:pPr>
            <w:r>
              <w:rPr>
                <w:rFonts w:ascii="Arial" w:cs="Arial" w:eastAsia="Arial" w:hAnsi="Arial"/>
                <w:sz w:val="14"/>
                <w:szCs w:val="14"/>
                <w:color w:val="auto"/>
              </w:rPr>
              <w:t>See Glossary of Terms.</w:t>
            </w: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(7)</w:t>
            </w:r>
          </w:p>
        </w:tc>
        <w:tc>
          <w:tcPr>
            <w:tcW w:w="1080" w:type="dxa"/>
            <w:vAlign w:val="bottom"/>
          </w:tcPr>
          <w:p>
            <w:pPr>
              <w:spacing w:after="0"/>
              <w:rPr>
                <w:sz w:val="14"/>
                <w:szCs w:val="14"/>
                <w:color w:val="auto"/>
              </w:rPr>
            </w:pPr>
          </w:p>
        </w:tc>
        <w:tc>
          <w:tcPr>
            <w:tcW w:w="9600" w:type="dxa"/>
            <w:vAlign w:val="bottom"/>
            <w:gridSpan w:val="30"/>
          </w:tcPr>
          <w:p>
            <w:pPr>
              <w:ind w:left="20"/>
              <w:spacing w:after="0"/>
              <w:rPr>
                <w:sz w:val="20"/>
                <w:szCs w:val="20"/>
                <w:color w:val="auto"/>
              </w:rPr>
            </w:pPr>
            <w:r>
              <w:rPr>
                <w:rFonts w:ascii="Arial" w:cs="Arial" w:eastAsia="Arial" w:hAnsi="Arial"/>
                <w:sz w:val="14"/>
                <w:szCs w:val="14"/>
                <w:color w:val="auto"/>
                <w:w w:val="94"/>
              </w:rPr>
              <w:t>Approximately $6.0 Million ($21.74 per square foot) in 4th Quarter 2015, $0.5 million ($0.72 per square foot) in 3rd Quarter 2015, and $0.5 million ($1.20 per square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4"/>
              </w:rPr>
              <w:t>foot) in 2nd Quarter 2015 of the Tenant Improvements &amp; Incentives are for properties under active redevelopment (e.g. Westgate Center, Willow Lawn, East Bay Bridge)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780" w:type="dxa"/>
            <w:vAlign w:val="bottom"/>
            <w:gridSpan w:val="23"/>
          </w:tcPr>
          <w:p>
            <w:pPr>
              <w:ind w:left="20"/>
              <w:spacing w:after="0"/>
              <w:rPr>
                <w:sz w:val="20"/>
                <w:szCs w:val="20"/>
                <w:color w:val="auto"/>
              </w:rPr>
            </w:pPr>
            <w:r>
              <w:rPr>
                <w:rFonts w:ascii="Arial" w:cs="Arial" w:eastAsia="Arial" w:hAnsi="Arial"/>
                <w:sz w:val="14"/>
                <w:szCs w:val="14"/>
                <w:color w:val="auto"/>
              </w:rPr>
              <w:t>and are included in the Projected Cost for those projects on the Summary of Redevelopment Opportunities.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(8)</w:t>
            </w:r>
          </w:p>
        </w:tc>
        <w:tc>
          <w:tcPr>
            <w:tcW w:w="1080" w:type="dxa"/>
            <w:vAlign w:val="bottom"/>
          </w:tcPr>
          <w:p>
            <w:pPr>
              <w:spacing w:after="0"/>
              <w:rPr>
                <w:sz w:val="17"/>
                <w:szCs w:val="17"/>
                <w:color w:val="auto"/>
              </w:rPr>
            </w:pPr>
          </w:p>
        </w:tc>
        <w:tc>
          <w:tcPr>
            <w:tcW w:w="8700" w:type="dxa"/>
            <w:vAlign w:val="bottom"/>
            <w:gridSpan w:val="28"/>
          </w:tcPr>
          <w:p>
            <w:pPr>
              <w:ind w:left="20"/>
              <w:spacing w:after="0"/>
              <w:rPr>
                <w:sz w:val="20"/>
                <w:szCs w:val="20"/>
                <w:color w:val="auto"/>
              </w:rPr>
            </w:pPr>
            <w:r>
              <w:rPr>
                <w:rFonts w:ascii="Arial" w:cs="Arial" w:eastAsia="Arial" w:hAnsi="Arial"/>
                <w:sz w:val="14"/>
                <w:szCs w:val="14"/>
                <w:color w:val="auto"/>
              </w:rPr>
              <w:t>Renewal leases represent expiring leases rolling over with the same tenant in the same location. All other leases are categorized as new.</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20" w:type="dxa"/>
            <w:vAlign w:val="bottom"/>
            <w:gridSpan w:val="2"/>
          </w:tcPr>
          <w:p>
            <w:pPr>
              <w:ind w:left="40"/>
              <w:spacing w:after="0"/>
              <w:rPr>
                <w:sz w:val="20"/>
                <w:szCs w:val="20"/>
                <w:color w:val="auto"/>
              </w:rPr>
            </w:pPr>
            <w:r>
              <w:rPr>
                <w:rFonts w:ascii="Arial" w:cs="Arial" w:eastAsia="Arial" w:hAnsi="Arial"/>
                <w:sz w:val="14"/>
                <w:szCs w:val="14"/>
                <w:color w:val="auto"/>
              </w:rPr>
              <w:t>(9)</w:t>
            </w:r>
          </w:p>
        </w:tc>
        <w:tc>
          <w:tcPr>
            <w:tcW w:w="1080" w:type="dxa"/>
            <w:vAlign w:val="bottom"/>
          </w:tcPr>
          <w:p>
            <w:pPr>
              <w:spacing w:after="0"/>
              <w:rPr>
                <w:sz w:val="14"/>
                <w:szCs w:val="14"/>
                <w:color w:val="auto"/>
              </w:rPr>
            </w:pPr>
          </w:p>
        </w:tc>
        <w:tc>
          <w:tcPr>
            <w:tcW w:w="9920" w:type="dxa"/>
            <w:vAlign w:val="bottom"/>
            <w:gridSpan w:val="31"/>
          </w:tcPr>
          <w:p>
            <w:pPr>
              <w:ind w:left="20"/>
              <w:spacing w:after="0"/>
              <w:rPr>
                <w:sz w:val="20"/>
                <w:szCs w:val="20"/>
                <w:color w:val="auto"/>
              </w:rPr>
            </w:pPr>
            <w:r>
              <w:rPr>
                <w:rFonts w:ascii="Arial" w:cs="Arial" w:eastAsia="Arial" w:hAnsi="Arial"/>
                <w:sz w:val="14"/>
                <w:szCs w:val="14"/>
                <w:color w:val="auto"/>
                <w:w w:val="92"/>
              </w:rPr>
              <w:t>The Number of Leases Signed, GLA Signed, Contractual Rent Per Sq Ft and Weighted Average Lease Term columns include information for leases signed at our Assembly</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3"/>
              </w:rPr>
              <w:t>Row and Pike &amp; Rose projects. The Tenant Improvements &amp; Incentives and Tenant Improvements &amp; Incentives Per Sq Ft columns do not include the tenant improvements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920" w:type="dxa"/>
            <w:vAlign w:val="bottom"/>
            <w:gridSpan w:val="31"/>
          </w:tcPr>
          <w:p>
            <w:pPr>
              <w:ind w:left="20"/>
              <w:spacing w:after="0" w:line="149" w:lineRule="exact"/>
              <w:rPr>
                <w:sz w:val="20"/>
                <w:szCs w:val="20"/>
                <w:color w:val="auto"/>
              </w:rPr>
            </w:pPr>
            <w:r>
              <w:rPr>
                <w:rFonts w:ascii="Arial" w:cs="Arial" w:eastAsia="Arial" w:hAnsi="Arial"/>
                <w:sz w:val="14"/>
                <w:szCs w:val="14"/>
                <w:color w:val="auto"/>
                <w:w w:val="92"/>
              </w:rPr>
              <w:t>and incentives on leases signed for those projects; these amounts for leases signed for Assembly Row and Pike &amp; Rose are included in the Projected Cost column for those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160" w:type="dxa"/>
            <w:vAlign w:val="bottom"/>
            <w:gridSpan w:val="14"/>
          </w:tcPr>
          <w:p>
            <w:pPr>
              <w:ind w:left="20"/>
              <w:spacing w:after="0"/>
              <w:rPr>
                <w:sz w:val="20"/>
                <w:szCs w:val="20"/>
                <w:color w:val="auto"/>
              </w:rPr>
            </w:pPr>
            <w:r>
              <w:rPr>
                <w:rFonts w:ascii="Arial" w:cs="Arial" w:eastAsia="Arial" w:hAnsi="Arial"/>
                <w:sz w:val="14"/>
                <w:szCs w:val="14"/>
                <w:color w:val="auto"/>
              </w:rPr>
              <w:t>projects shown on the Pike &amp; Rose and Assembly Row schedule.</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60"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60" w:right="23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22.64</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820,000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1,117,000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29.85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1,399,000</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17.77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1,202,000</w:t>
            </w: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35.59</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2,601,000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26.01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1,475,000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1,032,000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25.18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1,809,000</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19.03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823,000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38.35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2,632,000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25.07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999,000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37.89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27.23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1,351,000</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18.73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764,000</w:t>
            </w: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38.57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2,115,000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16.39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41.65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393,000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21.92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492,000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39.13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885,000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1,050,000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722,000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21.29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577,000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36.93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1,299,000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28.23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19.81</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42.64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23.28</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11,955,000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18.38</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8,030,000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38.04</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19,986,000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605,000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32.99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31.48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243,000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24.36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666,000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37.80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909,000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453,000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20.71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524,000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39.32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977,000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30.69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36.66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33.82</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336,000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22.76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509,000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40.03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845,000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33.17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524,000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35.81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368,000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17.28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456,000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40.34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824,000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30.04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43.64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240,000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22.05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513,000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36.81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753,000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32.11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9,332,000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17.78</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2,685,000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37.68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12,018,000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22.23</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11,955,000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18.38</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8,030,000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38.04</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19,986,000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Anchor is defined as a retail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December 31, 2015.</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occupied square footage as of December 31, 2015.</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7" w:name="page28"/>
    <w:bookmarkEnd w:id="27"/>
    <w:p>
      <w:pPr>
        <w:ind w:left="40" w:right="1260"/>
        <w:spacing w:after="0" w:line="329" w:lineRule="auto"/>
        <w:rPr>
          <w:sz w:val="20"/>
          <w:szCs w:val="20"/>
          <w:color w:val="auto"/>
        </w:rPr>
      </w:pPr>
      <w:r>
        <w:rPr>
          <w:rFonts w:ascii="Arial" w:cs="Arial" w:eastAsia="Arial" w:hAnsi="Arial"/>
          <w:sz w:val="18"/>
          <w:szCs w:val="18"/>
          <w:b w:val="1"/>
          <w:bCs w:val="1"/>
          <w:color w:val="auto"/>
        </w:rPr>
        <w:t>Federal Realty Investment Trust Portfolio Leased Statistics December 31, 2015</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Overall Portfolio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Retail Properties (2) (3) (4) (sf)</w:t>
      </w:r>
    </w:p>
    <w:p>
      <w:pPr>
        <w:spacing w:after="0" w:line="35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Same Center Statistics (1)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2015</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2014</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21,379,000</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20,165,000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94.3%</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20,242,000</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19,353,000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95.6%</w:t>
            </w:r>
          </w:p>
        </w:tc>
      </w:tr>
      <w:tr>
        <w:trPr>
          <w:trHeight w:val="540"/>
        </w:trPr>
        <w:tc>
          <w:tcPr>
            <w:tcW w:w="1020" w:type="dxa"/>
            <w:vAlign w:val="bottom"/>
            <w:gridSpan w:val="2"/>
          </w:tcPr>
          <w:p>
            <w:pPr>
              <w:jc w:val="right"/>
              <w:spacing w:after="0"/>
              <w:rPr>
                <w:sz w:val="20"/>
                <w:szCs w:val="20"/>
                <w:color w:val="auto"/>
              </w:rPr>
            </w:pPr>
            <w:r>
              <w:rPr>
                <w:rFonts w:ascii="Arial" w:cs="Arial" w:eastAsia="Arial" w:hAnsi="Arial"/>
                <w:sz w:val="16"/>
                <w:szCs w:val="16"/>
                <w:color w:val="auto"/>
              </w:rPr>
              <w:t>1,715</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1,535</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89.5%</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1,500</w:t>
            </w:r>
          </w:p>
        </w:tc>
        <w:tc>
          <w:tcPr>
            <w:tcW w:w="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1,416</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94.4%</w:t>
            </w:r>
          </w:p>
        </w:tc>
      </w:tr>
      <w:tr>
        <w:trPr>
          <w:trHeight w:val="864"/>
        </w:trPr>
        <w:tc>
          <w:tcPr>
            <w:tcW w:w="7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At December 31, 2015</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At December 31, 2014</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2"/>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83"/>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3"/>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6"/>
                <w:szCs w:val="16"/>
                <w:color w:val="auto"/>
                <w:w w:val="87"/>
              </w:rPr>
              <w:t>Leased %</w:t>
            </w:r>
          </w:p>
        </w:tc>
        <w:tc>
          <w:tcPr>
            <w:tcW w:w="340" w:type="dxa"/>
            <w:vAlign w:val="bottom"/>
          </w:tcPr>
          <w:p>
            <w:pPr>
              <w:spacing w:after="0"/>
              <w:rPr>
                <w:sz w:val="24"/>
                <w:szCs w:val="24"/>
                <w:color w:val="auto"/>
              </w:rPr>
            </w:pPr>
          </w:p>
        </w:tc>
        <w:tc>
          <w:tcPr>
            <w:tcW w:w="980" w:type="dxa"/>
            <w:vAlign w:val="bottom"/>
            <w:gridSpan w:val="3"/>
          </w:tcPr>
          <w:p>
            <w:pPr>
              <w:ind w:left="680"/>
              <w:spacing w:after="0"/>
              <w:rPr>
                <w:sz w:val="20"/>
                <w:szCs w:val="20"/>
                <w:color w:val="auto"/>
              </w:rPr>
            </w:pPr>
            <w:r>
              <w:rPr>
                <w:rFonts w:ascii="Arial" w:cs="Arial" w:eastAsia="Arial" w:hAnsi="Arial"/>
                <w:sz w:val="16"/>
                <w:szCs w:val="16"/>
                <w:color w:val="auto"/>
                <w:w w:val="89"/>
              </w:rPr>
              <w:t>Size</w:t>
            </w:r>
          </w:p>
        </w:tc>
        <w:tc>
          <w:tcPr>
            <w:tcW w:w="64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42"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22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16,005,000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15,276,000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95.4%</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15,968,000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15,402,000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w:t>
            </w:r>
          </w:p>
        </w:tc>
      </w:tr>
      <w:tr>
        <w:trPr>
          <w:trHeight w:val="270"/>
        </w:trPr>
        <w:tc>
          <w:tcPr>
            <w:tcW w:w="34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Residential Properties (units) (5)</w:t>
            </w:r>
          </w:p>
        </w:tc>
        <w:tc>
          <w:tcPr>
            <w:tcW w:w="2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1,326</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1,252</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94.4%</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1,326</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1,268</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r>
      <w:tr>
        <w:trPr>
          <w:trHeight w:val="33"/>
        </w:trPr>
        <w:tc>
          <w:tcPr>
            <w:tcW w:w="348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00" w:hanging="665"/>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700" w:hanging="665"/>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December 31, 2015 leased percentage was 97.0% for anchor tenants and 90.6% for small shop tenants.</w:t>
      </w:r>
    </w:p>
    <w:p>
      <w:pPr>
        <w:spacing w:after="0" w:line="72" w:lineRule="exact"/>
        <w:rPr>
          <w:rFonts w:ascii="Arial" w:cs="Arial" w:eastAsia="Arial" w:hAnsi="Arial"/>
          <w:sz w:val="16"/>
          <w:szCs w:val="16"/>
          <w:color w:val="auto"/>
        </w:rPr>
      </w:pPr>
    </w:p>
    <w:p>
      <w:pPr>
        <w:ind w:left="700" w:right="60" w:hanging="665"/>
        <w:spacing w:after="0" w:line="293" w:lineRule="auto"/>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Occupied percentage was 93.5% and 94.7% at December 31, 2015 and 2014, respectively, and same center occupied percentage was 94.7% and 95.9% at December 31, 2015 and 2014, respectively.</w:t>
      </w:r>
    </w:p>
    <w:p>
      <w:pPr>
        <w:spacing w:after="0" w:line="9" w:lineRule="exact"/>
        <w:rPr>
          <w:rFonts w:ascii="Arial" w:cs="Arial" w:eastAsia="Arial" w:hAnsi="Arial"/>
          <w:sz w:val="16"/>
          <w:szCs w:val="16"/>
          <w:color w:val="auto"/>
        </w:rPr>
      </w:pPr>
    </w:p>
    <w:p>
      <w:pPr>
        <w:ind w:left="700" w:hanging="665"/>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type w:val="continuous"/>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15,360,000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2.92%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2.44%</w:t>
            </w:r>
          </w:p>
        </w:tc>
        <w:tc>
          <w:tcPr>
            <w:tcW w:w="980" w:type="dxa"/>
            <w:vAlign w:val="bottom"/>
          </w:tcPr>
          <w:p>
            <w:pPr>
              <w:jc w:val="right"/>
              <w:spacing w:after="0"/>
              <w:rPr>
                <w:sz w:val="20"/>
                <w:szCs w:val="20"/>
                <w:color w:val="auto"/>
              </w:rPr>
            </w:pPr>
            <w:r>
              <w:rPr>
                <w:rFonts w:ascii="Arial" w:cs="Arial" w:eastAsia="Arial" w:hAnsi="Arial"/>
                <w:sz w:val="16"/>
                <w:szCs w:val="16"/>
                <w:color w:val="auto"/>
              </w:rPr>
              <w:t>736,000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12,801,000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Gap,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12,261,000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2.33%</w:t>
            </w:r>
          </w:p>
        </w:tc>
        <w:tc>
          <w:tcPr>
            <w:tcW w:w="980" w:type="dxa"/>
            <w:vAlign w:val="bottom"/>
          </w:tcPr>
          <w:p>
            <w:pPr>
              <w:jc w:val="right"/>
              <w:spacing w:after="0"/>
              <w:rPr>
                <w:sz w:val="20"/>
                <w:szCs w:val="20"/>
                <w:color w:val="auto"/>
              </w:rPr>
            </w:pPr>
            <w:r>
              <w:rPr>
                <w:rFonts w:ascii="Arial" w:cs="Arial" w:eastAsia="Arial" w:hAnsi="Arial"/>
                <w:sz w:val="16"/>
                <w:szCs w:val="16"/>
                <w:color w:val="auto"/>
              </w:rPr>
              <w:t>361,000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7,416,000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1.41%</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AMC Entertainment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6,105,000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1.16%</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5,417,000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1.03%</w:t>
            </w:r>
          </w:p>
        </w:tc>
        <w:tc>
          <w:tcPr>
            <w:tcW w:w="980" w:type="dxa"/>
            <w:vAlign w:val="bottom"/>
          </w:tcPr>
          <w:p>
            <w:pPr>
              <w:jc w:val="right"/>
              <w:spacing w:after="0"/>
              <w:rPr>
                <w:sz w:val="20"/>
                <w:szCs w:val="20"/>
                <w:color w:val="auto"/>
              </w:rPr>
            </w:pPr>
            <w:r>
              <w:rPr>
                <w:rFonts w:ascii="Arial" w:cs="Arial" w:eastAsia="Arial" w:hAnsi="Arial"/>
                <w:sz w:val="16"/>
                <w:szCs w:val="16"/>
                <w:color w:val="auto"/>
              </w:rPr>
              <w:t>244,000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5,189,000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0.99%</w:t>
            </w:r>
          </w:p>
        </w:tc>
        <w:tc>
          <w:tcPr>
            <w:tcW w:w="980" w:type="dxa"/>
            <w:vAlign w:val="bottom"/>
          </w:tcPr>
          <w:p>
            <w:pPr>
              <w:jc w:val="right"/>
              <w:spacing w:after="0"/>
              <w:rPr>
                <w:sz w:val="20"/>
                <w:szCs w:val="20"/>
                <w:color w:val="auto"/>
              </w:rPr>
            </w:pPr>
            <w:r>
              <w:rPr>
                <w:rFonts w:ascii="Arial" w:cs="Arial" w:eastAsia="Arial" w:hAnsi="Arial"/>
                <w:sz w:val="16"/>
                <w:szCs w:val="16"/>
                <w:color w:val="auto"/>
              </w:rPr>
              <w:t>286,000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4,507,000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0.86%</w:t>
            </w:r>
          </w:p>
        </w:tc>
        <w:tc>
          <w:tcPr>
            <w:tcW w:w="980" w:type="dxa"/>
            <w:vAlign w:val="bottom"/>
          </w:tcPr>
          <w:p>
            <w:pPr>
              <w:jc w:val="right"/>
              <w:spacing w:after="0"/>
              <w:rPr>
                <w:sz w:val="20"/>
                <w:szCs w:val="20"/>
                <w:color w:val="auto"/>
              </w:rPr>
            </w:pPr>
            <w:r>
              <w:rPr>
                <w:rFonts w:ascii="Arial" w:cs="Arial" w:eastAsia="Arial" w:hAnsi="Arial"/>
                <w:sz w:val="16"/>
                <w:szCs w:val="16"/>
                <w:color w:val="auto"/>
              </w:rPr>
              <w:t>94,000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Dick's Sporting Goods,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0.83%</w:t>
            </w:r>
          </w:p>
        </w:tc>
        <w:tc>
          <w:tcPr>
            <w:tcW w:w="980" w:type="dxa"/>
            <w:vAlign w:val="bottom"/>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Riverbed Technology,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3,800,000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Pr>
          <w:p>
            <w:pPr>
              <w:jc w:val="right"/>
              <w:spacing w:after="0"/>
              <w:rPr>
                <w:sz w:val="20"/>
                <w:szCs w:val="20"/>
                <w:color w:val="auto"/>
              </w:rPr>
            </w:pPr>
            <w:r>
              <w:rPr>
                <w:rFonts w:ascii="Arial" w:cs="Arial" w:eastAsia="Arial" w:hAnsi="Arial"/>
                <w:sz w:val="16"/>
                <w:szCs w:val="16"/>
                <w:color w:val="auto"/>
              </w:rPr>
              <w:t>178,000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AB Acquisition LLC (Acme, Safeway)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3,732,000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Pr>
          <w:p>
            <w:pPr>
              <w:jc w:val="right"/>
              <w:spacing w:after="0"/>
              <w:rPr>
                <w:sz w:val="20"/>
                <w:szCs w:val="20"/>
                <w:color w:val="auto"/>
              </w:rPr>
            </w:pPr>
            <w:r>
              <w:rPr>
                <w:rFonts w:ascii="Arial" w:cs="Arial" w:eastAsia="Arial" w:hAnsi="Arial"/>
                <w:sz w:val="16"/>
                <w:szCs w:val="16"/>
                <w:color w:val="auto"/>
              </w:rPr>
              <w:t>404,000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Kroger Co.,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Sports Authority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3,418,000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Dress Barn,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3,295,000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0.63%</w:t>
            </w:r>
          </w:p>
        </w:tc>
        <w:tc>
          <w:tcPr>
            <w:tcW w:w="980" w:type="dxa"/>
            <w:vAlign w:val="bottom"/>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Starbucks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153,408,000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29.19%</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7,404,000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34.63%</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525,507,000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21,379,000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2,740</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right="260" w:hanging="482"/>
        <w:spacing w:after="0" w:line="293"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Clarion Partners. On January 13, 2016, we acquired Clarion's 70% interest in the partnership, as further discussed on page 18.</w:t>
      </w:r>
    </w:p>
    <w:p>
      <w:pPr>
        <w:spacing w:after="0" w:line="9" w:lineRule="exact"/>
        <w:rPr>
          <w:rFonts w:ascii="Arial" w:cs="Arial" w:eastAsia="Arial" w:hAnsi="Arial"/>
          <w:sz w:val="16"/>
          <w:szCs w:val="16"/>
          <w:color w:val="auto"/>
        </w:rPr>
      </w:pPr>
    </w:p>
    <w:p>
      <w:pPr>
        <w:ind w:left="720" w:right="540" w:hanging="482"/>
        <w:spacing w:after="0" w:line="293" w:lineRule="auto"/>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December 31, 2015.</w:t>
      </w:r>
    </w:p>
    <w:p>
      <w:pPr>
        <w:spacing w:after="0" w:line="23" w:lineRule="exact"/>
        <w:rPr>
          <w:rFonts w:ascii="Arial" w:cs="Arial" w:eastAsia="Arial" w:hAnsi="Arial"/>
          <w:sz w:val="16"/>
          <w:szCs w:val="16"/>
          <w:color w:val="auto"/>
        </w:rPr>
      </w:pPr>
    </w:p>
    <w:p>
      <w:pPr>
        <w:ind w:left="720" w:hanging="48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720" w:hanging="48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2016.</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February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177165</wp:posOffset>
            </wp:positionV>
            <wp:extent cx="1732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31" w:lineRule="exact"/>
        <w:rPr>
          <w:sz w:val="20"/>
          <w:szCs w:val="20"/>
          <w:color w:val="auto"/>
        </w:rPr>
      </w:pPr>
    </w:p>
    <w:p>
      <w:pPr>
        <w:ind w:left="9620"/>
        <w:spacing w:after="0"/>
        <w:rPr>
          <w:sz w:val="20"/>
          <w:szCs w:val="20"/>
          <w:color w:val="auto"/>
        </w:rPr>
      </w:pPr>
      <w:r>
        <w:rPr>
          <w:rFonts w:ascii="Arial" w:cs="Arial" w:eastAsia="Arial" w:hAnsi="Arial"/>
          <w:sz w:val="14"/>
          <w:szCs w:val="14"/>
          <w:b w:val="1"/>
          <w:bCs w:val="1"/>
          <w:color w:val="auto"/>
        </w:rPr>
        <w:t>2016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23495</wp:posOffset>
            </wp:positionV>
            <wp:extent cx="1732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7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Low</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High</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income available to common shareholders, per diluted share</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Gain on change in control of interests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(0.34)</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0.22</w:t>
            </w:r>
          </w:p>
        </w:tc>
      </w:tr>
      <w:tr>
        <w:trPr>
          <w:trHeight w:val="27"/>
        </w:trPr>
        <w:tc>
          <w:tcPr>
            <w:tcW w:w="8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other amounts</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r>
      <w:tr>
        <w:trPr>
          <w:trHeight w:val="257"/>
        </w:trPr>
        <w:tc>
          <w:tcPr>
            <w:tcW w:w="8700" w:type="dxa"/>
            <w:vAlign w:val="bottom"/>
          </w:tcPr>
          <w:p>
            <w:pPr>
              <w:ind w:left="4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5.71</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4,260</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4,369</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17,370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18,190</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4,263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17,405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18,329</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4,004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3,701</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2,247</w:t>
            </w: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5,678</w:t>
            </w: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2,587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10,966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11,626</w:t>
            </w:r>
          </w:p>
        </w:tc>
      </w:tr>
      <w:tr>
        <w:trPr>
          <w:trHeight w:val="237"/>
        </w:trPr>
        <w:tc>
          <w:tcPr>
            <w:tcW w:w="40" w:type="dxa"/>
            <w:vAlign w:val="bottom"/>
          </w:tcPr>
          <w:p>
            <w:pPr>
              <w:spacing w:after="0"/>
              <w:rPr>
                <w:sz w:val="20"/>
                <w:szCs w:val="20"/>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1,723</w:t>
            </w:r>
          </w:p>
        </w:tc>
        <w:tc>
          <w:tcPr>
            <w:tcW w:w="1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6,439</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6,703</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 before gain on sale of real estate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4,377</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3,944</w:t>
            </w: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14,507</w:t>
            </w:r>
          </w:p>
        </w:tc>
      </w:tr>
      <w:tr>
        <w:trPr>
          <w:trHeight w:val="25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4,377</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18,451</w:t>
            </w: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21"/>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4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1"/>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189,929</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187,507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(43,023)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146,906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149,203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5,346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155,091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157,413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3,554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3,673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37,939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117,152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119,355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155,091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157,413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3" w:lineRule="exact"/>
        <w:rPr>
          <w:sz w:val="20"/>
          <w:szCs w:val="20"/>
          <w:color w:val="auto"/>
        </w:rPr>
      </w:pPr>
    </w:p>
    <w:p>
      <w:pPr>
        <w:ind w:left="5620" w:right="3180" w:hanging="5612"/>
        <w:spacing w:after="0" w:line="542" w:lineRule="auto"/>
        <w:tabs>
          <w:tab w:leader="none" w:pos="4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January 13, 2016, we acquired Clarion's 70% interest in the partnership, as further discussed on page 18. 28</w:t>
      </w:r>
    </w:p>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 (1)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vMerge w:val="restart"/>
          </w:tcPr>
          <w:p>
            <w:pPr>
              <w:jc w:val="center"/>
              <w:ind w:left="196"/>
              <w:spacing w:after="0"/>
              <w:rPr>
                <w:sz w:val="20"/>
                <w:szCs w:val="20"/>
                <w:color w:val="auto"/>
              </w:rPr>
            </w:pPr>
            <w:r>
              <w:rPr>
                <w:rFonts w:ascii="Arial" w:cs="Arial" w:eastAsia="Arial" w:hAnsi="Arial"/>
                <w:sz w:val="14"/>
                <w:szCs w:val="14"/>
                <w:b w:val="1"/>
                <w:bCs w:val="1"/>
                <w:color w:val="auto"/>
              </w:rPr>
              <w:t>Maturity</w:t>
            </w:r>
          </w:p>
        </w:tc>
        <w:tc>
          <w:tcPr>
            <w:tcW w:w="27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Stated Interest Rate as of</w:t>
            </w:r>
          </w:p>
        </w:tc>
        <w:tc>
          <w:tcPr>
            <w:tcW w:w="280" w:type="dxa"/>
            <w:vAlign w:val="bottom"/>
          </w:tcPr>
          <w:p>
            <w:pPr>
              <w:spacing w:after="0"/>
              <w:rPr>
                <w:sz w:val="14"/>
                <w:szCs w:val="14"/>
                <w:color w:val="auto"/>
              </w:rPr>
            </w:pPr>
          </w:p>
        </w:tc>
        <w:tc>
          <w:tcPr>
            <w:tcW w:w="14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197"/>
              <w:spacing w:after="0"/>
              <w:rPr>
                <w:sz w:val="20"/>
                <w:szCs w:val="20"/>
                <w:color w:val="auto"/>
              </w:rPr>
            </w:pPr>
            <w:r>
              <w:rPr>
                <w:rFonts w:ascii="Arial" w:cs="Arial" w:eastAsia="Arial" w:hAnsi="Arial"/>
                <w:sz w:val="14"/>
                <w:szCs w:val="14"/>
                <w:b w:val="1"/>
                <w:bCs w:val="1"/>
                <w:color w:val="auto"/>
                <w:w w:val="91"/>
              </w:rPr>
              <w:t>December 31, 2015</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3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40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12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40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400" w:type="dxa"/>
            <w:vAlign w:val="bottom"/>
            <w:tcBorders>
              <w:bottom w:val="single" w:sz="8" w:color="CCEEFF"/>
            </w:tcBorders>
            <w:shd w:val="clear" w:color="auto" w:fill="CCEEFF"/>
          </w:tcPr>
          <w:p>
            <w:pPr>
              <w:jc w:val="center"/>
              <w:ind w:left="196"/>
              <w:spacing w:after="0"/>
              <w:rPr>
                <w:sz w:val="20"/>
                <w:szCs w:val="20"/>
                <w:color w:val="auto"/>
              </w:rPr>
            </w:pPr>
            <w:r>
              <w:rPr>
                <w:rFonts w:ascii="Arial" w:cs="Arial" w:eastAsia="Arial" w:hAnsi="Arial"/>
                <w:sz w:val="18"/>
                <w:szCs w:val="18"/>
                <w:color w:val="auto"/>
                <w:w w:val="91"/>
              </w:rPr>
              <w:t>7/1/2016</w:t>
            </w:r>
          </w:p>
        </w:tc>
        <w:tc>
          <w:tcPr>
            <w:tcW w:w="2700" w:type="dxa"/>
            <w:vAlign w:val="bottom"/>
            <w:tcBorders>
              <w:bottom w:val="single" w:sz="8" w:color="CCEEFF"/>
            </w:tcBorders>
            <w:gridSpan w:val="2"/>
            <w:shd w:val="clear" w:color="auto" w:fill="CCEEFF"/>
          </w:tcPr>
          <w:p>
            <w:pPr>
              <w:ind w:left="1540"/>
              <w:spacing w:after="0"/>
              <w:rPr>
                <w:sz w:val="20"/>
                <w:szCs w:val="20"/>
                <w:color w:val="auto"/>
              </w:rPr>
            </w:pPr>
            <w:r>
              <w:rPr>
                <w:rFonts w:ascii="Arial" w:cs="Arial" w:eastAsia="Arial" w:hAnsi="Arial"/>
                <w:sz w:val="18"/>
                <w:szCs w:val="18"/>
                <w:color w:val="auto"/>
              </w:rPr>
              <w:t>5.99% (2)</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30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400" w:type="dxa"/>
            <w:vAlign w:val="bottom"/>
          </w:tcPr>
          <w:p>
            <w:pPr>
              <w:jc w:val="center"/>
              <w:ind w:left="196"/>
              <w:spacing w:after="0"/>
              <w:rPr>
                <w:sz w:val="20"/>
                <w:szCs w:val="20"/>
                <w:color w:val="auto"/>
              </w:rPr>
            </w:pPr>
            <w:r>
              <w:rPr>
                <w:rFonts w:ascii="Arial" w:cs="Arial" w:eastAsia="Arial" w:hAnsi="Arial"/>
                <w:sz w:val="18"/>
                <w:szCs w:val="18"/>
                <w:color w:val="auto"/>
                <w:w w:val="91"/>
              </w:rPr>
              <w:t>7/1/2016</w:t>
            </w:r>
          </w:p>
        </w:tc>
        <w:tc>
          <w:tcPr>
            <w:tcW w:w="2040" w:type="dxa"/>
            <w:vAlign w:val="bottom"/>
          </w:tcPr>
          <w:p>
            <w:pPr>
              <w:ind w:left="1540"/>
              <w:spacing w:after="0"/>
              <w:rPr>
                <w:sz w:val="20"/>
                <w:szCs w:val="20"/>
                <w:color w:val="auto"/>
              </w:rPr>
            </w:pPr>
            <w:r>
              <w:rPr>
                <w:rFonts w:ascii="Arial" w:cs="Arial" w:eastAsia="Arial" w:hAnsi="Arial"/>
                <w:sz w:val="18"/>
                <w:szCs w:val="18"/>
                <w:color w:val="auto"/>
                <w:w w:val="93"/>
              </w:rPr>
              <w:t>5.90%</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7"/>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27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Total Fixed Rate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34,385</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Year</w:t>
            </w:r>
          </w:p>
        </w:tc>
        <w:tc>
          <w:tcPr>
            <w:tcW w:w="2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Scheduled Amortization</w:t>
            </w:r>
          </w:p>
        </w:tc>
        <w:tc>
          <w:tcPr>
            <w:tcW w:w="13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Maturities</w:t>
            </w:r>
          </w:p>
        </w:tc>
        <w:tc>
          <w:tcPr>
            <w:tcW w:w="460" w:type="dxa"/>
            <w:vAlign w:val="bottom"/>
          </w:tcPr>
          <w:p>
            <w:pPr>
              <w:spacing w:after="0"/>
              <w:rPr>
                <w:sz w:val="14"/>
                <w:szCs w:val="14"/>
                <w:color w:val="auto"/>
              </w:rPr>
            </w:pPr>
          </w:p>
        </w:tc>
        <w:tc>
          <w:tcPr>
            <w:tcW w:w="134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2015</w:t>
            </w:r>
          </w:p>
        </w:tc>
        <w:tc>
          <w:tcPr>
            <w:tcW w:w="760" w:type="dxa"/>
            <w:vAlign w:val="bottom"/>
            <w:tcBorders>
              <w:bottom w:val="single" w:sz="8" w:color="CCEEFF"/>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78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200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1660" w:type="dxa"/>
            <w:vAlign w:val="bottom"/>
          </w:tcPr>
          <w:p>
            <w:pPr>
              <w:jc w:val="right"/>
              <w:ind w:right="14"/>
              <w:spacing w:after="0"/>
              <w:rPr>
                <w:sz w:val="20"/>
                <w:szCs w:val="20"/>
                <w:color w:val="auto"/>
              </w:rPr>
            </w:pPr>
            <w:r>
              <w:rPr>
                <w:rFonts w:ascii="Arial" w:cs="Arial" w:eastAsia="Arial" w:hAnsi="Arial"/>
                <w:sz w:val="18"/>
                <w:szCs w:val="18"/>
                <w:color w:val="auto"/>
              </w:rPr>
              <w:t>2016</w:t>
            </w:r>
          </w:p>
        </w:tc>
        <w:tc>
          <w:tcPr>
            <w:tcW w:w="760" w:type="dxa"/>
            <w:vAlign w:val="bottom"/>
          </w:tcPr>
          <w:p>
            <w:pPr>
              <w:spacing w:after="0"/>
              <w:rPr>
                <w:sz w:val="21"/>
                <w:szCs w:val="21"/>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Pr>
          <w:p>
            <w:pPr>
              <w:spacing w:after="0"/>
              <w:rPr>
                <w:sz w:val="21"/>
                <w:szCs w:val="21"/>
                <w:color w:val="auto"/>
              </w:rPr>
            </w:pPr>
          </w:p>
        </w:tc>
        <w:tc>
          <w:tcPr>
            <w:tcW w:w="1340" w:type="dxa"/>
            <w:vAlign w:val="bottom"/>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1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34,385</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3" w:lineRule="exact"/>
        <w:rPr>
          <w:sz w:val="20"/>
          <w:szCs w:val="20"/>
          <w:color w:val="auto"/>
        </w:rPr>
      </w:pPr>
    </w:p>
    <w:p>
      <w:pPr>
        <w:ind w:left="400" w:hanging="392"/>
        <w:spacing w:after="0"/>
        <w:tabs>
          <w:tab w:leader="none" w:pos="4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January 13, 2016, we acquired Clarion's 70% interest in the partnership, as further discussed on page 18.</w:t>
      </w:r>
    </w:p>
    <w:p>
      <w:pPr>
        <w:spacing w:after="0" w:line="9" w:lineRule="exact"/>
        <w:rPr>
          <w:rFonts w:ascii="Arial" w:cs="Arial" w:eastAsia="Arial" w:hAnsi="Arial"/>
          <w:sz w:val="18"/>
          <w:szCs w:val="18"/>
          <w:color w:val="auto"/>
        </w:rPr>
      </w:pPr>
    </w:p>
    <w:p>
      <w:pPr>
        <w:ind w:left="660" w:right="40" w:hanging="652"/>
        <w:spacing w:after="0" w:line="26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the note of $16.6 million at a stated rate of 6.06% and a note of $4.2 million at a stated rate of 5.71%.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2" w:name="page33"/>
    <w:bookmarkEnd w:id="32"/>
    <w:p>
      <w:pPr>
        <w:ind w:left="2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Real Estate Status Report - 30% Owned Joint Venture (1)</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2015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center"/>
              <w:ind w:right="18"/>
              <w:spacing w:after="0"/>
              <w:rPr>
                <w:sz w:val="20"/>
                <w:szCs w:val="20"/>
                <w:color w:val="auto"/>
              </w:rPr>
            </w:pPr>
            <w:r>
              <w:rPr>
                <w:rFonts w:ascii="Arial" w:cs="Arial" w:eastAsia="Arial" w:hAnsi="Arial"/>
                <w:sz w:val="13"/>
                <w:szCs w:val="13"/>
                <w:b w:val="1"/>
                <w:bCs w:val="1"/>
                <w:color w:val="auto"/>
                <w:w w:val="87"/>
              </w:rPr>
              <w:t>Real</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3"/>
                <w:szCs w:val="13"/>
                <w:b w:val="1"/>
                <w:bCs w:val="1"/>
                <w:color w:val="auto"/>
                <w:w w:val="81"/>
              </w:rPr>
              <w:t>Avg</w:t>
            </w: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3"/>
                <w:szCs w:val="13"/>
                <w:color w:val="auto"/>
              </w:rPr>
            </w:pPr>
          </w:p>
        </w:tc>
        <w:tc>
          <w:tcPr>
            <w:tcW w:w="23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560" w:type="dxa"/>
            <w:vAlign w:val="bottom"/>
          </w:tcPr>
          <w:p>
            <w:pPr>
              <w:jc w:val="center"/>
              <w:ind w:right="18"/>
              <w:spacing w:after="0" w:line="135" w:lineRule="exact"/>
              <w:rPr>
                <w:sz w:val="20"/>
                <w:szCs w:val="20"/>
                <w:color w:val="auto"/>
              </w:rPr>
            </w:pPr>
            <w:r>
              <w:rPr>
                <w:rFonts w:ascii="Arial" w:cs="Arial" w:eastAsia="Arial" w:hAnsi="Arial"/>
                <w:sz w:val="13"/>
                <w:szCs w:val="13"/>
                <w:b w:val="1"/>
                <w:bCs w:val="1"/>
                <w:color w:val="auto"/>
                <w:w w:val="88"/>
              </w:rPr>
              <w:t>Estate at</w:t>
            </w:r>
          </w:p>
        </w:tc>
        <w:tc>
          <w:tcPr>
            <w:tcW w:w="6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Mortgage</w:t>
            </w:r>
          </w:p>
        </w:tc>
        <w:tc>
          <w:tcPr>
            <w:tcW w:w="52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w:t>
            </w: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Rent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2360" w:type="dxa"/>
            <w:vAlign w:val="bottom"/>
          </w:tcPr>
          <w:p>
            <w:pPr>
              <w:spacing w:after="0"/>
              <w:rPr>
                <w:sz w:val="11"/>
                <w:szCs w:val="11"/>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Property Name</w:t>
            </w:r>
          </w:p>
        </w:tc>
        <w:tc>
          <w:tcPr>
            <w:tcW w:w="19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MSA Description</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82"/>
              </w:rPr>
              <w:t>Cost</w:t>
            </w: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Obligation</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1"/>
              </w:rPr>
              <w:t>Occupied</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PSF (2)</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23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18"/>
              <w:spacing w:after="0"/>
              <w:rPr>
                <w:sz w:val="20"/>
                <w:szCs w:val="20"/>
                <w:color w:val="auto"/>
              </w:rPr>
            </w:pPr>
            <w:r>
              <w:rPr>
                <w:rFonts w:ascii="Arial" w:cs="Arial" w:eastAsia="Arial" w:hAnsi="Arial"/>
                <w:sz w:val="11"/>
                <w:szCs w:val="11"/>
                <w:color w:val="auto"/>
                <w:w w:val="97"/>
              </w:rPr>
              <w:t>(in</w:t>
            </w:r>
          </w:p>
        </w:tc>
        <w:tc>
          <w:tcPr>
            <w:tcW w:w="100" w:type="dxa"/>
            <w:vAlign w:val="bottom"/>
          </w:tcPr>
          <w:p>
            <w:pPr>
              <w:spacing w:after="0"/>
              <w:rPr>
                <w:sz w:val="12"/>
                <w:szCs w:val="12"/>
                <w:color w:val="auto"/>
              </w:rPr>
            </w:pPr>
          </w:p>
        </w:tc>
        <w:tc>
          <w:tcPr>
            <w:tcW w:w="580" w:type="dxa"/>
            <w:vAlign w:val="bottom"/>
          </w:tcPr>
          <w:p>
            <w:pPr>
              <w:jc w:val="center"/>
              <w:ind w:right="1"/>
              <w:spacing w:after="0"/>
              <w:rPr>
                <w:sz w:val="20"/>
                <w:szCs w:val="20"/>
                <w:color w:val="auto"/>
              </w:rPr>
            </w:pPr>
            <w:r>
              <w:rPr>
                <w:rFonts w:ascii="Arial" w:cs="Arial" w:eastAsia="Arial" w:hAnsi="Arial"/>
                <w:sz w:val="11"/>
                <w:szCs w:val="11"/>
                <w:color w:val="auto"/>
                <w:w w:val="97"/>
              </w:rPr>
              <w:t>(in</w:t>
            </w: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18"/>
              <w:spacing w:after="0"/>
              <w:rPr>
                <w:sz w:val="20"/>
                <w:szCs w:val="20"/>
                <w:color w:val="auto"/>
              </w:rPr>
            </w:pPr>
            <w:r>
              <w:rPr>
                <w:rFonts w:ascii="Arial" w:cs="Arial" w:eastAsia="Arial" w:hAnsi="Arial"/>
                <w:sz w:val="11"/>
                <w:szCs w:val="11"/>
                <w:color w:val="auto"/>
                <w:w w:val="88"/>
              </w:rPr>
              <w:t>thousands)</w:t>
            </w:r>
          </w:p>
        </w:tc>
        <w:tc>
          <w:tcPr>
            <w:tcW w:w="100" w:type="dxa"/>
            <w:vAlign w:val="bottom"/>
          </w:tcPr>
          <w:p>
            <w:pPr>
              <w:spacing w:after="0"/>
              <w:rPr>
                <w:sz w:val="11"/>
                <w:szCs w:val="11"/>
                <w:color w:val="auto"/>
              </w:rPr>
            </w:pPr>
          </w:p>
        </w:tc>
        <w:tc>
          <w:tcPr>
            <w:tcW w:w="580" w:type="dxa"/>
            <w:vAlign w:val="bottom"/>
          </w:tcPr>
          <w:p>
            <w:pPr>
              <w:jc w:val="center"/>
              <w:ind w:right="41"/>
              <w:spacing w:after="0"/>
              <w:rPr>
                <w:sz w:val="20"/>
                <w:szCs w:val="20"/>
                <w:color w:val="auto"/>
              </w:rPr>
            </w:pPr>
            <w:r>
              <w:rPr>
                <w:rFonts w:ascii="Arial" w:cs="Arial" w:eastAsia="Arial" w:hAnsi="Arial"/>
                <w:sz w:val="11"/>
                <w:szCs w:val="11"/>
                <w:color w:val="auto"/>
                <w:w w:val="88"/>
              </w:rPr>
              <w:t>thousands)</w:t>
            </w: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36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gridSpan w:val="5"/>
            <w:shd w:val="clear" w:color="auto" w:fill="CCEEFF"/>
          </w:tcPr>
          <w:p>
            <w:pPr>
              <w:ind w:left="60"/>
              <w:spacing w:after="0"/>
              <w:rPr>
                <w:sz w:val="20"/>
                <w:szCs w:val="20"/>
                <w:color w:val="auto"/>
              </w:rPr>
            </w:pPr>
            <w:r>
              <w:rPr>
                <w:rFonts w:ascii="Arial" w:cs="Arial" w:eastAsia="Arial" w:hAnsi="Arial"/>
                <w:sz w:val="13"/>
                <w:szCs w:val="13"/>
                <w:b w:val="1"/>
                <w:bCs w:val="1"/>
                <w:color w:val="auto"/>
                <w:w w:val="89"/>
              </w:rPr>
              <w:t>Washington Metropolitan Area</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CCEEFF"/>
            </w:tcBorders>
            <w:shd w:val="clear" w:color="auto" w:fill="CCEEFF"/>
          </w:tcPr>
          <w:p>
            <w:pPr>
              <w:spacing w:after="0"/>
              <w:rPr>
                <w:sz w:val="21"/>
                <w:szCs w:val="21"/>
                <w:color w:val="auto"/>
              </w:rPr>
            </w:pPr>
          </w:p>
        </w:tc>
      </w:tr>
      <w:tr>
        <w:trPr>
          <w:trHeight w:val="262"/>
        </w:trPr>
        <w:tc>
          <w:tcPr>
            <w:tcW w:w="20" w:type="dxa"/>
            <w:vAlign w:val="bottom"/>
          </w:tcPr>
          <w:p>
            <w:pPr>
              <w:spacing w:after="0"/>
              <w:rPr>
                <w:sz w:val="22"/>
                <w:szCs w:val="22"/>
                <w:color w:val="auto"/>
              </w:rPr>
            </w:pPr>
          </w:p>
        </w:tc>
        <w:tc>
          <w:tcPr>
            <w:tcW w:w="1300" w:type="dxa"/>
            <w:vAlign w:val="bottom"/>
            <w:gridSpan w:val="4"/>
          </w:tcPr>
          <w:p>
            <w:pPr>
              <w:spacing w:after="0"/>
              <w:rPr>
                <w:sz w:val="20"/>
                <w:szCs w:val="20"/>
                <w:color w:val="auto"/>
              </w:rPr>
            </w:pPr>
            <w:r>
              <w:rPr>
                <w:rFonts w:ascii="Arial" w:cs="Arial" w:eastAsia="Arial" w:hAnsi="Arial"/>
                <w:sz w:val="13"/>
                <w:szCs w:val="13"/>
                <w:color w:val="auto"/>
              </w:rPr>
              <w:t>Barcroft Plaza</w:t>
            </w:r>
          </w:p>
        </w:tc>
        <w:tc>
          <w:tcPr>
            <w:tcW w:w="1960" w:type="dxa"/>
            <w:vAlign w:val="bottom"/>
            <w:gridSpan w:val="2"/>
          </w:tcPr>
          <w:p>
            <w:pPr>
              <w:ind w:left="280"/>
              <w:spacing w:after="0"/>
              <w:rPr>
                <w:sz w:val="20"/>
                <w:szCs w:val="20"/>
                <w:color w:val="auto"/>
              </w:rPr>
            </w:pPr>
            <w:r>
              <w:rPr>
                <w:rFonts w:ascii="Arial" w:cs="Arial" w:eastAsia="Arial" w:hAnsi="Arial"/>
                <w:sz w:val="13"/>
                <w:szCs w:val="13"/>
                <w:color w:val="auto"/>
              </w:rPr>
              <w:t>Washington, DC-MD-VA</w:t>
            </w:r>
          </w:p>
        </w:tc>
        <w:tc>
          <w:tcPr>
            <w:tcW w:w="780" w:type="dxa"/>
            <w:vAlign w:val="bottom"/>
          </w:tcPr>
          <w:p>
            <w:pPr>
              <w:jc w:val="right"/>
              <w:spacing w:after="0"/>
              <w:rPr>
                <w:sz w:val="20"/>
                <w:szCs w:val="20"/>
                <w:color w:val="auto"/>
              </w:rPr>
            </w:pPr>
            <w:r>
              <w:rPr>
                <w:rFonts w:ascii="Arial" w:cs="Arial" w:eastAsia="Arial" w:hAnsi="Arial"/>
                <w:sz w:val="13"/>
                <w:szCs w:val="13"/>
                <w:color w:val="auto"/>
              </w:rPr>
              <w:t>2006-2007</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35,600</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61"/>
              <w:spacing w:after="0"/>
              <w:rPr>
                <w:sz w:val="20"/>
                <w:szCs w:val="20"/>
                <w:color w:val="auto"/>
              </w:rPr>
            </w:pPr>
            <w:r>
              <w:rPr>
                <w:rFonts w:ascii="Arial" w:cs="Arial" w:eastAsia="Arial" w:hAnsi="Arial"/>
                <w:sz w:val="13"/>
                <w:szCs w:val="13"/>
                <w:color w:val="auto"/>
              </w:rPr>
              <w:t>20,785</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right"/>
              <w:spacing w:after="0"/>
              <w:rPr>
                <w:sz w:val="20"/>
                <w:szCs w:val="20"/>
                <w:color w:val="auto"/>
              </w:rPr>
            </w:pPr>
            <w:r>
              <w:rPr>
                <w:rFonts w:ascii="Arial" w:cs="Arial" w:eastAsia="Arial" w:hAnsi="Arial"/>
                <w:sz w:val="13"/>
                <w:szCs w:val="13"/>
                <w:color w:val="auto"/>
              </w:rPr>
              <w:t>81%</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w w:val="87"/>
              </w:rPr>
              <w:t>$ 24.61</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36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Free State Shopping</w:t>
            </w:r>
          </w:p>
        </w:tc>
        <w:tc>
          <w:tcPr>
            <w:tcW w:w="4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w w:val="98"/>
              </w:rPr>
              <w:t>TJ Maxx / Ross Dress For Less / Office</w:t>
            </w:r>
          </w:p>
        </w:tc>
      </w:tr>
      <w:tr>
        <w:trPr>
          <w:trHeight w:val="176"/>
        </w:trPr>
        <w:tc>
          <w:tcPr>
            <w:tcW w:w="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Center</w:t>
            </w: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Washington, DC-MD-VA</w:t>
            </w:r>
          </w:p>
        </w:tc>
        <w:tc>
          <w:tcPr>
            <w:tcW w:w="7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2007</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67,317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16.61</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Depot</w:t>
            </w:r>
          </w:p>
        </w:tc>
      </w:tr>
      <w:tr>
        <w:trPr>
          <w:trHeight w:val="264"/>
        </w:trPr>
        <w:tc>
          <w:tcPr>
            <w:tcW w:w="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gridSpan w:val="4"/>
          </w:tcPr>
          <w:p>
            <w:pPr>
              <w:spacing w:after="0"/>
              <w:rPr>
                <w:sz w:val="20"/>
                <w:szCs w:val="20"/>
                <w:color w:val="auto"/>
              </w:rPr>
            </w:pPr>
            <w:r>
              <w:rPr>
                <w:rFonts w:ascii="Arial" w:cs="Arial" w:eastAsia="Arial" w:hAnsi="Arial"/>
                <w:sz w:val="13"/>
                <w:szCs w:val="13"/>
                <w:color w:val="auto"/>
              </w:rPr>
              <w:t>Plaza del Mercado</w:t>
            </w:r>
          </w:p>
        </w:tc>
        <w:tc>
          <w:tcPr>
            <w:tcW w:w="1960" w:type="dxa"/>
            <w:vAlign w:val="bottom"/>
            <w:tcBorders>
              <w:bottom w:val="single" w:sz="8" w:color="CCEEFF"/>
            </w:tcBorders>
            <w:gridSpan w:val="2"/>
          </w:tcPr>
          <w:p>
            <w:pPr>
              <w:ind w:left="280"/>
              <w:spacing w:after="0"/>
              <w:rPr>
                <w:sz w:val="20"/>
                <w:szCs w:val="20"/>
                <w:color w:val="auto"/>
              </w:rPr>
            </w:pPr>
            <w:r>
              <w:rPr>
                <w:rFonts w:ascii="Arial" w:cs="Arial" w:eastAsia="Arial" w:hAnsi="Arial"/>
                <w:sz w:val="13"/>
                <w:szCs w:val="13"/>
                <w:color w:val="auto"/>
              </w:rPr>
              <w:t>Washington, DC-MD-VA</w:t>
            </w:r>
          </w:p>
        </w:tc>
        <w:tc>
          <w:tcPr>
            <w:tcW w:w="780" w:type="dxa"/>
            <w:vAlign w:val="bottom"/>
            <w:tcBorders>
              <w:bottom w:val="single" w:sz="8" w:color="CCEEFF"/>
            </w:tcBorders>
          </w:tcPr>
          <w:p>
            <w:pPr>
              <w:jc w:val="right"/>
              <w:ind w:right="317"/>
              <w:spacing w:after="0"/>
              <w:rPr>
                <w:sz w:val="20"/>
                <w:szCs w:val="20"/>
                <w:color w:val="auto"/>
              </w:rPr>
            </w:pPr>
            <w:r>
              <w:rPr>
                <w:rFonts w:ascii="Arial" w:cs="Arial" w:eastAsia="Arial" w:hAnsi="Arial"/>
                <w:sz w:val="13"/>
                <w:szCs w:val="13"/>
                <w:color w:val="auto"/>
              </w:rPr>
              <w:t>2004</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22,640</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35.46</w:t>
            </w:r>
          </w:p>
        </w:tc>
        <w:tc>
          <w:tcPr>
            <w:tcW w:w="6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257"/>
        </w:trPr>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740" w:type="dxa"/>
            <w:vAlign w:val="bottom"/>
            <w:gridSpan w:val="3"/>
            <w:shd w:val="clear" w:color="auto" w:fill="CCEEFF"/>
          </w:tcPr>
          <w:p>
            <w:pPr>
              <w:ind w:left="280"/>
              <w:spacing w:after="0"/>
              <w:rPr>
                <w:sz w:val="20"/>
                <w:szCs w:val="20"/>
                <w:color w:val="auto"/>
              </w:rPr>
            </w:pPr>
            <w:r>
              <w:rPr>
                <w:rFonts w:ascii="Arial" w:cs="Arial" w:eastAsia="Arial" w:hAnsi="Arial"/>
                <w:sz w:val="13"/>
                <w:szCs w:val="13"/>
                <w:b w:val="1"/>
                <w:bCs w:val="1"/>
                <w:color w:val="auto"/>
              </w:rPr>
              <w:t>Total Washington Metropolitan Area</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125,557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21.03</w:t>
            </w: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1300" w:type="dxa"/>
            <w:vAlign w:val="bottom"/>
            <w:gridSpan w:val="4"/>
          </w:tcPr>
          <w:p>
            <w:pPr>
              <w:ind w:left="80"/>
              <w:spacing w:after="0"/>
              <w:rPr>
                <w:sz w:val="20"/>
                <w:szCs w:val="20"/>
                <w:color w:val="auto"/>
              </w:rPr>
            </w:pPr>
            <w:r>
              <w:rPr>
                <w:rFonts w:ascii="Arial" w:cs="Arial" w:eastAsia="Arial" w:hAnsi="Arial"/>
                <w:sz w:val="13"/>
                <w:szCs w:val="13"/>
                <w:b w:val="1"/>
                <w:bCs w:val="1"/>
                <w:color w:val="auto"/>
              </w:rPr>
              <w:t>New York / New</w:t>
            </w: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360" w:type="dxa"/>
            <w:vAlign w:val="bottom"/>
          </w:tcPr>
          <w:p>
            <w:pPr>
              <w:spacing w:after="0"/>
              <w:rPr>
                <w:sz w:val="12"/>
                <w:szCs w:val="12"/>
                <w:color w:val="auto"/>
              </w:rPr>
            </w:pPr>
          </w:p>
        </w:tc>
      </w:tr>
      <w:tr>
        <w:trPr>
          <w:trHeight w:val="115"/>
        </w:trPr>
        <w:tc>
          <w:tcPr>
            <w:tcW w:w="20" w:type="dxa"/>
            <w:vAlign w:val="bottom"/>
          </w:tcPr>
          <w:p>
            <w:pPr>
              <w:spacing w:after="0"/>
              <w:rPr>
                <w:sz w:val="10"/>
                <w:szCs w:val="10"/>
                <w:color w:val="auto"/>
              </w:rPr>
            </w:pPr>
          </w:p>
        </w:tc>
        <w:tc>
          <w:tcPr>
            <w:tcW w:w="94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Jersey</w:t>
            </w: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60" w:type="dxa"/>
            <w:vAlign w:val="bottom"/>
          </w:tcPr>
          <w:p>
            <w:pPr>
              <w:spacing w:after="0"/>
              <w:rPr>
                <w:sz w:val="10"/>
                <w:szCs w:val="10"/>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300" w:type="dxa"/>
            <w:vAlign w:val="bottom"/>
            <w:gridSpan w:val="4"/>
            <w:shd w:val="clear" w:color="auto" w:fill="CCEEFF"/>
          </w:tcPr>
          <w:p>
            <w:pPr>
              <w:spacing w:after="0" w:line="148" w:lineRule="exact"/>
              <w:rPr>
                <w:sz w:val="20"/>
                <w:szCs w:val="20"/>
                <w:color w:val="auto"/>
              </w:rPr>
            </w:pPr>
            <w:r>
              <w:rPr>
                <w:rFonts w:ascii="Arial" w:cs="Arial" w:eastAsia="Arial" w:hAnsi="Arial"/>
                <w:sz w:val="13"/>
                <w:szCs w:val="13"/>
                <w:color w:val="auto"/>
              </w:rPr>
              <w:t>Greenlawn Plaza</w:t>
            </w:r>
          </w:p>
        </w:tc>
        <w:tc>
          <w:tcPr>
            <w:tcW w:w="1960" w:type="dxa"/>
            <w:vAlign w:val="bottom"/>
            <w:gridSpan w:val="2"/>
            <w:shd w:val="clear" w:color="auto" w:fill="CCEEFF"/>
          </w:tcPr>
          <w:p>
            <w:pPr>
              <w:ind w:left="280"/>
              <w:spacing w:after="0" w:line="148" w:lineRule="exact"/>
              <w:rPr>
                <w:sz w:val="20"/>
                <w:szCs w:val="20"/>
                <w:color w:val="auto"/>
              </w:rPr>
            </w:pPr>
            <w:r>
              <w:rPr>
                <w:rFonts w:ascii="Arial" w:cs="Arial" w:eastAsia="Arial" w:hAnsi="Arial"/>
                <w:sz w:val="13"/>
                <w:szCs w:val="13"/>
                <w:color w:val="auto"/>
              </w:rPr>
              <w:t>Nassau-Suffolk, NY</w:t>
            </w:r>
          </w:p>
        </w:tc>
        <w:tc>
          <w:tcPr>
            <w:tcW w:w="780" w:type="dxa"/>
            <w:vAlign w:val="bottom"/>
            <w:shd w:val="clear" w:color="auto" w:fill="CCEEFF"/>
          </w:tcPr>
          <w:p>
            <w:pPr>
              <w:jc w:val="right"/>
              <w:ind w:right="317"/>
              <w:spacing w:after="0" w:line="148" w:lineRule="exact"/>
              <w:rPr>
                <w:sz w:val="20"/>
                <w:szCs w:val="20"/>
                <w:color w:val="auto"/>
              </w:rPr>
            </w:pPr>
            <w:r>
              <w:rPr>
                <w:rFonts w:ascii="Arial" w:cs="Arial" w:eastAsia="Arial" w:hAnsi="Arial"/>
                <w:sz w:val="13"/>
                <w:szCs w:val="13"/>
                <w:color w:val="auto"/>
              </w:rPr>
              <w:t>2006</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21,102</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1"/>
              <w:spacing w:after="0" w:line="148" w:lineRule="exact"/>
              <w:rPr>
                <w:sz w:val="20"/>
                <w:szCs w:val="20"/>
                <w:color w:val="auto"/>
              </w:rPr>
            </w:pPr>
            <w:r>
              <w:rPr>
                <w:rFonts w:ascii="Arial" w:cs="Arial" w:eastAsia="Arial" w:hAnsi="Arial"/>
                <w:sz w:val="13"/>
                <w:szCs w:val="13"/>
                <w:color w:val="auto"/>
              </w:rPr>
              <w:t>13,600</w:t>
            </w:r>
          </w:p>
        </w:tc>
        <w:tc>
          <w:tcPr>
            <w:tcW w:w="5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w w:val="89"/>
              </w:rPr>
              <w:t>106,000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52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17.18</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Greenlawn</w:t>
            </w:r>
          </w:p>
        </w:tc>
        <w:tc>
          <w:tcPr>
            <w:tcW w:w="236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Tuesday Morning</w:t>
            </w:r>
          </w:p>
        </w:tc>
      </w:tr>
      <w:tr>
        <w:trPr>
          <w:trHeight w:val="176"/>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Farms</w:t>
            </w:r>
          </w:p>
        </w:tc>
        <w:tc>
          <w:tcPr>
            <w:tcW w:w="2360" w:type="dxa"/>
            <w:vAlign w:val="bottom"/>
            <w:shd w:val="clear" w:color="auto" w:fill="CCEEFF"/>
          </w:tcPr>
          <w:p>
            <w:pPr>
              <w:spacing w:after="0"/>
              <w:rPr>
                <w:sz w:val="15"/>
                <w:szCs w:val="15"/>
                <w:color w:val="auto"/>
              </w:rPr>
            </w:pPr>
          </w:p>
        </w:tc>
      </w:tr>
      <w:tr>
        <w:trPr>
          <w:trHeight w:val="242"/>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60" w:type="dxa"/>
            <w:vAlign w:val="bottom"/>
            <w:gridSpan w:val="2"/>
          </w:tcPr>
          <w:p>
            <w:pPr>
              <w:ind w:left="280"/>
              <w:spacing w:after="0"/>
              <w:rPr>
                <w:sz w:val="20"/>
                <w:szCs w:val="20"/>
                <w:color w:val="auto"/>
              </w:rPr>
            </w:pPr>
            <w:r>
              <w:rPr>
                <w:rFonts w:ascii="Arial" w:cs="Arial" w:eastAsia="Arial" w:hAnsi="Arial"/>
                <w:sz w:val="13"/>
                <w:szCs w:val="13"/>
                <w:b w:val="1"/>
                <w:bCs w:val="1"/>
                <w:color w:val="auto"/>
                <w:w w:val="94"/>
              </w:rPr>
              <w:t>Total New York / New Jersey</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38"/>
              <w:spacing w:after="0"/>
              <w:rPr>
                <w:sz w:val="20"/>
                <w:szCs w:val="20"/>
                <w:color w:val="auto"/>
              </w:rPr>
            </w:pPr>
            <w:r>
              <w:rPr>
                <w:rFonts w:ascii="Arial" w:cs="Arial" w:eastAsia="Arial" w:hAnsi="Arial"/>
                <w:sz w:val="13"/>
                <w:szCs w:val="13"/>
                <w:color w:val="auto"/>
              </w:rPr>
              <w:t>21,102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20" w:type="dxa"/>
            <w:vAlign w:val="bottom"/>
          </w:tcPr>
          <w:p>
            <w:pPr>
              <w:jc w:val="right"/>
              <w:ind w:right="17"/>
              <w:spacing w:after="0"/>
              <w:rPr>
                <w:sz w:val="20"/>
                <w:szCs w:val="20"/>
                <w:color w:val="auto"/>
              </w:rPr>
            </w:pPr>
            <w:r>
              <w:rPr>
                <w:rFonts w:ascii="Arial" w:cs="Arial" w:eastAsia="Arial" w:hAnsi="Arial"/>
                <w:sz w:val="13"/>
                <w:szCs w:val="13"/>
                <w:color w:val="auto"/>
                <w:w w:val="89"/>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right"/>
              <w:spacing w:after="0"/>
              <w:rPr>
                <w:sz w:val="20"/>
                <w:szCs w:val="20"/>
                <w:color w:val="auto"/>
              </w:rPr>
            </w:pPr>
            <w:r>
              <w:rPr>
                <w:rFonts w:ascii="Arial" w:cs="Arial" w:eastAsia="Arial" w:hAnsi="Arial"/>
                <w:sz w:val="13"/>
                <w:szCs w:val="13"/>
                <w:color w:val="auto"/>
              </w:rPr>
              <w:t>93%</w:t>
            </w: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17.18</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58"/>
        </w:trPr>
        <w:tc>
          <w:tcPr>
            <w:tcW w:w="20" w:type="dxa"/>
            <w:vAlign w:val="bottom"/>
            <w:shd w:val="clear" w:color="auto" w:fill="CCEEFF"/>
          </w:tcPr>
          <w:p>
            <w:pPr>
              <w:spacing w:after="0"/>
              <w:rPr>
                <w:sz w:val="22"/>
                <w:szCs w:val="22"/>
                <w:color w:val="auto"/>
              </w:rPr>
            </w:pPr>
          </w:p>
        </w:tc>
        <w:tc>
          <w:tcPr>
            <w:tcW w:w="1300" w:type="dxa"/>
            <w:vAlign w:val="bottom"/>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New England</w:t>
            </w:r>
          </w:p>
        </w:tc>
        <w:tc>
          <w:tcPr>
            <w:tcW w:w="4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3"/>
                <w:szCs w:val="13"/>
                <w:color w:val="auto"/>
                <w:w w:val="93"/>
              </w:rPr>
              <w:t>Atlantic Plaza</w:t>
            </w:r>
          </w:p>
        </w:tc>
        <w:tc>
          <w:tcPr>
            <w:tcW w:w="540" w:type="dxa"/>
            <w:vAlign w:val="bottom"/>
            <w:tcBorders>
              <w:top w:val="single" w:sz="8" w:color="CCEEFF"/>
            </w:tcBorders>
            <w:gridSpan w:val="2"/>
          </w:tcPr>
          <w:p>
            <w:pPr>
              <w:spacing w:after="0"/>
              <w:rPr>
                <w:sz w:val="12"/>
                <w:szCs w:val="12"/>
                <w:color w:val="auto"/>
              </w:rPr>
            </w:pPr>
          </w:p>
        </w:tc>
        <w:tc>
          <w:tcPr>
            <w:tcW w:w="1960" w:type="dxa"/>
            <w:vAlign w:val="bottom"/>
            <w:tcBorders>
              <w:top w:val="single" w:sz="8" w:color="CCEEFF"/>
            </w:tcBorders>
            <w:gridSpan w:val="2"/>
          </w:tcPr>
          <w:p>
            <w:pPr>
              <w:ind w:left="280"/>
              <w:spacing w:after="0" w:line="148" w:lineRule="exact"/>
              <w:rPr>
                <w:sz w:val="20"/>
                <w:szCs w:val="20"/>
                <w:color w:val="auto"/>
              </w:rPr>
            </w:pPr>
            <w:r>
              <w:rPr>
                <w:rFonts w:ascii="Arial" w:cs="Arial" w:eastAsia="Arial" w:hAnsi="Arial"/>
                <w:sz w:val="13"/>
                <w:szCs w:val="13"/>
                <w:color w:val="auto"/>
                <w:w w:val="98"/>
              </w:rPr>
              <w:t>Boston-Worcester-Lawrence-</w:t>
            </w:r>
          </w:p>
        </w:tc>
        <w:tc>
          <w:tcPr>
            <w:tcW w:w="780" w:type="dxa"/>
            <w:vAlign w:val="bottom"/>
            <w:tcBorders>
              <w:top w:val="single" w:sz="8" w:color="CCEEFF"/>
            </w:tcBorders>
          </w:tcPr>
          <w:p>
            <w:pPr>
              <w:jc w:val="right"/>
              <w:ind w:right="317"/>
              <w:spacing w:after="0" w:line="148" w:lineRule="exact"/>
              <w:rPr>
                <w:sz w:val="20"/>
                <w:szCs w:val="20"/>
                <w:color w:val="auto"/>
              </w:rPr>
            </w:pPr>
            <w:r>
              <w:rPr>
                <w:rFonts w:ascii="Arial" w:cs="Arial" w:eastAsia="Arial" w:hAnsi="Arial"/>
                <w:sz w:val="13"/>
                <w:szCs w:val="13"/>
                <w:color w:val="auto"/>
              </w:rPr>
              <w:t>2004</w:t>
            </w: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jc w:val="right"/>
              <w:ind w:right="38"/>
              <w:spacing w:after="0" w:line="148" w:lineRule="exact"/>
              <w:rPr>
                <w:sz w:val="20"/>
                <w:szCs w:val="20"/>
                <w:color w:val="auto"/>
              </w:rPr>
            </w:pPr>
            <w:r>
              <w:rPr>
                <w:rFonts w:ascii="Arial" w:cs="Arial" w:eastAsia="Arial" w:hAnsi="Arial"/>
                <w:sz w:val="13"/>
                <w:szCs w:val="13"/>
                <w:color w:val="auto"/>
              </w:rPr>
              <w:t>20,237</w:t>
            </w: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jc w:val="right"/>
              <w:ind w:right="17"/>
              <w:spacing w:after="0" w:line="148" w:lineRule="exact"/>
              <w:rPr>
                <w:sz w:val="20"/>
                <w:szCs w:val="20"/>
                <w:color w:val="auto"/>
              </w:rPr>
            </w:pPr>
            <w:r>
              <w:rPr>
                <w:rFonts w:ascii="Arial" w:cs="Arial" w:eastAsia="Arial" w:hAnsi="Arial"/>
                <w:sz w:val="13"/>
                <w:szCs w:val="13"/>
                <w:color w:val="auto"/>
                <w:w w:val="89"/>
              </w:rPr>
              <w:t>123,000</w:t>
            </w:r>
          </w:p>
        </w:tc>
        <w:tc>
          <w:tcPr>
            <w:tcW w:w="52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90%</w:t>
            </w:r>
          </w:p>
        </w:tc>
        <w:tc>
          <w:tcPr>
            <w:tcW w:w="600" w:type="dxa"/>
            <w:vAlign w:val="bottom"/>
            <w:tcBorders>
              <w:top w:val="single" w:sz="8" w:color="CCEEFF"/>
            </w:tcBorders>
          </w:tcPr>
          <w:p>
            <w:pPr>
              <w:jc w:val="right"/>
              <w:spacing w:after="0" w:line="148" w:lineRule="exact"/>
              <w:rPr>
                <w:sz w:val="20"/>
                <w:szCs w:val="20"/>
                <w:color w:val="auto"/>
              </w:rPr>
            </w:pPr>
            <w:r>
              <w:rPr>
                <w:rFonts w:ascii="Arial" w:cs="Arial" w:eastAsia="Arial" w:hAnsi="Arial"/>
                <w:sz w:val="13"/>
                <w:szCs w:val="13"/>
                <w:color w:val="auto"/>
              </w:rPr>
              <w:t>90%</w:t>
            </w:r>
          </w:p>
        </w:tc>
        <w:tc>
          <w:tcPr>
            <w:tcW w:w="520" w:type="dxa"/>
            <w:vAlign w:val="bottom"/>
            <w:tcBorders>
              <w:top w:val="single" w:sz="8" w:color="CCEEFF"/>
            </w:tcBorders>
          </w:tcPr>
          <w:p>
            <w:pPr>
              <w:jc w:val="right"/>
              <w:ind w:right="57"/>
              <w:spacing w:after="0" w:line="148" w:lineRule="exact"/>
              <w:rPr>
                <w:sz w:val="20"/>
                <w:szCs w:val="20"/>
                <w:color w:val="auto"/>
              </w:rPr>
            </w:pPr>
            <w:r>
              <w:rPr>
                <w:rFonts w:ascii="Arial" w:cs="Arial" w:eastAsia="Arial" w:hAnsi="Arial"/>
                <w:sz w:val="13"/>
                <w:szCs w:val="13"/>
                <w:color w:val="auto"/>
              </w:rPr>
              <w:t>15.83</w:t>
            </w:r>
          </w:p>
        </w:tc>
        <w:tc>
          <w:tcPr>
            <w:tcW w:w="600" w:type="dxa"/>
            <w:vAlign w:val="bottom"/>
            <w:tcBorders>
              <w:top w:val="single" w:sz="8" w:color="CCEEFF"/>
            </w:tcBorders>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860" w:type="dxa"/>
            <w:vAlign w:val="bottom"/>
            <w:tcBorders>
              <w:top w:val="single" w:sz="8" w:color="CCEEFF"/>
            </w:tcBorders>
          </w:tcPr>
          <w:p>
            <w:pPr>
              <w:ind w:left="80"/>
              <w:spacing w:after="0" w:line="148" w:lineRule="exact"/>
              <w:rPr>
                <w:sz w:val="20"/>
                <w:szCs w:val="20"/>
                <w:color w:val="auto"/>
              </w:rPr>
            </w:pPr>
            <w:r>
              <w:rPr>
                <w:rFonts w:ascii="Arial" w:cs="Arial" w:eastAsia="Arial" w:hAnsi="Arial"/>
                <w:sz w:val="13"/>
                <w:szCs w:val="13"/>
                <w:color w:val="auto"/>
              </w:rPr>
              <w:t>Stop &amp; Shop</w:t>
            </w:r>
          </w:p>
        </w:tc>
        <w:tc>
          <w:tcPr>
            <w:tcW w:w="2360" w:type="dxa"/>
            <w:vAlign w:val="bottom"/>
            <w:tcBorders>
              <w:top w:val="single" w:sz="8" w:color="CCEEFF"/>
            </w:tcBorders>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60" w:type="dxa"/>
            <w:vAlign w:val="bottom"/>
            <w:gridSpan w:val="2"/>
          </w:tcPr>
          <w:p>
            <w:pPr>
              <w:ind w:left="280"/>
              <w:spacing w:after="0"/>
              <w:rPr>
                <w:sz w:val="20"/>
                <w:szCs w:val="20"/>
                <w:color w:val="auto"/>
              </w:rPr>
            </w:pPr>
            <w:r>
              <w:rPr>
                <w:rFonts w:ascii="Arial" w:cs="Arial" w:eastAsia="Arial" w:hAnsi="Arial"/>
                <w:sz w:val="13"/>
                <w:szCs w:val="13"/>
                <w:color w:val="auto"/>
              </w:rPr>
              <w:t>Lowell-Brockton, MA</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360" w:type="dxa"/>
            <w:vAlign w:val="bottom"/>
          </w:tcPr>
          <w:p>
            <w:pPr>
              <w:spacing w:after="0"/>
              <w:rPr>
                <w:sz w:val="14"/>
                <w:szCs w:val="14"/>
                <w:color w:val="auto"/>
              </w:rPr>
            </w:pPr>
          </w:p>
        </w:tc>
      </w:tr>
      <w:tr>
        <w:trPr>
          <w:trHeight w:val="156"/>
        </w:trPr>
        <w:tc>
          <w:tcPr>
            <w:tcW w:w="20" w:type="dxa"/>
            <w:vAlign w:val="bottom"/>
            <w:shd w:val="clear" w:color="auto" w:fill="CCEEFF"/>
          </w:tcPr>
          <w:p>
            <w:pPr>
              <w:spacing w:after="0"/>
              <w:rPr>
                <w:sz w:val="13"/>
                <w:szCs w:val="13"/>
                <w:color w:val="auto"/>
              </w:rPr>
            </w:pPr>
          </w:p>
        </w:tc>
        <w:tc>
          <w:tcPr>
            <w:tcW w:w="130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Campus Plaza</w:t>
            </w: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w w:val="98"/>
              </w:rPr>
              <w:t>Boston-Worcester-Lawrence-</w:t>
            </w:r>
          </w:p>
        </w:tc>
        <w:tc>
          <w:tcPr>
            <w:tcW w:w="78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2004</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23,033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9"/>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14.86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3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6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Lowell-Brockton, MA</w:t>
            </w:r>
          </w:p>
        </w:tc>
        <w:tc>
          <w:tcPr>
            <w:tcW w:w="7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r>
      <w:tr>
        <w:trPr>
          <w:trHeight w:val="244"/>
        </w:trPr>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2"/>
          </w:tcPr>
          <w:p>
            <w:pPr>
              <w:ind w:left="280"/>
              <w:spacing w:after="0"/>
              <w:rPr>
                <w:sz w:val="20"/>
                <w:szCs w:val="20"/>
                <w:color w:val="auto"/>
              </w:rPr>
            </w:pPr>
            <w:r>
              <w:rPr>
                <w:rFonts w:ascii="Arial" w:cs="Arial" w:eastAsia="Arial" w:hAnsi="Arial"/>
                <w:sz w:val="13"/>
                <w:szCs w:val="13"/>
                <w:b w:val="1"/>
                <w:bCs w:val="1"/>
                <w:color w:val="auto"/>
              </w:rPr>
              <w:t>Total New England</w:t>
            </w:r>
          </w:p>
        </w:tc>
        <w:tc>
          <w:tcPr>
            <w:tcW w:w="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43,270</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9"/>
              </w:rPr>
              <w:t>239,000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5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15.33</w:t>
            </w: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r>
      <w:tr>
        <w:trPr>
          <w:trHeight w:val="264"/>
        </w:trPr>
        <w:tc>
          <w:tcPr>
            <w:tcW w:w="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3"/>
                <w:szCs w:val="13"/>
                <w:b w:val="1"/>
                <w:bCs w:val="1"/>
                <w:color w:val="auto"/>
              </w:rPr>
              <w:t>Grand Totals</w:t>
            </w:r>
          </w:p>
        </w:tc>
        <w:tc>
          <w:tcPr>
            <w:tcW w:w="46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b w:val="1"/>
                <w:bCs w:val="1"/>
                <w:color w:val="auto"/>
                <w:w w:val="93"/>
              </w:rPr>
              <w:t>189,929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b w:val="1"/>
                <w:bCs w:val="1"/>
                <w:color w:val="auto"/>
              </w:rPr>
              <w:t>34,385</w:t>
            </w:r>
          </w:p>
        </w:tc>
        <w:tc>
          <w:tcPr>
            <w:tcW w:w="5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9"/>
              </w:rPr>
              <w:t>820,000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94%</w:t>
            </w:r>
          </w:p>
        </w:tc>
        <w:tc>
          <w:tcPr>
            <w:tcW w:w="1120" w:type="dxa"/>
            <w:vAlign w:val="bottom"/>
            <w:tcBorders>
              <w:bottom w:val="single" w:sz="8" w:color="auto"/>
            </w:tcBorders>
            <w:gridSpan w:val="2"/>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85% $ 18.63</w:t>
            </w:r>
          </w:p>
        </w:tc>
        <w:tc>
          <w:tcPr>
            <w:tcW w:w="6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2360" w:type="dxa"/>
            <w:vAlign w:val="bottom"/>
            <w:tcBorders>
              <w:bottom w:val="single" w:sz="8" w:color="auto"/>
            </w:tcBorders>
            <w:shd w:val="clear" w:color="auto" w:fill="CCEEFF"/>
          </w:tcPr>
          <w:p>
            <w:pPr>
              <w:spacing w:after="0"/>
              <w:rPr>
                <w:sz w:val="22"/>
                <w:szCs w:val="22"/>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121" w:lineRule="exact"/>
        <w:rPr>
          <w:sz w:val="20"/>
          <w:szCs w:val="20"/>
          <w:color w:val="auto"/>
        </w:rPr>
      </w:pPr>
    </w:p>
    <w:p>
      <w:pPr>
        <w:ind w:left="200" w:hanging="171"/>
        <w:spacing w:after="0"/>
        <w:tabs>
          <w:tab w:leader="none" w:pos="2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On January 13, 2016, we acquired Clarion's 70% interest in the partnership, as further discussed on page 18.</w:t>
      </w:r>
    </w:p>
    <w:p>
      <w:pPr>
        <w:spacing w:after="0" w:line="39" w:lineRule="exact"/>
        <w:rPr>
          <w:rFonts w:ascii="Arial" w:cs="Arial" w:eastAsia="Arial" w:hAnsi="Arial"/>
          <w:sz w:val="13"/>
          <w:szCs w:val="13"/>
          <w:color w:val="auto"/>
        </w:rPr>
      </w:pPr>
    </w:p>
    <w:p>
      <w:pPr>
        <w:ind w:left="20" w:right="3740" w:firstLine="9"/>
        <w:spacing w:after="0" w:line="237" w:lineRule="auto"/>
        <w:tabs>
          <w:tab w:leader="none" w:pos="198" w:val="left"/>
        </w:tabs>
        <w:numPr>
          <w:ilvl w:val="0"/>
          <w:numId w:val="21"/>
        </w:numPr>
        <w:rPr>
          <w:rFonts w:ascii="Arial" w:cs="Arial" w:eastAsia="Arial" w:hAnsi="Arial"/>
          <w:sz w:val="13"/>
          <w:szCs w:val="13"/>
          <w:color w:val="auto"/>
        </w:rPr>
      </w:pPr>
      <w:r>
        <w:rPr>
          <w:rFonts w:ascii="Arial" w:cs="Arial" w:eastAsia="Arial" w:hAnsi="Arial"/>
          <w:sz w:val="13"/>
          <w:szCs w:val="13"/>
          <w:color w:val="auto"/>
        </w:rPr>
        <w:t>Calculated as the aggregate, annualized in-place contractual (cash basis) minimum rent for all occupied spaces divided by the aggregate GLA of all occupied spaces.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60" w:top="958" w:right="25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and year ended December 31, 2015 and 2014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3"/>
              </w:rPr>
              <w:t>Year Ended</w:t>
            </w:r>
          </w:p>
        </w:tc>
        <w:tc>
          <w:tcPr>
            <w:tcW w:w="980" w:type="dxa"/>
            <w:vAlign w:val="bottom"/>
          </w:tcPr>
          <w:p>
            <w:pPr>
              <w:spacing w:after="0"/>
              <w:rPr>
                <w:sz w:val="16"/>
                <w:szCs w:val="16"/>
                <w:color w:val="auto"/>
              </w:rPr>
            </w:pPr>
          </w:p>
        </w:tc>
      </w:tr>
      <w:tr>
        <w:trPr>
          <w:trHeight w:val="276"/>
        </w:trPr>
        <w:tc>
          <w:tcPr>
            <w:tcW w:w="51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gridSpan w:val="3"/>
          </w:tcPr>
          <w:p>
            <w:pPr>
              <w:jc w:val="center"/>
              <w:ind w:left="556"/>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69,998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218,424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172,289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46,423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43,411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174,796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170,814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23,207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92,553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93,941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19,072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10,545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139,588</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115,355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504,696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447,495</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(16,821)</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w:t>
            </w:r>
          </w:p>
        </w:tc>
      </w:tr>
      <w:tr>
        <w:trPr>
          <w:trHeight w:val="257"/>
        </w:trPr>
        <w:tc>
          <w:tcPr>
            <w:tcW w:w="516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122,767</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115,355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476,366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443,094</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real estate related depreciation and amortization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FFO, we have also included FFO excluding the "early extinguishment of debt" charges which relate to the early redemption of our 6.20% senior notes in 2015, and our 5.65% senior notes and East Bay Bridge mortgage loan in 2014. We believe the unusual nature of these charges, being make-whole payments on the remaining principal and interest on the redeemed notes/mortgages, is worthy of separate evaluation and consequently have provided both relevant metrics.</w:t>
      </w:r>
    </w:p>
    <w:p>
      <w:pPr>
        <w:spacing w:after="0" w:line="18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3"/>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2019-12-29T12:31:23Z</dcterms:created>
  <dcterms:modified xsi:type="dcterms:W3CDTF">2019-12-29T12:31:23Z</dcterms:modified>
</cp:coreProperties>
</file>