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333-262016-01</w:t>
      </w:r>
    </w:p>
    <w:p>
      <w:pPr>
        <w:spacing w:after="0" w:line="135" w:lineRule="exact"/>
        <w:rPr>
          <w:sz w:val="24"/>
          <w:szCs w:val="24"/>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0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FF4338"/>
        </w:rPr>
        <w:t>SUBJECT TO COMPLETION, DATED APRIL 10, 2023</w:t>
      </w:r>
    </w:p>
    <w:p>
      <w:pPr>
        <w:spacing w:after="0" w:line="2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JANUARY 5, 2022)</w:t>
      </w:r>
    </w:p>
    <w:p>
      <w:pPr>
        <w:spacing w:after="0" w:line="178"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182245</wp:posOffset>
            </wp:positionV>
            <wp:extent cx="191135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Realty OP LP (the operating partnership through which Federal Realty Investment Trust conducts substantially all of its operations and owns</w:t>
      </w:r>
    </w:p>
    <w:p>
      <w:pPr>
        <w:spacing w:after="0" w:line="27" w:lineRule="exact"/>
        <w:rPr>
          <w:sz w:val="24"/>
          <w:szCs w:val="24"/>
          <w:color w:val="auto"/>
        </w:rPr>
      </w:pPr>
    </w:p>
    <w:p>
      <w:pPr>
        <w:ind w:left="120"/>
        <w:spacing w:after="0"/>
        <w:tabs>
          <w:tab w:leader="none" w:pos="3860" w:val="left"/>
          <w:tab w:leader="none" w:pos="6460" w:val="left"/>
          <w:tab w:leader="none" w:pos="7780" w:val="left"/>
        </w:tabs>
        <w:rPr>
          <w:sz w:val="20"/>
          <w:szCs w:val="20"/>
          <w:color w:val="auto"/>
        </w:rPr>
      </w:pPr>
      <w:r>
        <w:rPr>
          <w:rFonts w:ascii="Times New Roman" w:cs="Times New Roman" w:eastAsia="Times New Roman" w:hAnsi="Times New Roman"/>
          <w:sz w:val="18"/>
          <w:szCs w:val="18"/>
          <w:color w:val="auto"/>
        </w:rPr>
        <w:t>substantially all of its assets) is offering $</w:t>
      </w:r>
      <w:r>
        <w:rPr>
          <w:sz w:val="20"/>
          <w:szCs w:val="20"/>
          <w:color w:val="auto"/>
        </w:rPr>
        <w:tab/>
      </w:r>
      <w:r>
        <w:rPr>
          <w:rFonts w:ascii="Times New Roman" w:cs="Times New Roman" w:eastAsia="Times New Roman" w:hAnsi="Times New Roman"/>
          <w:sz w:val="18"/>
          <w:szCs w:val="18"/>
          <w:color w:val="auto"/>
        </w:rPr>
        <w:t>aggregate principal amount of its</w:t>
        <w:tab/>
        <w:t>% Notes due 20</w:t>
        <w:tab/>
        <w:t>. The notes will bear interest at the rate of</w:t>
      </w:r>
    </w:p>
    <w:p>
      <w:pPr>
        <w:spacing w:after="0" w:line="9" w:lineRule="exact"/>
        <w:rPr>
          <w:sz w:val="24"/>
          <w:szCs w:val="24"/>
          <w:color w:val="auto"/>
        </w:rPr>
      </w:pPr>
    </w:p>
    <w:p>
      <w:pPr>
        <w:ind w:left="300"/>
        <w:spacing w:after="0"/>
        <w:tabs>
          <w:tab w:leader="none" w:pos="6500" w:val="left"/>
          <w:tab w:leader="none" w:pos="7560" w:val="left"/>
          <w:tab w:leader="none" w:pos="10240" w:val="left"/>
        </w:tabs>
        <w:rPr>
          <w:sz w:val="20"/>
          <w:szCs w:val="20"/>
          <w:color w:val="auto"/>
        </w:rPr>
      </w:pPr>
      <w:r>
        <w:rPr>
          <w:rFonts w:ascii="Times New Roman" w:cs="Times New Roman" w:eastAsia="Times New Roman" w:hAnsi="Times New Roman"/>
          <w:sz w:val="18"/>
          <w:szCs w:val="18"/>
          <w:color w:val="auto"/>
        </w:rPr>
        <w:t>% per year. Interest on the notes will be payable semi-annually in arears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of each year, beginning on</w:t>
      </w:r>
      <w:r>
        <w:rPr>
          <w:sz w:val="20"/>
          <w:szCs w:val="20"/>
          <w:color w:val="auto"/>
        </w:rPr>
        <w:tab/>
      </w:r>
      <w:r>
        <w:rPr>
          <w:rFonts w:ascii="Times New Roman" w:cs="Times New Roman" w:eastAsia="Times New Roman" w:hAnsi="Times New Roman"/>
          <w:sz w:val="17"/>
          <w:szCs w:val="17"/>
          <w:color w:val="auto"/>
        </w:rPr>
        <w:t>, 2023. The</w:t>
      </w:r>
    </w:p>
    <w:p>
      <w:pPr>
        <w:spacing w:after="0" w:line="9" w:lineRule="exact"/>
        <w:rPr>
          <w:sz w:val="24"/>
          <w:szCs w:val="24"/>
          <w:color w:val="auto"/>
        </w:rPr>
      </w:pPr>
    </w:p>
    <w:p>
      <w:pPr>
        <w:ind w:left="120"/>
        <w:spacing w:after="0"/>
        <w:tabs>
          <w:tab w:leader="none" w:pos="2340" w:val="left"/>
          <w:tab w:leader="none" w:pos="2780" w:val="left"/>
        </w:tabs>
        <w:rPr>
          <w:sz w:val="20"/>
          <w:szCs w:val="20"/>
          <w:color w:val="auto"/>
        </w:rPr>
      </w:pPr>
      <w:r>
        <w:rPr>
          <w:rFonts w:ascii="Times New Roman" w:cs="Times New Roman" w:eastAsia="Times New Roman" w:hAnsi="Times New Roman"/>
          <w:sz w:val="18"/>
          <w:szCs w:val="18"/>
          <w:color w:val="auto"/>
        </w:rPr>
        <w:t>notes will mature on</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We may redeem some or all of the notes at any time before maturity at the applicable redemption price discussed</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caption “Description of Notes — Optional Redemption.”</w:t>
      </w:r>
    </w:p>
    <w:p>
      <w:pPr>
        <w:spacing w:after="0" w:line="207" w:lineRule="exact"/>
        <w:rPr>
          <w:sz w:val="24"/>
          <w:szCs w:val="24"/>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described under “Use of Proceeds,” we intend to allocate an amount equal to the net proceeds from this offering to the financing and refinancing of recently completed and future Eligible Green Projects, as defined herein, in the United States.</w:t>
      </w:r>
    </w:p>
    <w:p>
      <w:pPr>
        <w:spacing w:after="0" w:line="162" w:lineRule="exact"/>
        <w:rPr>
          <w:sz w:val="24"/>
          <w:szCs w:val="24"/>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with all of our existing and future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not be guaranteed by Federal Realty Investment Trust or any of its or our subsidiaries.</w:t>
      </w:r>
    </w:p>
    <w:p>
      <w:pPr>
        <w:spacing w:after="0" w:line="2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right="30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 notes involves risks. See the information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S-7 of this prospectus supplement, in our most recent Annual Report on Form 10-K, filed with the Securities and Exchange Commission, or the SEC, and in subsequent filings that we make with the SEC that are incorporated by reference herein.</w:t>
      </w:r>
    </w:p>
    <w:p>
      <w:pPr>
        <w:spacing w:after="0" w:line="206" w:lineRule="exact"/>
        <w:rPr>
          <w:sz w:val="24"/>
          <w:szCs w:val="24"/>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74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(1)</w:t>
            </w: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7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380" w:type="dxa"/>
            <w:vAlign w:val="bottom"/>
            <w:gridSpan w:val="2"/>
          </w:tcPr>
          <w:p>
            <w:pPr>
              <w:spacing w:after="0"/>
              <w:rPr>
                <w:sz w:val="11"/>
                <w:szCs w:val="11"/>
                <w:color w:val="auto"/>
              </w:rPr>
            </w:pPr>
          </w:p>
        </w:tc>
        <w:tc>
          <w:tcPr>
            <w:tcW w:w="59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Plus accrued interest from</w:t>
            </w:r>
          </w:p>
        </w:tc>
        <w:tc>
          <w:tcPr>
            <w:tcW w:w="5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2023, if settlement occurs after that date.</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19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in book-entry only form through the facilities of The Depository Trust Company on or</w:t>
      </w:r>
    </w:p>
    <w:p>
      <w:pPr>
        <w:spacing w:after="0" w:line="27" w:lineRule="exact"/>
        <w:rPr>
          <w:sz w:val="24"/>
          <w:szCs w:val="24"/>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 2023.</w:t>
      </w:r>
    </w:p>
    <w:p>
      <w:pPr>
        <w:spacing w:after="0" w:line="203" w:lineRule="exact"/>
        <w:rPr>
          <w:sz w:val="24"/>
          <w:szCs w:val="24"/>
          <w:color w:val="auto"/>
        </w:rPr>
      </w:pPr>
    </w:p>
    <w:p>
      <w:pPr>
        <w:ind w:left="120" w:right="8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183515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34" w:lineRule="exact"/>
        <w:rPr>
          <w:sz w:val="24"/>
          <w:szCs w:val="24"/>
          <w:color w:val="auto"/>
        </w:rPr>
      </w:pPr>
    </w:p>
    <w:p>
      <w:pPr>
        <w:ind w:left="120"/>
        <w:spacing w:after="0"/>
        <w:tabs>
          <w:tab w:leader="none" w:pos="2540" w:val="left"/>
          <w:tab w:leader="none" w:pos="6200" w:val="left"/>
          <w:tab w:leader="none" w:pos="854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PNC Capital Markets LLC</w:t>
        <w:tab/>
        <w:t>TD Securities</w:t>
      </w:r>
      <w:r>
        <w:rPr>
          <w:sz w:val="20"/>
          <w:szCs w:val="20"/>
          <w:color w:val="auto"/>
        </w:rPr>
        <w:tab/>
      </w:r>
      <w:r>
        <w:rPr>
          <w:rFonts w:ascii="Times New Roman" w:cs="Times New Roman" w:eastAsia="Times New Roman" w:hAnsi="Times New Roman"/>
          <w:sz w:val="28"/>
          <w:szCs w:val="28"/>
          <w:b w:val="1"/>
          <w:bCs w:val="1"/>
          <w:color w:val="auto"/>
        </w:rPr>
        <w:t>BofA Securities</w:t>
      </w:r>
    </w:p>
    <w:p>
      <w:pPr>
        <w:sectPr>
          <w:pgSz w:w="11900" w:h="16838" w:orient="portrait"/>
          <w:cols w:equalWidth="0" w:num="1">
            <w:col w:w="11140"/>
          </w:cols>
          <w:pgMar w:left="320" w:top="226" w:right="439" w:bottom="667" w:gutter="0" w:footer="0" w:header="0"/>
        </w:sectPr>
      </w:pPr>
    </w:p>
    <w:p>
      <w:pPr>
        <w:spacing w:after="0" w:line="236" w:lineRule="exact"/>
        <w:rPr>
          <w:sz w:val="24"/>
          <w:szCs w:val="24"/>
          <w:color w:val="auto"/>
        </w:rPr>
      </w:pPr>
    </w:p>
    <w:p>
      <w:pPr>
        <w:ind w:left="3300"/>
        <w:spacing w:after="0"/>
        <w:tabs>
          <w:tab w:leader="none" w:pos="744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 April</w:t>
      </w:r>
      <w:r>
        <w:rPr>
          <w:sz w:val="20"/>
          <w:szCs w:val="20"/>
          <w:color w:val="auto"/>
        </w:rPr>
        <w:tab/>
      </w:r>
      <w:r>
        <w:rPr>
          <w:rFonts w:ascii="Times New Roman" w:cs="Times New Roman" w:eastAsia="Times New Roman" w:hAnsi="Times New Roman"/>
          <w:sz w:val="17"/>
          <w:szCs w:val="17"/>
          <w:b w:val="1"/>
          <w:bCs w:val="1"/>
          <w:color w:val="auto"/>
        </w:rPr>
        <w:t>, 2023.</w:t>
      </w:r>
    </w:p>
    <w:p>
      <w:pPr>
        <w:sectPr>
          <w:pgSz w:w="11900" w:h="16838" w:orient="portrait"/>
          <w:cols w:equalWidth="0" w:num="1">
            <w:col w:w="11140"/>
          </w:cols>
          <w:pgMar w:left="320" w:top="226" w:right="439" w:bottom="667"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080" w:type="dxa"/>
            <w:vAlign w:val="bottom"/>
            <w:gridSpan w:val="8"/>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80" w:type="dxa"/>
            <w:vAlign w:val="bottom"/>
            <w:tcBorders>
              <w:bottom w:val="single" w:sz="8" w:color="0000EE"/>
            </w:tcBorders>
            <w:gridSpan w:val="11"/>
            <w:vMerge w:val="continue"/>
          </w:tcPr>
          <w:p>
            <w:pPr>
              <w:spacing w:after="0"/>
              <w:rPr>
                <w:sz w:val="13"/>
                <w:szCs w:val="13"/>
                <w:color w:val="auto"/>
              </w:rPr>
            </w:pPr>
          </w:p>
        </w:tc>
        <w:tc>
          <w:tcPr>
            <w:tcW w:w="8080" w:type="dxa"/>
            <w:vAlign w:val="bottom"/>
            <w:gridSpan w:val="8"/>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304"/>
        </w:trPr>
        <w:tc>
          <w:tcPr>
            <w:tcW w:w="46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59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Description of Notes</w:t>
            </w:r>
          </w:p>
        </w:tc>
        <w:tc>
          <w:tcPr>
            <w:tcW w:w="9060" w:type="dxa"/>
            <w:vAlign w:val="bottom"/>
            <w:gridSpan w:val="13"/>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Additional Material Federal Income Tax Considerations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304"/>
        </w:trPr>
        <w:tc>
          <w:tcPr>
            <w:tcW w:w="40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Underwriting (Conflicts of Interest)</w:t>
            </w:r>
          </w:p>
        </w:tc>
        <w:tc>
          <w:tcPr>
            <w:tcW w:w="6540" w:type="dxa"/>
            <w:vAlign w:val="bottom"/>
            <w:gridSpan w:val="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S-23</w:t>
            </w:r>
          </w:p>
        </w:tc>
        <w:tc>
          <w:tcPr>
            <w:tcW w:w="0" w:type="dxa"/>
            <w:vAlign w:val="bottom"/>
          </w:tcPr>
          <w:p>
            <w:pPr>
              <w:spacing w:after="0"/>
              <w:rPr>
                <w:sz w:val="1"/>
                <w:szCs w:val="1"/>
                <w:color w:val="auto"/>
              </w:rPr>
            </w:pPr>
          </w:p>
        </w:tc>
      </w:tr>
      <w:tr>
        <w:trPr>
          <w:trHeight w:val="304"/>
        </w:trPr>
        <w:tc>
          <w:tcPr>
            <w:tcW w:w="25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Experts</w:t>
            </w:r>
          </w:p>
        </w:tc>
        <w:tc>
          <w:tcPr>
            <w:tcW w:w="8000" w:type="dxa"/>
            <w:vAlign w:val="bottom"/>
            <w:gridSpan w:val="7"/>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668"/>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8980" w:type="dxa"/>
            <w:vAlign w:val="bottom"/>
            <w:gridSpan w:val="11"/>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8"/>
            <w:vMerge w:val="continue"/>
          </w:tcPr>
          <w:p>
            <w:pPr>
              <w:spacing w:after="0"/>
              <w:rPr>
                <w:sz w:val="13"/>
                <w:szCs w:val="13"/>
                <w:color w:val="auto"/>
              </w:rPr>
            </w:pPr>
          </w:p>
        </w:tc>
        <w:tc>
          <w:tcPr>
            <w:tcW w:w="8980" w:type="dxa"/>
            <w:vAlign w:val="bottom"/>
            <w:gridSpan w:val="11"/>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21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460" w:type="dxa"/>
            <w:vAlign w:val="bottom"/>
            <w:gridSpan w:val="10"/>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5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040" w:type="dxa"/>
            <w:vAlign w:val="bottom"/>
            <w:gridSpan w:val="1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Investment Trust</w:t>
            </w:r>
          </w:p>
        </w:tc>
        <w:tc>
          <w:tcPr>
            <w:tcW w:w="470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5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5440" w:type="dxa"/>
            <w:vAlign w:val="bottom"/>
            <w:gridSpan w:val="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3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340" w:type="dxa"/>
            <w:vAlign w:val="bottom"/>
            <w:gridSpan w:val="5"/>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914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6"/>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prior information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References to “we,” “us,” “our,” or “ours” refer to Federal Realty OP LP and its directly and indirectly owned subsidiaries, unless the context otherwise requires. References to the “Partnership” refer to Federal Realty OP LP and not its subsidiaries, unless the context otherwise requires. References to the “Company” refer to Federal Realty Investment Trust and not its subsidiaries, unless the context otherwise requires. The term “you” refers to a prospective investor.</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contained herein, in our most recent Annual Report on Form 10-K filed with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1080" w:right="3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8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4487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 See “Where You Can Find More Information” in the accompanying prospectus.</w:t>
      </w: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p>
      <w:pPr>
        <w:spacing w:after="0" w:line="22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expect to have substantial assets or liabilities other than through its investment in the Partnership. As of the date of this prospectus supplement, the Company owns all of the outstanding limited partnership interests in the Partnership. The notes will not be guaranteed by Federal Realty Investment Trust or any of its or our subsidiaries.</w:t>
      </w:r>
    </w:p>
    <w:p>
      <w:pPr>
        <w:spacing w:after="0" w:line="18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2022, we owned or had a majority interest in community and neighborhood shopping centers and mixed-use properties which are operated as 103 predominantly retail real estate projects comprising approximately 25.8 million square feet. In total, the real estate projects were 94.5% leased and 92.8% occupied at December 31, 2022. Our revenue is primarily generated from lease agreements with tenants. We have paid quarterly dividends to our shareholders continuously since our founding in 1962 and have increased our dividends per common share for 55 consecutive years.</w:t>
      </w:r>
    </w:p>
    <w:p>
      <w:pPr>
        <w:spacing w:after="0" w:line="183"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the Company intends to operate in a manner that will allow it to maintain such qualification.</w:t>
      </w:r>
    </w:p>
    <w:p>
      <w:pPr>
        <w:spacing w:after="0" w:line="162" w:lineRule="exact"/>
        <w:rPr>
          <w:sz w:val="20"/>
          <w:szCs w:val="20"/>
          <w:color w:val="auto"/>
        </w:rPr>
      </w:pPr>
    </w:p>
    <w:p>
      <w:pPr>
        <w:jc w:val="both"/>
        <w:ind w:left="300" w:right="5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909 Rose Avenue, Suite 200, North Bethesda, Maryland 20852. Our telephone number is (301) 998-8100. Our website address is www.federalrealty.com. The information contained on our website is not a part of this prospectus supplement or the accompanying prospectus and is not incorporated herein or therein by reference.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All capitalized terms not defined herein have the meanings specified in “Description of Notes” in this prospectus supplement or in “Description of Debt Securities that may be Offered by Federal Realty OP LP” in the accompanying prospectus. For a more complete description of the terms of the notes specified in the following summary, see “Description of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56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Federal Realty OP LP.</w:t>
            </w:r>
          </w:p>
        </w:tc>
        <w:tc>
          <w:tcPr>
            <w:tcW w:w="8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56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million aggregate principal amount of   % Notes due 20   .</w:t>
            </w: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Guarantees</w:t>
            </w: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The notes will not be guaranteed by Federal Realty Investment Trust or any of its or our subsidiaries.</w:t>
            </w:r>
          </w:p>
        </w:tc>
      </w:tr>
      <w:tr>
        <w:trPr>
          <w:trHeight w:val="32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65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Unless redeemed prior to maturity as described below, the notes will mature on</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 20   .</w:t>
            </w: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56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Interest on the notes will be payable semi-annually in arrears on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w:t>
            </w:r>
          </w:p>
        </w:tc>
        <w:tc>
          <w:tcPr>
            <w:tcW w:w="19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9"/>
              </w:rPr>
              <w:t>of each year,</w:t>
            </w:r>
          </w:p>
        </w:tc>
      </w:tr>
      <w:tr>
        <w:trPr>
          <w:trHeight w:val="234"/>
        </w:trPr>
        <w:tc>
          <w:tcPr>
            <w:tcW w:w="2600" w:type="dxa"/>
            <w:vAlign w:val="bottom"/>
          </w:tcPr>
          <w:p>
            <w:pPr>
              <w:spacing w:after="0"/>
              <w:rPr>
                <w:sz w:val="20"/>
                <w:szCs w:val="20"/>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beginning on</w:t>
            </w: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2023, and at maturity (or any earlier redemption date).</w:t>
            </w:r>
          </w:p>
        </w:tc>
        <w:tc>
          <w:tcPr>
            <w:tcW w:w="1900" w:type="dxa"/>
            <w:vAlign w:val="bottom"/>
          </w:tcPr>
          <w:p>
            <w:pPr>
              <w:spacing w:after="0"/>
              <w:rPr>
                <w:sz w:val="20"/>
                <w:szCs w:val="20"/>
                <w:color w:val="auto"/>
              </w:rPr>
            </w:pP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xml:space="preserve">The notes will be our senior unsecured obligations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existing and future unsecured and unsubordinated indebtedness. The notes will be effectively</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subordinated to the prior claims of each secured mortgage lender to any specific property that secures</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such lender’s mortgage and to all of the unsecured indebtedness of our subsidiaries. At December 31,</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2022, we had outstanding approximately $322 million (excluding net unamortized premium and debt</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issuance costs) of consolidated secured indebtedness, which was issued by our subsidiaries and is</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collateralized by all or parts of 7 properties, and which will rank senior to the notes to the extent of the</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securing collateral and will also be structurally senior to the notes, approximately $3 million</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(excluding net unamortized debt issuance costs) of unsecured indebtedness issued by our subsidiaries,</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which will be structurally senior to the notes, and approximately $4,019 million of unsecured</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indebtedness (excluding net unamortized discount or premium and debt issuance costs), which will</w:t>
            </w:r>
          </w:p>
        </w:tc>
      </w:tr>
      <w:tr>
        <w:trPr>
          <w:trHeight w:val="234"/>
        </w:trPr>
        <w:tc>
          <w:tcPr>
            <w:tcW w:w="2600" w:type="dxa"/>
            <w:vAlign w:val="bottom"/>
          </w:tcPr>
          <w:p>
            <w:pPr>
              <w:spacing w:after="0"/>
              <w:rPr>
                <w:sz w:val="20"/>
                <w:szCs w:val="20"/>
                <w:color w:val="auto"/>
              </w:rPr>
            </w:pPr>
          </w:p>
        </w:tc>
        <w:tc>
          <w:tcPr>
            <w:tcW w:w="56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rank equally with the notes.</w:t>
            </w:r>
          </w:p>
        </w:tc>
        <w:tc>
          <w:tcPr>
            <w:tcW w:w="8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refinancing of recently completed and future Eligible Green Projects, as defined herein, in the United</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States. Net proceeds allocated to previously incurred costs associated with Eligible Green Projects will</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be available for repayment of indebtedness, which we intend to include funding the repayment in full</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of all of our outstanding 2.75% Notes due 2023, and for general corporate purposes. Pending any such</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applications of the net proceeds, we may invest the net proceeds in short-term income-producing</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investments or may use the net proceeds to temporarily repay current and/or future amounts</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outstanding under our revolving credit facility. See “Use of Proceeds” on page S-9 of this prospectus</w:t>
            </w:r>
          </w:p>
        </w:tc>
      </w:tr>
      <w:tr>
        <w:trPr>
          <w:trHeight w:val="234"/>
        </w:trPr>
        <w:tc>
          <w:tcPr>
            <w:tcW w:w="2600" w:type="dxa"/>
            <w:vAlign w:val="bottom"/>
          </w:tcPr>
          <w:p>
            <w:pPr>
              <w:spacing w:after="0"/>
              <w:rPr>
                <w:sz w:val="20"/>
                <w:szCs w:val="20"/>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supplement.</w:t>
            </w:r>
          </w:p>
        </w:tc>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0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Affiliates of certain of the underwriters are lenders under our revolving credit facility and/or may be</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beneficial owners of some of our 2.75% Notes due 2023. Any such affiliates will receive a pro rata</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portion of the net proceeds used to repay amounts outstanding under our revolving credit facility</w:t>
            </w:r>
          </w:p>
        </w:tc>
      </w:tr>
      <w:tr>
        <w:trPr>
          <w:trHeight w:val="216"/>
        </w:trPr>
        <w:tc>
          <w:tcPr>
            <w:tcW w:w="2600" w:type="dxa"/>
            <w:vAlign w:val="bottom"/>
          </w:tcPr>
          <w:p>
            <w:pPr>
              <w:spacing w:after="0"/>
              <w:rPr>
                <w:sz w:val="18"/>
                <w:szCs w:val="18"/>
                <w:color w:val="auto"/>
              </w:rPr>
            </w:pPr>
          </w:p>
        </w:tc>
        <w:tc>
          <w:tcPr>
            <w:tcW w:w="84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and/or to repay our 2.75% Notes due 2023. See “Underwriting (Conflicts of Interest) — Conflicts of</w:t>
            </w:r>
          </w:p>
        </w:tc>
      </w:tr>
      <w:tr>
        <w:trPr>
          <w:trHeight w:val="234"/>
        </w:trPr>
        <w:tc>
          <w:tcPr>
            <w:tcW w:w="2600" w:type="dxa"/>
            <w:vAlign w:val="bottom"/>
          </w:tcPr>
          <w:p>
            <w:pPr>
              <w:spacing w:after="0"/>
              <w:rPr>
                <w:sz w:val="20"/>
                <w:szCs w:val="20"/>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Interest.”</w:t>
            </w:r>
          </w:p>
        </w:tc>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159"/>
        </w:trPr>
        <w:tc>
          <w:tcPr>
            <w:tcW w:w="26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r>
      <w:tr>
        <w:trPr>
          <w:trHeight w:val="361"/>
        </w:trPr>
        <w:tc>
          <w:tcPr>
            <w:tcW w:w="2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S-4</w:t>
            </w: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025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70250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tabs>
          <w:tab w:leader="none" w:pos="3480" w:val="left"/>
        </w:tabs>
        <w:rPr>
          <w:sz w:val="20"/>
          <w:szCs w:val="20"/>
          <w:color w:val="auto"/>
        </w:rPr>
      </w:pPr>
      <w:r>
        <w:rPr>
          <w:rFonts w:ascii="Times New Roman" w:cs="Times New Roman" w:eastAsia="Times New Roman" w:hAnsi="Times New Roman"/>
          <w:sz w:val="18"/>
          <w:szCs w:val="18"/>
          <w:color w:val="auto"/>
        </w:rPr>
        <w:t>Limitations on incurrence of debt</w:t>
      </w:r>
      <w:r>
        <w:rPr>
          <w:sz w:val="20"/>
          <w:szCs w:val="20"/>
          <w:color w:val="auto"/>
        </w:rPr>
        <w:tab/>
      </w:r>
      <w:r>
        <w:rPr>
          <w:rFonts w:ascii="Times New Roman" w:cs="Times New Roman" w:eastAsia="Times New Roman" w:hAnsi="Times New Roman"/>
          <w:sz w:val="18"/>
          <w:szCs w:val="18"/>
          <w:color w:val="auto"/>
        </w:rPr>
        <w:t>The notes contain various covenants, including the following:</w:t>
      </w:r>
    </w:p>
    <w:p>
      <w:pPr>
        <w:spacing w:after="0" w:line="117" w:lineRule="exact"/>
        <w:rPr>
          <w:sz w:val="20"/>
          <w:szCs w:val="20"/>
          <w:color w:val="auto"/>
        </w:rPr>
      </w:pPr>
    </w:p>
    <w:p>
      <w:pPr>
        <w:ind w:left="3500" w:firstLine="4"/>
        <w:spacing w:after="0" w:line="269" w:lineRule="auto"/>
        <w:tabs>
          <w:tab w:leader="none" w:pos="37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w:t>
      </w:r>
    </w:p>
    <w:p>
      <w:pPr>
        <w:spacing w:after="0" w:line="2" w:lineRule="exact"/>
        <w:rPr>
          <w:rFonts w:ascii="Times New Roman" w:cs="Times New Roman" w:eastAsia="Times New Roman" w:hAnsi="Times New Roman"/>
          <w:sz w:val="17"/>
          <w:szCs w:val="17"/>
          <w:color w:val="auto"/>
        </w:rPr>
      </w:pPr>
    </w:p>
    <w:p>
      <w:pPr>
        <w:ind w:left="3500" w:right="1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Form 10-K or Quarterly Report on Form 10-Q, as the case may be, most recently filed with the SEC (or, if such filing is not permitted under the Exchange Act, with U.S. Bank Trust Company,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80" w:lineRule="exact"/>
        <w:rPr>
          <w:rFonts w:ascii="Times New Roman" w:cs="Times New Roman" w:eastAsia="Times New Roman" w:hAnsi="Times New Roman"/>
          <w:sz w:val="17"/>
          <w:szCs w:val="17"/>
          <w:color w:val="auto"/>
        </w:rPr>
      </w:pPr>
    </w:p>
    <w:p>
      <w:pPr>
        <w:ind w:left="3500" w:right="60" w:firstLine="4"/>
        <w:spacing w:after="0" w:line="252" w:lineRule="auto"/>
        <w:tabs>
          <w:tab w:leader="none" w:pos="37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86" w:lineRule="exact"/>
        <w:rPr>
          <w:rFonts w:ascii="Times New Roman" w:cs="Times New Roman" w:eastAsia="Times New Roman" w:hAnsi="Times New Roman"/>
          <w:sz w:val="18"/>
          <w:szCs w:val="18"/>
          <w:color w:val="auto"/>
        </w:rPr>
      </w:pPr>
    </w:p>
    <w:p>
      <w:pPr>
        <w:ind w:left="3500" w:right="40" w:firstLine="4"/>
        <w:spacing w:after="0" w:line="252" w:lineRule="auto"/>
        <w:tabs>
          <w:tab w:leader="none" w:pos="37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2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04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8044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500" w:firstLine="4"/>
        <w:spacing w:after="0" w:line="266" w:lineRule="auto"/>
        <w:tabs>
          <w:tab w:leader="none" w:pos="37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6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Prior to   ,   (</w:t>
            </w:r>
          </w:p>
        </w:tc>
        <w:tc>
          <w:tcPr>
            <w:tcW w:w="5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months prior to their maturity date) (the “Par Call Date”), we may redeem the</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notes at our option, in whole or in part, at any time and from time to time, at a redemption price</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(expressed as a percentage of principal amount and rounded to three decimal places) equal to the</w:t>
            </w:r>
          </w:p>
        </w:tc>
      </w:tr>
      <w:tr>
        <w:trPr>
          <w:trHeight w:val="234"/>
        </w:trPr>
        <w:tc>
          <w:tcPr>
            <w:tcW w:w="314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greater of:</w:t>
            </w:r>
          </w:p>
        </w:tc>
        <w:tc>
          <w:tcPr>
            <w:tcW w:w="7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9"/>
        </w:trPr>
        <w:tc>
          <w:tcPr>
            <w:tcW w:w="3140" w:type="dxa"/>
            <w:vAlign w:val="bottom"/>
          </w:tcPr>
          <w:p>
            <w:pPr>
              <w:spacing w:after="0"/>
              <w:rPr>
                <w:sz w:val="24"/>
                <w:szCs w:val="24"/>
                <w:color w:val="auto"/>
              </w:rPr>
            </w:pPr>
          </w:p>
        </w:tc>
        <w:tc>
          <w:tcPr>
            <w:tcW w:w="7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interest thereon discounted to the redemption date (assuming the notes matured on the Par Call</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Date) on a semi-annual basis (assuming a 360-day year consisting of twelve 30-day months) at</w:t>
            </w:r>
          </w:p>
        </w:tc>
      </w:tr>
      <w:tr>
        <w:trPr>
          <w:trHeight w:val="234"/>
        </w:trPr>
        <w:tc>
          <w:tcPr>
            <w:tcW w:w="3140" w:type="dxa"/>
            <w:vAlign w:val="bottom"/>
          </w:tcPr>
          <w:p>
            <w:pPr>
              <w:spacing w:after="0"/>
              <w:rPr>
                <w:sz w:val="20"/>
                <w:szCs w:val="20"/>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Treasury Rate plus</w:t>
            </w: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basis points less (b) interest accrued to the date of redemption, and</w:t>
            </w:r>
          </w:p>
        </w:tc>
      </w:tr>
      <w:tr>
        <w:trPr>
          <w:trHeight w:val="338"/>
        </w:trPr>
        <w:tc>
          <w:tcPr>
            <w:tcW w:w="3140" w:type="dxa"/>
            <w:vAlign w:val="bottom"/>
          </w:tcPr>
          <w:p>
            <w:pPr>
              <w:spacing w:after="0"/>
              <w:rPr>
                <w:sz w:val="24"/>
                <w:szCs w:val="24"/>
                <w:color w:val="auto"/>
              </w:rPr>
            </w:pPr>
          </w:p>
        </w:tc>
        <w:tc>
          <w:tcPr>
            <w:tcW w:w="7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tc>
      </w:tr>
      <w:tr>
        <w:trPr>
          <w:trHeight w:val="338"/>
        </w:trPr>
        <w:tc>
          <w:tcPr>
            <w:tcW w:w="3140" w:type="dxa"/>
            <w:vAlign w:val="bottom"/>
          </w:tcPr>
          <w:p>
            <w:pPr>
              <w:spacing w:after="0"/>
              <w:rPr>
                <w:sz w:val="24"/>
                <w:szCs w:val="24"/>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tc>
      </w:tr>
      <w:tr>
        <w:trPr>
          <w:trHeight w:val="319"/>
        </w:trPr>
        <w:tc>
          <w:tcPr>
            <w:tcW w:w="3140" w:type="dxa"/>
            <w:vAlign w:val="bottom"/>
          </w:tcPr>
          <w:p>
            <w:pPr>
              <w:spacing w:after="0"/>
              <w:rPr>
                <w:sz w:val="24"/>
                <w:szCs w:val="24"/>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On or after the Par Call Date, we may redeem the notes, in whole or in part, at any time and from time</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time, at a redemption price equal to 100% of the principal amount of the notes being redeemed plus</w:t>
            </w:r>
          </w:p>
        </w:tc>
      </w:tr>
      <w:tr>
        <w:trPr>
          <w:trHeight w:val="234"/>
        </w:trPr>
        <w:tc>
          <w:tcPr>
            <w:tcW w:w="3140" w:type="dxa"/>
            <w:vAlign w:val="bottom"/>
          </w:tcPr>
          <w:p>
            <w:pPr>
              <w:spacing w:after="0"/>
              <w:rPr>
                <w:sz w:val="20"/>
                <w:szCs w:val="20"/>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38"/>
        </w:trPr>
        <w:tc>
          <w:tcPr>
            <w:tcW w:w="3140" w:type="dxa"/>
            <w:vAlign w:val="bottom"/>
          </w:tcPr>
          <w:p>
            <w:pPr>
              <w:spacing w:after="0"/>
              <w:rPr>
                <w:sz w:val="24"/>
                <w:szCs w:val="24"/>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See “Description of Notes — Optional Redemption” for more information.</w:t>
            </w:r>
          </w:p>
        </w:tc>
      </w:tr>
      <w:tr>
        <w:trPr>
          <w:trHeight w:val="30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Material federal income tax considerations</w:t>
            </w: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For a description of the material U.S. federal income tax considerations of an investment in the notes,</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please review the disclosure in this prospectus supplement under “Additional Material Federal Income</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Tax Considerations” and in the accompanying prospectus under “Material Federal Income Tax</w:t>
            </w:r>
          </w:p>
        </w:tc>
      </w:tr>
      <w:tr>
        <w:trPr>
          <w:trHeight w:val="234"/>
        </w:trPr>
        <w:tc>
          <w:tcPr>
            <w:tcW w:w="314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Considerations.”</w:t>
            </w:r>
          </w:p>
        </w:tc>
        <w:tc>
          <w:tcPr>
            <w:tcW w:w="7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Investing in the notes involves risks. Please review the risk factors discussed beginning on page S-7 of</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prospectus supplement, in our most recent Annual Report on Form 10-K filed with the SEC, and</w:t>
            </w:r>
          </w:p>
        </w:tc>
      </w:tr>
      <w:tr>
        <w:trPr>
          <w:trHeight w:val="216"/>
        </w:trPr>
        <w:tc>
          <w:tcPr>
            <w:tcW w:w="3140" w:type="dxa"/>
            <w:vAlign w:val="bottom"/>
          </w:tcPr>
          <w:p>
            <w:pPr>
              <w:spacing w:after="0"/>
              <w:rPr>
                <w:sz w:val="18"/>
                <w:szCs w:val="18"/>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other information contained or incorporated by reference in this prospectus supplement and the</w:t>
            </w:r>
          </w:p>
        </w:tc>
      </w:tr>
      <w:tr>
        <w:trPr>
          <w:trHeight w:val="234"/>
        </w:trPr>
        <w:tc>
          <w:tcPr>
            <w:tcW w:w="3140" w:type="dxa"/>
            <w:vAlign w:val="bottom"/>
          </w:tcPr>
          <w:p>
            <w:pPr>
              <w:spacing w:after="0"/>
              <w:rPr>
                <w:sz w:val="20"/>
                <w:szCs w:val="20"/>
                <w:color w:val="auto"/>
              </w:rPr>
            </w:pPr>
          </w:p>
        </w:tc>
        <w:tc>
          <w:tcPr>
            <w:tcW w:w="7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accompanying prospectus for a discussion of factors you should consider before deciding to invest in</w:t>
            </w:r>
          </w:p>
        </w:tc>
      </w:tr>
    </w:tbl>
    <w:p>
      <w:pPr>
        <w:ind w:left="3500" w:right="40"/>
        <w:spacing w:after="0" w:line="253" w:lineRule="auto"/>
        <w:rPr>
          <w:sz w:val="20"/>
          <w:szCs w:val="20"/>
          <w:color w:val="auto"/>
        </w:rPr>
      </w:pPr>
      <w:r>
        <w:rPr>
          <w:rFonts w:ascii="Times New Roman" w:cs="Times New Roman" w:eastAsia="Times New Roman" w:hAnsi="Times New Roman"/>
          <w:sz w:val="18"/>
          <w:szCs w:val="18"/>
          <w:color w:val="auto"/>
        </w:rPr>
        <w:t>the notes. You may obtain a copy of our Annual Report on Form 10-K and the other documents incorporated by reference in this prospectus supplement and the accompanying prospectus by following the procedures described under “Where You Can Find More Information” on page 59 of the accompanying prospectus.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i w:val="1"/>
          <w:iCs w:val="1"/>
          <w:color w:val="auto"/>
        </w:rPr>
        <w:t>An investment in the notes involves risks. Before you decide to purchase the notes, you should carefully consider the following risk factors, together with all of the other information contained in or incorporated by reference herein, including the additional risk factors in our most recent Annual Report</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on Form 10-K , filed with the SEC, and in subsequent filings that we make with the SEC that are incorporated by reference herein. The risks and uncertainties we have described are not the only risks we may confront. Additional risks and uncertainties not currently known to us or that we currently deem immaterial may affect our business operations. If any of those risks actually occur, our financial condition, operating results, liquidity and prospects could be materially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principally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will be structurally subordinated to the claims of our subsidiaries’ creditors and our subsidiaries’ preferred equity holders.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December 31, 2022, our consolidated subsidiaries had approximately $325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certain conditions are satisfied. Consequently, in the event of a bankruptcy, liquidation, dissolution or reorganization, or similar proceeding with respect to us or our subsidiaries, the holders of any secured indebtedness will be entitled to proceed against the collateral that secures the secured indebtedness prior to that collateral being available for satisfaction of any amounts owed under the notes. At December 31, 2022, we had approximately $322 million (excluding net unamortized premium and debt issuance costs) of consolidated secured debt outstanding, all of which was effectively senior to the notes to the extent of the value of the securing collateral.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active public trading market for the notes may not develop.</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liquidity of any market for the notes will depend upon various factors,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for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companies in our industry generally.</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are not contractually committed to allocate an amount equal to the net proceeds from this offering to the financing and refinancing of recently completed and future Eligible Green Projects, and our failure to do so could adversely impact the value of the notes.</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market price of the notes may also be impacted by any failure by us to allocate an amount equal to the net proceeds from this offering to the financing and refinancing of recently completed and future Eligible Green Projects, as defined herein, or to meet or continue to meet the investment requirements of certain environmentally focused investors with respect to the notes. Although we intend to allocate an amount equal to the net proceeds from this offering to the financing and refinancing of recently completed and future Eligible Green Projects as described herein under “Use of Proceeds,” it will not be an event of default under the indenture governing the notes if we fail to do so.</w:t>
      </w:r>
    </w:p>
    <w:p>
      <w:pPr>
        <w:spacing w:after="0" w:line="287"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color w:val="auto"/>
        </w:rPr>
        <w:t>We may use or allocate the net proceeds from this offering in ways with which you may not agree, and the notes may not be a suitable investment for all investors seeking exposure to green assets.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 refinancing of recently completed and future Eligible Green Projects, as defined herein, in the United States. Pending such allocation, we may invest the net proceeds in short-term income-producing investments or may use the net proceeds to temporarily repay current and/or future amounts outstanding under our revolving credit facility. Net proceeds allocated to previously incurred costs associated with Eligible Green Projects will be available for repayment of indebtedness, which we intend to include funding the repayment in full of all of our outstanding 2.75% Notes due 2023, and for general corporate purposes. We will retain broad discretion over the use or allocation of the net proceeds from this offering and you may not agree with the ultimate use or allocation of these net proceeds.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cannot assure you that the projects financed or refinanced with an amount equal to the net proceeds from this offering will satisfy investor criteria and expectations regarding environmental impact and sustainability performance. In particular, no assurance is given that the use or allocation of such proceeds for any Eligible Green Projects will satisfy, in whole or in part, any present or future investor expectations or requirements regarding any investment criteria or guidelines with which such investor or its investments are required to comply, whether by any present or future applicable laws or regulations or by its own bylaws or other governing rules or investment portfolio mandates (in particular with regard to any direct or indirect environmental, sustainability or social impact of any projects or uses). Adverse environmental or social impacts may occur during the design, construction and operation of the applicable projects, or the projects may become controversial or criticized by activist groups or other stakeholders. In addition, although we intend to limit the use or allocation of an amount equal to the net proceeds from this offering to the financing or refinancing of recently completed and future Eligible Green Projects, there can be no assurance that one or more development, redevelopment or tenant improvement projects that we expect will receive a LEED certification will actually receive such certification.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1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12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3180" w:type="dxa"/>
            <w:vAlign w:val="bottom"/>
          </w:tcPr>
          <w:p>
            <w:pPr>
              <w:spacing w:after="0"/>
              <w:rPr>
                <w:sz w:val="24"/>
                <w:szCs w:val="24"/>
                <w:color w:val="auto"/>
              </w:rPr>
            </w:pPr>
          </w:p>
        </w:tc>
      </w:tr>
      <w:tr>
        <w:trPr>
          <w:trHeight w:val="432"/>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net proceeds to us from the issuance and sale of the notes are estimated to be approximately $</w:t>
            </w:r>
          </w:p>
        </w:tc>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million after deducting the underwriting</w:t>
            </w:r>
          </w:p>
        </w:tc>
      </w:tr>
    </w:tbl>
    <w:p>
      <w:pPr>
        <w:ind w:left="120"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discount and other estimated expenses of this offering payable by us. We intend to allocate an amount equal to the net proceeds from this offering to the financing and refinancing of recently completed and future Eligible Green Projects, as defined herein, in the United States. Net proceeds allocated to previously incurred costs associated with Eligible Green Projects will be available for repayment of indebtedness, which we intend to include funding the repayment in full of all of our outstanding 2.75% Notes due 2023, and for general corporate purposes. Pending any such applications of the net proceeds, we may invest the net proceeds in short-term income-producing investments or may use the net proceeds to temporarily repay current and/or future amounts outstanding under our revolving credit facility.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“Eligible Green Projects”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“Eligible Green Projects” means: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Gold or Platinum certification (or environmentally equivalent successor standards).</w:t>
      </w:r>
    </w:p>
    <w:p>
      <w:pPr>
        <w:spacing w:after="0" w:line="176" w:lineRule="exact"/>
        <w:rPr>
          <w:sz w:val="20"/>
          <w:szCs w:val="20"/>
          <w:color w:val="auto"/>
        </w:rPr>
      </w:pPr>
    </w:p>
    <w:p>
      <w:pPr>
        <w:ind w:left="120" w:right="300"/>
        <w:spacing w:after="0" w:line="272" w:lineRule="auto"/>
        <w:rPr>
          <w:sz w:val="20"/>
          <w:szCs w:val="20"/>
          <w:color w:val="auto"/>
        </w:rPr>
      </w:pPr>
      <w:r>
        <w:rPr>
          <w:rFonts w:ascii="Times New Roman" w:cs="Times New Roman" w:eastAsia="Times New Roman" w:hAnsi="Times New Roman"/>
          <w:sz w:val="17"/>
          <w:szCs w:val="17"/>
          <w:color w:val="auto"/>
        </w:rPr>
        <w:t>Leadership in Energy and Environmental Design (“LEED”) is a voluntary, third-party building certification process developed by the U.S. Green Building Council (“USGBC”), a non-profit organization. The USGBC developed the LEED certification process to (i) evaluate the environmental performance from a whole-building perspective over a building’s life cycle, (ii) provide a definitive standard for what constitutes a “green building,”</w:t>
      </w:r>
    </w:p>
    <w:p>
      <w:pPr>
        <w:spacing w:after="0" w:line="2" w:lineRule="exact"/>
        <w:rPr>
          <w:sz w:val="20"/>
          <w:szCs w:val="20"/>
          <w:color w:val="auto"/>
        </w:rPr>
      </w:pPr>
    </w:p>
    <w:p>
      <w:pPr>
        <w:ind w:left="120" w:right="160" w:hanging="4"/>
        <w:spacing w:after="0" w:line="255"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enhance environmental awareness among architects and building contractors and (iv) encourage the design and construction of energy-efficient, water-conserving buildings that use sustainable or green resources and materials. (Please see </w:t>
      </w:r>
      <w:r>
        <w:rPr>
          <w:rFonts w:ascii="Times New Roman" w:cs="Times New Roman" w:eastAsia="Times New Roman" w:hAnsi="Times New Roman"/>
          <w:sz w:val="18"/>
          <w:szCs w:val="18"/>
          <w:u w:val="single" w:color="auto"/>
          <w:color w:val="auto"/>
        </w:rPr>
        <w:t>www.usgbc.org</w:t>
      </w:r>
      <w:r>
        <w:rPr>
          <w:rFonts w:ascii="Times New Roman" w:cs="Times New Roman" w:eastAsia="Times New Roman" w:hAnsi="Times New Roman"/>
          <w:sz w:val="18"/>
          <w:szCs w:val="18"/>
          <w:color w:val="auto"/>
        </w:rPr>
        <w:t xml:space="preserve"> for more information; the contents of this website are not incorporated by reference herein or otherwise a part of this prospectus supplement).</w:t>
      </w:r>
    </w:p>
    <w:p>
      <w:pPr>
        <w:spacing w:after="0" w:line="18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Including amounts that we currently expect to invest in buildings in progress, we estimate that our approximate investment in buildings that have received, or are expected to receive upon completion, LEED certification since 2020 will be between $800 million and $1.1 billion.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Project Evaluation and Selection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 determine the allocation of an amount equal to the net proceeds from this offering to the financing and refinancing of recently completed and future Eligible Green Projects, our sustainability department will make recommendations to our Chief Financial Officer, and our Chief Financial Officer will make the final determination as to which Eligible Green Projects will be allocated a portion of such amount and the portion to be allocated to each Eligible Green Project selected.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Proceeds of the Notes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 refinancing of recently completed and future Eligible Green Projects. As long as the notes are outstanding, our internal records will show the allocation of the portion of the amount equal to the net proceeds from this offering to Eligible Green Projects.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Pending such allocation, we may invest the net proceeds in short-term income-producing investments or may use the net proceeds to temporarily repay current and/or future amounts outstanding under our revolving credit facility. Net proceeds allocated to previously incurred costs associated with Eligible Green Projects will be available for repayment of debt or other uses.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Payment of principal of and interest on the notes will be made from our general funds and will not be directly linked to the performance of any Eligible Green Projects.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46"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During the term of the notes, until such time as an amount equal to the net proceeds from this offering has been fully allocated to the financing and refinancing of Eligible Green Projects, we will publish annual updates in a report on our website detailing, at a minimum, the allocation of such amount to specific Eligible Green Projects, together with the level of LEED certification achieved. Our updates will be accompanied by (i) an assertion by management that the net proceeds from this offering were invested in qualifying Eligible Green Projects and (ii) a report from an independent accountant in respect of the independent accountant’s examination of management’s assertion conducted in accordance with attestation standards established by the American Institute of Certified Public Accountants. The information and materials found on our website, except for our Securities and Exchange Commission filings expressly described under “Where You Can Find More Information” in the accompanying prospectus, are not part of this prospectus supplement or the accompanying prospectus and are not incorporated by reference herein or therein.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2.75% Notes due 2023</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December 31, 2022, 2.75% Notes due 2023 with an aggregate principal amount of $275 million were outstanding. The 2.75% Notes due 2023 are scheduled to mature on June 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Revolving Credit Facility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$1.25 billion revolving credit facility matures on April 5, 2027, subject to two six-month extensions at our option.</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Our loans based on the secured overnight financing rate (“SOFR”)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 As of December 31, 2022 there was no outstanding balance under our revolving credit facility ($66 million as of April 3, 2023).</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Affiliates of certain of the underwriters are lenders under our revolving credit facility and/or may be beneficial owners of some of our 2.75% Notes due 2023. Any such affiliates will receive a pro rata portion of the net proceeds used to repay amounts outstanding under our revolving credit facility and/or to repay our 2.75% Notes due 2023. See “Underwriting (Conflicts of Interest) — Conflicts of Interest.”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that may be Offered by Federal Realty OP LP.” Certain terms used in this prospectus supplement are defined in that section of the accompanying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are offering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of 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notes maturing 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which may be redeemed prior to such date in accordance with their</w:t>
      </w:r>
    </w:p>
    <w:p>
      <w:pPr>
        <w:spacing w:after="0" w:line="38" w:lineRule="exact"/>
        <w:rPr>
          <w:sz w:val="20"/>
          <w:szCs w:val="20"/>
          <w:color w:val="auto"/>
        </w:rPr>
      </w:pPr>
    </w:p>
    <w:p>
      <w:pPr>
        <w:sectPr>
          <w:pgSz w:w="11900" w:h="16838" w:orient="portrait"/>
          <w:cols w:equalWidth="0" w:num="5">
            <w:col w:w="1420" w:space="720"/>
            <w:col w:w="1000" w:space="220"/>
            <w:col w:w="1540" w:space="720"/>
            <w:col w:w="280" w:space="180"/>
            <w:col w:w="504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terms.</w:t>
      </w:r>
    </w:p>
    <w:p>
      <w:pPr>
        <w:sectPr>
          <w:pgSz w:w="11900" w:h="16838" w:orient="portrait"/>
          <w:cols w:equalWidth="0" w:num="1">
            <w:col w:w="11120"/>
          </w:cols>
          <w:pgMar w:left="320" w:top="455" w:right="459" w:bottom="1440" w:gutter="0" w:footer="0" w:header="0"/>
          <w:type w:val="continuous"/>
        </w:sectPr>
      </w:pPr>
    </w:p>
    <w:p>
      <w:pPr>
        <w:spacing w:after="0" w:line="218"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We will pay interest on the notes semi-annually in arrears at an annual rate of % on and of each year, beginning to the registered holders of the notes on the preceding and . Interest will be computed and paid on the basis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2023,</w:t>
      </w:r>
    </w:p>
    <w:p>
      <w:pPr>
        <w:spacing w:after="0" w:line="244" w:lineRule="exact"/>
        <w:rPr>
          <w:sz w:val="20"/>
          <w:szCs w:val="20"/>
          <w:color w:val="auto"/>
        </w:rPr>
      </w:pPr>
    </w:p>
    <w:p>
      <w:pPr>
        <w:sectPr>
          <w:pgSz w:w="11900" w:h="16838" w:orient="portrait"/>
          <w:cols w:equalWidth="0" w:num="2">
            <w:col w:w="9880" w:space="720"/>
            <w:col w:w="520"/>
          </w:cols>
          <w:pgMar w:left="320" w:top="455" w:right="459" w:bottom="1440" w:gutter="0" w:footer="0" w:header="0"/>
          <w:type w:val="continuous"/>
        </w:sect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not be guaranteed by Federal Realty Investment Trust or any of its or our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defeasance and covenant defeasance provisions of the indenture apply to the notes. The notes will not be entitled to the benefit of any sinking fund.</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The notes will be our senior unsecured obligations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 existing and future unsecured and unsubordinated indebtedness. The notes will be effectively subordinated to the prior claims of each secured mortgage lender to any specific property that secures such lender’s mortgage and to all of the unsecured indebtedness of our subsidiaries. At December 31, 2022, we had outstanding approximately $322 million (excluding net unamortized premium and debt issuance costs) of consolidated secured indebtedness, which was issued by our subsidiaries and is collateralized by all or parts of 7 properties, and which ranks senior to the notes to the extent of securing collateral and will also be structurally senior to the notes, approximately $3 million (excluding net unamortized debt issuance costs) of unsecured indebtedness issued by our subsidiaries, which will be structurally senior to the notes, and approximately $4,019 million of unsecured indebtedness (excluding net unamortized premium or discount and debt issuance costs), which will rank equally with the notes.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spacing w:after="0"/>
        <w:tabs>
          <w:tab w:leader="none" w:pos="1400" w:val="left"/>
          <w:tab w:leader="none" w:pos="2180" w:val="left"/>
          <w:tab w:leader="none" w:pos="2940" w:val="left"/>
        </w:tabs>
        <w:rPr>
          <w:sz w:val="20"/>
          <w:szCs w:val="20"/>
          <w:color w:val="auto"/>
        </w:rPr>
      </w:pPr>
      <w:r>
        <w:rPr>
          <w:rFonts w:ascii="Times New Roman" w:cs="Times New Roman" w:eastAsia="Times New Roman" w:hAnsi="Times New Roman"/>
          <w:sz w:val="18"/>
          <w:szCs w:val="18"/>
          <w:color w:val="auto"/>
        </w:rPr>
        <w:t>Prior 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months prior to their maturity date) (the “Par Call Date”), we may redeem the notes at our option, in whole or in</w:t>
      </w:r>
    </w:p>
    <w:p>
      <w:pPr>
        <w:spacing w:after="0" w:line="27" w:lineRule="exact"/>
        <w:rPr>
          <w:sz w:val="20"/>
          <w:szCs w:val="20"/>
          <w:color w:val="auto"/>
        </w:rPr>
      </w:pPr>
    </w:p>
    <w:p>
      <w:pPr>
        <w:jc w:val="both"/>
        <w:ind w:left="120" w:right="60"/>
        <w:spacing w:after="0" w:line="260" w:lineRule="auto"/>
        <w:rPr>
          <w:sz w:val="20"/>
          <w:szCs w:val="20"/>
          <w:color w:val="auto"/>
        </w:rPr>
      </w:pPr>
      <w:r>
        <w:rPr>
          <w:rFonts w:ascii="Times New Roman" w:cs="Times New Roman" w:eastAsia="Times New Roman" w:hAnsi="Times New Roman"/>
          <w:sz w:val="18"/>
          <w:szCs w:val="18"/>
          <w:color w:val="auto"/>
        </w:rPr>
        <w:t>part, at any time and from time to time, at a redemption price (expressed as a percentage of principal amount and rounded to three decimal places) equal to the greater of:</w:t>
      </w:r>
    </w:p>
    <w:p>
      <w:pPr>
        <w:spacing w:after="0" w:line="73" w:lineRule="exact"/>
        <w:rPr>
          <w:sz w:val="20"/>
          <w:szCs w:val="20"/>
          <w:color w:val="auto"/>
        </w:rPr>
      </w:pPr>
    </w:p>
    <w:p>
      <w:pPr>
        <w:ind w:left="560" w:right="240" w:hanging="4"/>
        <w:spacing w:after="0" w:line="276" w:lineRule="auto"/>
        <w:tabs>
          <w:tab w:leader="none" w:pos="8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w:t>
      </w:r>
    </w:p>
    <w:p>
      <w:pPr>
        <w:spacing w:after="0" w:line="1" w:lineRule="exact"/>
        <w:rPr>
          <w:sz w:val="20"/>
          <w:szCs w:val="20"/>
          <w:color w:val="auto"/>
        </w:rPr>
      </w:pPr>
    </w:p>
    <w:p>
      <w:pPr>
        <w:ind w:left="560"/>
        <w:spacing w:after="0"/>
        <w:tabs>
          <w:tab w:leader="none" w:pos="2600" w:val="left"/>
        </w:tabs>
        <w:rPr>
          <w:sz w:val="20"/>
          <w:szCs w:val="20"/>
          <w:color w:val="auto"/>
        </w:rPr>
      </w:pPr>
      <w:r>
        <w:rPr>
          <w:rFonts w:ascii="Times New Roman" w:cs="Times New Roman" w:eastAsia="Times New Roman" w:hAnsi="Times New Roman"/>
          <w:sz w:val="18"/>
          <w:szCs w:val="18"/>
          <w:color w:val="auto"/>
        </w:rPr>
        <w:t>Treasury Rate plus</w:t>
      </w:r>
      <w:r>
        <w:rPr>
          <w:sz w:val="20"/>
          <w:szCs w:val="20"/>
          <w:color w:val="auto"/>
        </w:rPr>
        <w:tab/>
      </w:r>
      <w:r>
        <w:rPr>
          <w:rFonts w:ascii="Times New Roman" w:cs="Times New Roman" w:eastAsia="Times New Roman" w:hAnsi="Times New Roman"/>
          <w:sz w:val="18"/>
          <w:szCs w:val="18"/>
          <w:color w:val="auto"/>
        </w:rPr>
        <w:t>basis points less (b) interest accrued to the date of redemption, and</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Partnership in accordance with the following two paragraphs.</w:t>
      </w:r>
    </w:p>
    <w:p>
      <w:pPr>
        <w:spacing w:after="0" w:line="2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Partnership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Partnership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Partnership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Partnership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Partnership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(or another depositary), the redemption of the notes shall be done in accordance with the policies and procedures of the depositary.</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the Partnership defaults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Limitations on Incurrence of Debt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will not, and will not permit any subsidiary to, incur any Debt if, immediately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3"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Maintenance of Unencumbered Total Asset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together with our subsidiaries, will at all times maintain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Unencumbered Total Asset Value in an amount not less than 150% of the aggregate outstanding principal amount of all our and our subsidiaries’ unsecured Debt, taken as a whole.</w:t>
      </w:r>
    </w:p>
    <w:p>
      <w:pPr>
        <w:spacing w:after="0" w:line="171"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will, and will cause each of our subsidiaries to, maintain insurance with financially sound and reputable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second amended and restated credit agreement dated as of October 5, 2022,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w:t>
      </w:r>
    </w:p>
    <w:p>
      <w:pPr>
        <w:spacing w:after="0" w:line="11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Debt Service Charge</w:t>
      </w:r>
      <w:r>
        <w:rPr>
          <w:rFonts w:ascii="Times New Roman" w:cs="Times New Roman" w:eastAsia="Times New Roman" w:hAnsi="Times New Roman"/>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58"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Available for Debt Service</w:t>
      </w:r>
      <w:r>
        <w:rPr>
          <w:rFonts w:ascii="Times New Roman" w:cs="Times New Roman" w:eastAsia="Times New Roman" w:hAnsi="Times New Roman"/>
          <w:sz w:val="18"/>
          <w:szCs w:val="18"/>
          <w:color w:val="auto"/>
        </w:rPr>
        <w:t>” for any period means our and our subsidiaries’ Funds from Operations plus amounts which have been deducted for interest on our and our subsidiaries’ Debt.</w:t>
      </w:r>
    </w:p>
    <w:p>
      <w:pPr>
        <w:spacing w:after="0" w:line="158"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1" w:lineRule="exact"/>
        <w:rPr>
          <w:sz w:val="20"/>
          <w:szCs w:val="20"/>
          <w:color w:val="auto"/>
        </w:rPr>
      </w:pPr>
    </w:p>
    <w:p>
      <w:pPr>
        <w:ind w:left="120" w:hanging="4"/>
        <w:spacing w:after="0" w:line="268" w:lineRule="auto"/>
        <w:tabs>
          <w:tab w:leader="none" w:pos="3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5"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Disqualified Stock</w:t>
      </w:r>
      <w:r>
        <w:rPr>
          <w:rFonts w:ascii="Times New Roman" w:cs="Times New Roman" w:eastAsia="Times New Roman" w:hAnsi="Times New Roman"/>
          <w:sz w:val="17"/>
          <w:szCs w:val="17"/>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64"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Funds from Operations</w:t>
      </w:r>
      <w:r>
        <w:rPr>
          <w:rFonts w:ascii="Times New Roman" w:cs="Times New Roman" w:eastAsia="Times New Roman" w:hAnsi="Times New Roman"/>
          <w:sz w:val="18"/>
          <w:szCs w:val="18"/>
          <w:color w:val="auto"/>
        </w:rPr>
        <w:t>” for any period means income available to common shareholders before depreciation and amortization of real estate assets and before extraordinary items less gain on sale of real estate.</w:t>
      </w:r>
    </w:p>
    <w:p>
      <w:pPr>
        <w:spacing w:after="0" w:line="158" w:lineRule="exact"/>
        <w:rPr>
          <w:sz w:val="20"/>
          <w:szCs w:val="20"/>
          <w:color w:val="auto"/>
        </w:rPr>
      </w:pPr>
    </w:p>
    <w:p>
      <w:pPr>
        <w:ind w:left="120" w:right="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58"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73"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“Unencumbered Total Asset Value” </w:t>
      </w:r>
      <w:r>
        <w:rPr>
          <w:rFonts w:ascii="Times New Roman" w:cs="Times New Roman" w:eastAsia="Times New Roman" w:hAnsi="Times New Roman"/>
          <w:sz w:val="17"/>
          <w:szCs w:val="17"/>
          <w:color w:val="auto"/>
        </w:rPr>
        <w:t>as of any date means the sum of (a) those Undepreciated Real Estate Assets not encumbered by any mortgage, lien,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“Description of Debt Securities — Certain Covenants” in the accompanying prospectus for a description of additional covenants applicable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subject to the following events of default:</w:t>
      </w:r>
    </w:p>
    <w:p>
      <w:pPr>
        <w:spacing w:after="0" w:line="117" w:lineRule="exact"/>
        <w:rPr>
          <w:sz w:val="20"/>
          <w:szCs w:val="20"/>
          <w:color w:val="auto"/>
        </w:rPr>
      </w:pPr>
    </w:p>
    <w:p>
      <w:pPr>
        <w:ind w:left="120" w:right="240" w:hanging="4"/>
        <w:spacing w:after="0" w:line="282"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3" w:lineRule="exact"/>
        <w:rPr>
          <w:rFonts w:ascii="Times New Roman" w:cs="Times New Roman" w:eastAsia="Times New Roman" w:hAnsi="Times New Roman"/>
          <w:sz w:val="18"/>
          <w:szCs w:val="18"/>
          <w:color w:val="auto"/>
        </w:rPr>
      </w:pPr>
    </w:p>
    <w:p>
      <w:pPr>
        <w:ind w:left="120" w:right="360" w:hanging="4"/>
        <w:spacing w:after="0" w:line="282"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117" w:lineRule="exact"/>
        <w:rPr>
          <w:rFonts w:ascii="Times New Roman" w:cs="Times New Roman" w:eastAsia="Times New Roman" w:hAnsi="Times New Roman"/>
          <w:sz w:val="18"/>
          <w:szCs w:val="18"/>
          <w:color w:val="auto"/>
        </w:rPr>
      </w:pPr>
    </w:p>
    <w:p>
      <w:pPr>
        <w:ind w:left="120" w:hanging="4"/>
        <w:spacing w:after="0" w:line="266"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68" w:lineRule="exact"/>
        <w:rPr>
          <w:sz w:val="20"/>
          <w:szCs w:val="20"/>
          <w:color w:val="auto"/>
        </w:rPr>
      </w:pPr>
    </w:p>
    <w:p>
      <w:pPr>
        <w:ind w:left="360" w:hanging="244"/>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120" w:right="40" w:hanging="4"/>
        <w:spacing w:after="0" w:line="254"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8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360" w:hanging="2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117"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 days.</w:t>
      </w:r>
    </w:p>
    <w:p>
      <w:pPr>
        <w:spacing w:after="0" w:line="11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117" w:lineRule="exact"/>
        <w:rPr>
          <w:sz w:val="20"/>
          <w:szCs w:val="20"/>
          <w:color w:val="auto"/>
        </w:rPr>
      </w:pPr>
    </w:p>
    <w:p>
      <w:pPr>
        <w:ind w:left="120" w:right="240" w:hanging="4"/>
        <w:spacing w:after="0" w:line="282"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53"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Form</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8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3" w:lineRule="exact"/>
        <w:rPr>
          <w:sz w:val="20"/>
          <w:szCs w:val="20"/>
          <w:color w:val="auto"/>
        </w:rPr>
      </w:pPr>
    </w:p>
    <w:p>
      <w:pPr>
        <w:ind w:left="120" w:right="60" w:hanging="4"/>
        <w:spacing w:after="0" w:line="253"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9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62"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MATERIAL FEDERAL INCOME TAX CONSIDERATIONS</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For a discussion of the material federal income tax issues that you may consider relevant relating to our status as the operating partnership for the Company and the Company’s taxation as a REIT, see “Material Federal Income Tax Considerations” beginning on page 33 of the accompanying prospectus. This discussion supplements and updates the discussion contained in the prospectus under the heading “Material Federal Income Tax Considerations,” and supersedes such discussion to the extent inconsistent with such discussion.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United States persons within the meaning of Section 7701(a)(30) of the Code (“United States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92" w:lineRule="exact"/>
        <w:rPr>
          <w:sz w:val="20"/>
          <w:szCs w:val="20"/>
          <w:color w:val="auto"/>
        </w:rPr>
      </w:pPr>
    </w:p>
    <w:p>
      <w:pPr>
        <w:ind w:left="120" w:right="640"/>
        <w:spacing w:after="0" w:line="317" w:lineRule="auto"/>
        <w:rPr>
          <w:sz w:val="20"/>
          <w:szCs w:val="20"/>
          <w:color w:val="auto"/>
        </w:rPr>
      </w:pPr>
      <w:r>
        <w:rPr>
          <w:rFonts w:ascii="Times New Roman" w:cs="Times New Roman" w:eastAsia="Times New Roman" w:hAnsi="Times New Roman"/>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24"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Treasury, and statutory changes, new regulations, revisions to existing regulations and revised interpretations of established concepts are issued frequently. No prediction can be made as to the likelihood of passage of new tax legislation or other provisions, or the direct or indirect effect on us and our securities holders. Revisions to tax laws and interpretations of these laws could adversely affect the Company’s ability to qualify and be taxed as a REIT, as well as the tax or other consequences of an investment in our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Holders of the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“Non-U.S. Holder” means any beneficial owner of a note that is neither a U.S. Holder nor an entity or arrangement treated as a partnership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Stated Interest on the Notes. </w:t>
      </w:r>
      <w:r>
        <w:rPr>
          <w:rFonts w:ascii="Times New Roman" w:cs="Times New Roman" w:eastAsia="Times New Roman" w:hAnsi="Times New Roman"/>
          <w:sz w:val="18"/>
          <w:szCs w:val="18"/>
          <w:color w:val="auto"/>
        </w:rPr>
        <w:t>A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generally will be required to include stated interest payable on the notes as ordinary income when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accrued in accordance with the U.S. Holder’s regular method of tax accounting to the extent such interest is “qualified stated interest.” In general, stated interest is qualified stated interest if it is unconditionally payable in cash at least annually at a single fixed rate or one or more qualified floating rates. The stated interest on the notes will be qualified stated interest.</w:t>
      </w:r>
    </w:p>
    <w:p>
      <w:pPr>
        <w:spacing w:after="0" w:line="176"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OID and Issue Price of the Notes. </w:t>
      </w:r>
      <w:r>
        <w:rPr>
          <w:rFonts w:ascii="Times New Roman" w:cs="Times New Roman" w:eastAsia="Times New Roman" w:hAnsi="Times New Roman"/>
          <w:sz w:val="18"/>
          <w:szCs w:val="18"/>
          <w:color w:val="auto"/>
        </w:rPr>
        <w:t>A debt instrument generally has original issue discount, or OID, if its “stated redemption price at maturity” exceeds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its “issue price” by an amount that is equal to or greater than a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8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 xml:space="preserve">It is expected, and this discussion assumes, that the issue price of the notes will not be less than the stated principal amount of the notes by an amount that is equal to or greater than the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U.S. Holders should consult their tax advisors regarding the determination of the issue price of the notes and the possible application of the OID rules.</w:t>
      </w:r>
    </w:p>
    <w:p>
      <w:pPr>
        <w:spacing w:after="0" w:line="17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Redemption, or Other Taxable Disposition of the Notes. </w:t>
      </w:r>
      <w:r>
        <w:rPr>
          <w:rFonts w:ascii="Times New Roman" w:cs="Times New Roman" w:eastAsia="Times New Roman" w:hAnsi="Times New Roman"/>
          <w:sz w:val="18"/>
          <w:szCs w:val="18"/>
          <w:color w:val="auto"/>
        </w:rPr>
        <w:t>Unless a non-recognition provision applies, upon the sale,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Unearned Income Medicare Contribution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U.S. Holders that are individuals, estates or trusts are subject to a 3.8% Medicare tax on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Holders Holding Notes Through Foreign Accounts or Intermediaries. </w:t>
      </w:r>
      <w:r>
        <w:rPr>
          <w:rFonts w:ascii="Times New Roman" w:cs="Times New Roman" w:eastAsia="Times New Roman" w:hAnsi="Times New Roman"/>
          <w:sz w:val="18"/>
          <w:szCs w:val="18"/>
          <w:color w:val="auto"/>
        </w:rPr>
        <w:t>U.S. Holders holding their notes through foreign accounts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intermediaries should refer to “— Non-U.S. Holders — FATCA Regime” below.</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information reporting will apply to a U.S. Holder (other than an “exempt recipient,”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corporation and certain other persons who, when required, demonstrate their exempt status) with respect to:</w:t>
      </w:r>
    </w:p>
    <w:p>
      <w:pPr>
        <w:spacing w:after="0" w:line="6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of principal of, premium, if any, and interest on,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proceeds of a sale or other disposition of the notes.</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Subject to the rules described below under “— Information Reporting and Backup Withholding” and “— FATCA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Regime,” a Non-U.S. Holder generally will not be subject to U.S. federal income or withholding tax on payments of interest on a note, provided that:</w:t>
      </w:r>
    </w:p>
    <w:p>
      <w:pPr>
        <w:spacing w:after="0" w:line="112"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indirect or constructive owner of 10% or more of the Partnership’s capital or profits;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related to us under specified ownership rules;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whose receipt of interest on a note is pursuant to a loan agreement entered into in the ordinary course of business;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payments are not effectively connected with the conduct by the Non-U.S. Holder of a trade or business within the United States; and</w:t>
      </w:r>
    </w:p>
    <w:p>
      <w:pPr>
        <w:spacing w:after="0" w:line="188"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 Non-U.S. Holder that is not exempt from tax under these rules generally will be subject to U.S. federal income tax withholding at a rate of 30% unless:</w:t>
      </w:r>
    </w:p>
    <w:p>
      <w:pPr>
        <w:spacing w:after="0" w:line="67" w:lineRule="exact"/>
        <w:rPr>
          <w:sz w:val="20"/>
          <w:szCs w:val="20"/>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entitled to the benefits of an applicable income tax treaty, which provides for a lower rate of, or exemption from, withholding tax.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federal income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8"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Redemption, or Other Taxable Disposition of the Notes. </w:t>
      </w:r>
      <w:r>
        <w:rPr>
          <w:rFonts w:ascii="Times New Roman" w:cs="Times New Roman" w:eastAsia="Times New Roman" w:hAnsi="Times New Roman"/>
          <w:sz w:val="18"/>
          <w:szCs w:val="18"/>
          <w:color w:val="auto"/>
        </w:rPr>
        <w:t>Subject to the rules described below under “— Information Reporting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0" w:lineRule="exact"/>
        <w:rPr>
          <w:sz w:val="20"/>
          <w:szCs w:val="20"/>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disposition and meets certain other requirements.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Payments to a Non-U.S. Holder of interest on a note generally will be reported to the IRS and</w:t>
      </w:r>
    </w:p>
    <w:p>
      <w:pPr>
        <w:spacing w:after="0" w:line="31"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to 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United States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United States person or that the conditions of any other exemption are not, in fact, satisfied.</w:t>
      </w:r>
    </w:p>
    <w:p>
      <w:pPr>
        <w:spacing w:after="0" w:line="19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(a foreign corporation controlled by certain U.S. shareholders) for U.S. federal income tax purposes;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partnership, if at any time during its tax year more than 50% of its income or capital interest are held by United States persons or if it is engaged in the conduct of a trade or business in the United States;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branch of a foreign bank or insurance company that is treated as a United States person;</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5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FATCA Regime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sections 1471 through 1474 of the Code, Treasury regulations and related guidance (commonly referred to as “FATCA”), a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withholding tax will be imposed in certain circumstances on payments of (i) interest on the notes and (ii) subject to the proposed Treasury regulations discussed below, gross proceeds from the sale or other disposition of the notes (which includes redemption and retirement of the notes). Proposed Treasury regulations would, when finalized, eliminate FATCA withholding on the gross proceeds from a sale or other disposition of instruments, such as the notes, that produce U.S. source interest.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for whom J.P. Morgan Securities LLC, PNC Capital Markets LLC, TD Securities (USA) LLC and BofA Securities, Inc. are acting as representatives. Subject to the terms and conditions stated in an underwriting agreement, dated the date of this prospectus supplement, each underwriter named below has severally agreed to purchase, and we have agreed to sell to that underwriter, the principal amount of the notes listed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980" w:type="dxa"/>
            <w:vAlign w:val="bottom"/>
            <w:vMerge w:val="restart"/>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7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public offering price, depending on prevailing interest rates, the market for similar securities, our operating performance and financial condition, general economic conditions and other factors.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the expenses of this offering payable by us, excluding the underwriting discount, will be approximately $0.8 million.</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next to last paragraph of the cover page of this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a percentage of the principal amount of the notes).</w:t>
      </w:r>
    </w:p>
    <w:p>
      <w:pPr>
        <w:spacing w:after="0" w:line="182"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u w:val="single" w:color="auto"/>
          <w:color w:val="auto"/>
        </w:rPr>
        <w:t>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7620</wp:posOffset>
            </wp:positionV>
            <wp:extent cx="474916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ind w:left="1880"/>
        <w:spacing w:after="0"/>
        <w:tabs>
          <w:tab w:leader="none" w:pos="9140" w:val="left"/>
        </w:tabs>
        <w:rPr>
          <w:sz w:val="20"/>
          <w:szCs w:val="20"/>
          <w:color w:val="auto"/>
        </w:rPr>
      </w:pPr>
      <w:r>
        <w:rPr>
          <w:rFonts w:ascii="Times New Roman" w:cs="Times New Roman" w:eastAsia="Times New Roman" w:hAnsi="Times New Roman"/>
          <w:sz w:val="18"/>
          <w:szCs w:val="18"/>
          <w:color w:val="auto"/>
        </w:rPr>
        <w:t>Per note</w:t>
      </w:r>
      <w:r>
        <w:rPr>
          <w:sz w:val="20"/>
          <w:szCs w:val="20"/>
          <w:color w:val="auto"/>
        </w:rPr>
        <w:tab/>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connection with this offering, the representatives, on behalf of the underwriters, may purchase and sell notes in the open market. These transactions may include short sales and purchases on the open market to cover positions created by short sales. Short sales involve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w:t>
      </w:r>
    </w:p>
    <w:p>
      <w:pPr>
        <w:spacing w:after="0" w:line="16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notes or preventing or retarding a decline in the market price of the notes. They may also cause the price of the notes to be higher than the price that otherwise would exist in the open market in the absence of these transactions.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Affiliates of certain of the underwriters are lenders under our revolving credit facility and/or may be beneficial owners of some of our 2.75% Notes due 2023. Such affiliates will receive a pro rata portion of any net proceeds from this offering used to repay amounts outstanding under our revolving credit facility and/or to repay our 2.75% Notes due 2023 and may receive more than 5% of the proceeds from this offering (not including the underwriting discount). In any such case, this offering will be conducted in accordance with FINRA Rule 5121 and such underwriter or underwriters will not confirm sales of the notes to accounts over which they exercise discretionary authority without the prior written approval of the customer. However, the appointment of a “qualified independent underwriter” is not required under FINRA Rule 5121 for this offering because the notes are “investment grade rated” as defined under such rule.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Certain of the underwriters and their affiliates have engaged in, and may in the future engage in, investment banking, commercial banking and other commercial dealings in the ordinary course of business with us or our affiliates. Additionally, affiliates of certain of the underwriters are lenders under our $1.25 billion revolving credit facility.</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540"/>
        <w:spacing w:after="0" w:line="272" w:lineRule="auto"/>
        <w:rPr>
          <w:sz w:val="20"/>
          <w:szCs w:val="20"/>
          <w:color w:val="auto"/>
        </w:rPr>
      </w:pPr>
      <w:r>
        <w:rPr>
          <w:rFonts w:ascii="Times New Roman" w:cs="Times New Roman" w:eastAsia="Times New Roman" w:hAnsi="Times New Roman"/>
          <w:sz w:val="17"/>
          <w:szCs w:val="17"/>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Accordingly, such documents and/or materials are not being distributed to, and must not be passed on to, the general public in the United Kingdom. This document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other persons to whom it may otherwise lawfully be made under the Financial Promotion Order (all such persons together being referred to as “relevant persons”). This document is directed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relates will be engaged in only with relevant persons. Any person in the United Kingdom that is not a relevant person should not act or rely on this prospectus supplement, the accompanying prospectus, any related free writing prospectus or any of their contents.</w:t>
      </w:r>
    </w:p>
    <w:p>
      <w:pPr>
        <w:spacing w:after="0" w:line="193"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notes in, from or otherwise involving the United Kingdom.</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is not a prospectus for the purposes of Regulation (EU) 2017/1129 as it forms part of domestic law in the United Kingdom by virtue of the European Union (Withdrawal) Act 2018, as amended by the European Union (Withdrawal Agreement) Act 2020 (the “EUWA”)(the “UK Prospectus Regulation”). This prospectus supplement, the accompanying prospectus and any related free writing prospectus have been prepared on the basis that any offer of notes in the United Kingdom will only be made to a legal entity which is a qualified investor under the UK Prospectus Regulation (“UK Qualified Investors”). Accordingly, any person making or intending to make an offer in the United Kingdom of notes which are the subject of the offering contemplated in this prospectus supplement, the accompanying prospectus or any related free writing prospectus may only do so with respect to UK Qualified Investors. Neither Federal Realty Investment Trust nor the underwriters have authorized, nor do they authorize, the making of any offer of notes other than to UK Qualified Investors.</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Prohibition of Sales to UK Retail Investors - </w:t>
      </w:r>
      <w:r>
        <w:rPr>
          <w:rFonts w:ascii="Times New Roman" w:cs="Times New Roman" w:eastAsia="Times New Roman" w:hAnsi="Times New Roman"/>
          <w:sz w:val="18"/>
          <w:szCs w:val="18"/>
          <w:color w:val="auto"/>
        </w:rPr>
        <w:t>The notes are not intended to be offered, sold or otherwise made available to and should not be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or otherwise made available to any retail investor in the United Kingdom. For these purposes, (1) the expression “retail investor” means a person who is one (or more) of: (a) a retail client, as defined in point (8) of Article 2 of Regulation (EU) No 2017/565 as it forms part of domestic law in the United Kingdom by virtue of the EUWA; or (b) a customer within the meaning of the provisions in the FSMA and any rules or regulations made under the FSMA to implement Directive (EU) 2016/97 (the Insurance Distribution Directive), where that customer would not qualify as a professional client, as defined in point (8) of Article 2(1) of Regulation (EU) No 600/2014 as it forms part of domestic law in the United Kingdom by virtue of the EUWA; or (c) not a qualified investor as defined in Article 2 of the UK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in the United Kingdom by virtue of the EUWA (the “UK PRIIPs Regulation”) for offering or selling the notes or otherwise making them available to any retail investor in the United Kingdom may be unlawful under the UK PRIIPs Regulation.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prospectus supplement, the accompanying prospectus and any related free writing prospectus is not a prospectus for the purposes of the Regulation (EU) 2017/112 (the “Prospectus Regulation”).This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(“EEA Qualified Investors”). Accordingly, any person making or intending to make an offer in that Member State of notes which are the subject of the offering contemplated in this prospectus supplement, the accompanying prospectus and any related free writing prospectus may only do so with respect to EEA Qualified Investors. Neither Federal Realty Investment Trust nor the underwriters have authorized, nor do they authorize, the making of any offer of notes other than to EEA Qualified Investors.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Prohibition of Sales to EEA Retail Investors </w:t>
      </w:r>
      <w:r>
        <w:rPr>
          <w:rFonts w:ascii="Times New Roman" w:cs="Times New Roman" w:eastAsia="Times New Roman" w:hAnsi="Times New Roman"/>
          <w:sz w:val="18"/>
          <w:szCs w:val="18"/>
          <w:color w:val="auto"/>
        </w:rPr>
        <w:t>– The notes are not intended to be offered, sold or otherwise made available to and should not be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or otherwise made available to any retail investor in the EEA. For these purposes: (1) a retail investor means a person who is one (or more) of: (a) a retail client as defined in point (11) of Article 4(1) of Directive 2014/65/EU, as amended (“MiFID II”); or (b) a customer within the meaning of the Insurance Distribution Directive, where that customer would not qualify as a professional client as defined in point (10) of Article 4(1) of MiFID II; or</w:t>
      </w:r>
    </w:p>
    <w:p>
      <w:pPr>
        <w:spacing w:after="0" w:line="1" w:lineRule="exact"/>
        <w:rPr>
          <w:sz w:val="20"/>
          <w:szCs w:val="20"/>
          <w:color w:val="auto"/>
        </w:rPr>
      </w:pPr>
    </w:p>
    <w:p>
      <w:pPr>
        <w:ind w:left="120" w:hanging="4"/>
        <w:spacing w:after="0" w:line="253" w:lineRule="auto"/>
        <w:tabs>
          <w:tab w:leader="none" w:pos="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the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may be unlawful under the PRIIPs Regulation.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122"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France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Autorite des Marches Financiers or of the competent authority of another member state of the European Economic Area and notified to the Autorite des Marches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monetaire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monetaire et financier and article 211-2 of the General Regulations (Reglement General) of the Autorite des Marches Financiers, does not constitute a public offer (appelpublic dl’epargne).</w:t>
      </w:r>
    </w:p>
    <w:p>
      <w:pPr>
        <w:spacing w:after="0" w:line="176" w:lineRule="exact"/>
        <w:rPr>
          <w:sz w:val="20"/>
          <w:szCs w:val="20"/>
          <w:color w:val="auto"/>
        </w:rPr>
      </w:pPr>
    </w:p>
    <w:p>
      <w:pPr>
        <w:ind w:left="120" w:right="420" w:firstLine="1432"/>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Germany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offer or solicitation of the notes within Germany must be in full compliance with the German Securities Prospectus Act Wertpapierprospektgesetz —WpPG. The offer and solicitation of the notes to the public in Germany requires the publication of a prospectus that has to be filed with and approved by the German Federal Financial Services Supervisory Authority Bundesanstalt fur Finanzdienstleistungsaufsicht—BaFin. This prospectus supplement has not been and will not be submitted for filing and approval to the BaFin and consequently will not be published. Therefore, this prospectus supplement does not constitute a public offer under the German Securities Prospectus Act Wertpapierprospektgesetz. This prospectus supplement and any other document relating to the notes as well as any information contained therein must therefore not be supplied to the public in Germany or used in connection with any offer for subscription of the notes to the public in Germany, any public marketing of the notes or any public solicitation for offers to subscribe for or otherwise acquire the notes. This prospectus supplement and other offering materials relating to the offer of the notes are strictly confidential and may not be distributed to any person or entity other than the designated recipients hereof.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 prospectus under the Israeli Securities Law, 5728-1968 (the “Securities Law”), and have not been filed with or approved by the Israel Securities Authority. In Israel, this prospectus supplement and the accompanying prospectus are being distributed only to, and are directed only at, and any offer of the notes is directed only at (i) a limited number of persons in accordance with the Securities Law and (ii) investors listed in the first addendum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Norway</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This offer of the notes and the related materials do not constitute a prospectus under Norwegian law and have not been filed with or approved by the Norwegian Financial Supervisory Authority, the Oslo Stock Exchange or the Norwegian Registry of Business Enterprises, as the offer of the notes and the related materials have not been prepared in the context of a public offering of securities in Norway within the meaning of the Norwegian Securities Trading Act or any Regulations issued pursuant thereto. The offer of the notes will only be directed to qualified investors as defined in the Norwegian Securities Regulation section 7-1 or in accordance with other relevant exceptions from the prospectus requirements. Accordingly, the offer of the notes and the related materials may not be made available to the public in Norway nor may the offer of the notes otherwise be marketed and offered to the public in Norway.</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54250" cy="728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42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62" w:lineRule="exact"/>
        <w:rPr>
          <w:sz w:val="20"/>
          <w:szCs w:val="20"/>
          <w:color w:val="auto"/>
        </w:rPr>
      </w:pPr>
    </w:p>
    <w:p>
      <w:pPr>
        <w:jc w:val="center"/>
        <w:ind w:left="440" w:right="520"/>
        <w:spacing w:after="0" w:line="258" w:lineRule="auto"/>
        <w:rPr>
          <w:sz w:val="20"/>
          <w:szCs w:val="20"/>
          <w:color w:val="auto"/>
        </w:rPr>
      </w:pPr>
      <w:r>
        <w:rPr>
          <w:rFonts w:ascii="Times New Roman" w:cs="Times New Roman" w:eastAsia="Times New Roman" w:hAnsi="Times New Roman"/>
          <w:sz w:val="25"/>
          <w:szCs w:val="25"/>
          <w:b w:val="1"/>
          <w:bCs w:val="1"/>
          <w:color w:val="auto"/>
        </w:rPr>
        <w:t>Common Shares, Preferred Shares, Depositary Shares, Share Purchase 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may from time to time offer, in one or more classes or series, separately or together, common shares of beneficial interest, preferred shares of beneficial interest, depositary shares representing interests in preferred shares of beneficial interest, share purchase contracts to purchase or sell our common shares of beneficial interest or preferred shares of beneficial interest, warrants to purchase common shares of beneficial interest or preferred shares of beneficial interest, guarantees of debt securities issued by Federal Realty OP LP, and units consisting of two or more securities described in this prospectus. The Company’s common shares of beneficial interest and depositary shares representing interests in the Company’s Series C preferred shares are listed on the New York Stock Exchange under the symbols “FRT” and “FRTPRC,” respectively.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Realty OP LP, which we refer to as the Partnership, may from time to time offer debt securities in one or more classes or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class or series of securities, we will prepare a prospectus supplement describing the offering and the terms of that class or series of securities. Such terms may include limitations on direct or beneficial ownership and restrictions on transfer that we believe are appropriate to preserve the Company’s status as a real estate investment trust for federal income tax purposes.</w:t>
      </w:r>
    </w:p>
    <w:p>
      <w:pPr>
        <w:spacing w:after="0" w:line="180"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6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5, 2022.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3"/>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08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1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5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5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1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Investment Trust</w:t>
            </w:r>
          </w:p>
        </w:tc>
        <w:tc>
          <w:tcPr>
            <w:tcW w:w="48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51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55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3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4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4"/>
        </w:trPr>
        <w:tc>
          <w:tcPr>
            <w:tcW w:w="1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92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1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Experts</w:t>
            </w:r>
          </w:p>
        </w:tc>
        <w:tc>
          <w:tcPr>
            <w:tcW w:w="96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8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540" w:type="dxa"/>
            <w:vAlign w:val="bottom"/>
            <w:gridSpan w:val="2"/>
          </w:tcPr>
          <w:p>
            <w:pPr>
              <w:jc w:val="center"/>
              <w:ind w:right="4780"/>
              <w:spacing w:after="0"/>
              <w:rPr>
                <w:sz w:val="20"/>
                <w:szCs w:val="20"/>
                <w:color w:val="auto"/>
              </w:rPr>
            </w:pPr>
            <w:r>
              <w:rPr>
                <w:rFonts w:ascii="Times New Roman" w:cs="Times New Roman" w:eastAsia="Times New Roman" w:hAnsi="Times New Roman"/>
                <w:sz w:val="18"/>
                <w:szCs w:val="18"/>
                <w:color w:val="auto"/>
                <w:w w:val="78"/>
              </w:rPr>
              <w:t>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97" w:lineRule="exact"/>
        <w:rPr>
          <w:sz w:val="20"/>
          <w:szCs w:val="20"/>
          <w:color w:val="auto"/>
        </w:rPr>
      </w:pPr>
    </w:p>
    <w:p>
      <w:pPr>
        <w:ind w:left="1080" w:right="15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p>
      <w:pPr>
        <w:spacing w:after="0" w:line="229"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w:t>
      </w:r>
    </w:p>
    <w:p>
      <w:pPr>
        <w:spacing w:after="0" w:line="180"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Prior to January 1, 2022, the Company’s business was conducted through a predecessor entity also known as Federal Realty Investment Trust (the “Predecessor”). The Predecessor was founded in 1962 as a REIT under the laws of the District of Columbia and re-formed as a real estate investment trust under the laws of the State of Maryland in 1999. On December 2, 2021, the Predecessor’s Board of Trustees approved the reorganization of the Predecessor’s business into an umbrella partnership real estate investment trust, or “UPREIT.” To effect the UPREIT reorganization, the Predecessor formed a wholly-owned subsidiary real estate investment trust (“Holdco”), and Holdco formed its own wholly-owned subsidiary real estate investment trust (“Merger Sub”). Holdco also formed a wholly-owned subsidiary limited liability company known as Federal Realty GP LLC (the “General Partner”). Effective as of January 1, 2022, Merger Sub merged with and into the Predecessor, with the Predecessor being the surviving entity and becoming a wholly-owned subsidiary of Holdco (the “Merger”). At the effective time of the Merger, each outstanding capital share of the Predecessor was converted into one equivalent capital share of Holdco. Effective as of January 5, 2022, the Predecessor converted into a Delaware limited partnership known as Federal Realty OP LP, the entity we refer to herein as the Partnership. In connection with the UPREIT reorganization, Holdco changed its name to Federal Realty Investment Trust, the entity we refer to herein as the Company. The Company had the same consolidated assets and liabilities immediately following the Merger as the Predecessor immediately before the Merger. The General Partner is the sole general partner of the Partnership, and the Company owns 100% of the limited liability company interests of, is the sole member of and exercises exclusive control over the General Partner. Following the UPREIT reorganization described above, the Company expects to conduct its business through the Partnership and does not expect to have substantial assets or liabilities other than through its investment in the Partnership.</w:t>
      </w:r>
    </w:p>
    <w:p>
      <w:pPr>
        <w:spacing w:after="0" w:line="195"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2021, we owned or had a majority interest in community and neighborhood shopping centers and mixed-use properties which are operated as 106 predominantly retail real estate projects comprising approximately 25.4 million square feet. In total, the real estate projects were 92.8% leased and 90.2% occupied at September 30, 2021. We have paid quarterly dividends to our shareholders continuously since our founding in 1962 and have increased our dividends per common share for 54 consecutive years.</w:t>
      </w:r>
    </w:p>
    <w:p>
      <w:pPr>
        <w:spacing w:after="0" w:line="180"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909 Rose Ave., Suite 200, North Bethesda, MD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pursuant to this prospectus for one or more of the following:</w:t>
      </w:r>
    </w:p>
    <w:p>
      <w:pPr>
        <w:spacing w:after="0" w:line="6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SECURITIES THAT MAY BE OFFERED BY FEDERAL REALTY INVESTMENT TRUST</w:t>
      </w:r>
    </w:p>
    <w:p>
      <w:pPr>
        <w:spacing w:after="0" w:line="22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the following section, references to “we,” “us,” “our” and “ours” refer only to Federal Realty Investment Trust and not to the Partnership or its subsidiaries unless the context requires otherwise.</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of Beneficial Interest of Federal Realty Investment Trust</w:t>
      </w:r>
    </w:p>
    <w:p>
      <w:pPr>
        <w:spacing w:after="0" w:line="22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declaration of trust allows us to issue up to 100,000,000 common shares of beneficial interest, par value $.01 per share, and 15,000,000 preferred shares of beneficial interest, par value $.01 per share. As of December 30, 2021, the Predecessor had issued and outstanding 78,603,441 common shares, 399,896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 In connection with the Merger, each outstanding capital share of the Predecessor was converted into one equivalent capital share of the Company. See “Prospectus Summary – Federal Realty Investment Trust and Federal Realty OP LP.” The Company is treated as the successor to the Predecessor with respect to the common shares, Series 1 preferred shares and Series C preferred shares for all purposes hereunder.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take the following actions without approval by you or any shareholder:</w:t>
      </w:r>
    </w:p>
    <w:p>
      <w:pPr>
        <w:spacing w:after="0" w:line="64" w:lineRule="exact"/>
        <w:rPr>
          <w:sz w:val="20"/>
          <w:szCs w:val="20"/>
          <w:color w:val="auto"/>
        </w:rPr>
      </w:pPr>
    </w:p>
    <w:p>
      <w:pPr>
        <w:ind w:left="1080" w:right="6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 of the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5580" w:right="1800" w:hanging="5032"/>
        <w:spacing w:after="0" w:line="454" w:lineRule="auto"/>
        <w:tabs>
          <w:tab w:leader="none" w:pos="10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 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1" w:lineRule="exact"/>
        <w:rPr>
          <w:sz w:val="20"/>
          <w:szCs w:val="20"/>
          <w:color w:val="auto"/>
        </w:rPr>
      </w:pPr>
    </w:p>
    <w:p>
      <w:pPr>
        <w:ind w:left="1080" w:right="8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jc w:val="both"/>
        <w:ind w:left="1080" w:right="18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5"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LLC,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 New York.</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1 Preferred Shares of the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March 2007, the Predecessor issued 399,896 Series 1 preferred shares and filed articles supplementary to its declaration of trust setting forth the terms of the Series 1 preferred shares. At the effective time of the Merger, each Series 1 preferred share of the Predecessor was converted into a Series 1 preferred share of the Company, having the same designations, rights, powers and preferences, and the same qualifications, limitations, restrictions and other terms as the corresponding Series 1 preferred shares of the Predecessor immediately prior to the Merger.</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pari pasu with the Series C preferred shares and senior to the common shares with respect to the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5"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5.417% of the liquidation price of $25, which is equivalent to $1.35425 per annum.</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 per share, plus all accrued and unpaid dividends, before any distribution shall be made with respect to the common shares.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Conversion Rights. </w:t>
      </w:r>
      <w:r>
        <w:rPr>
          <w:rFonts w:ascii="Times New Roman" w:cs="Times New Roman" w:eastAsia="Times New Roman" w:hAnsi="Times New Roman"/>
          <w:sz w:val="17"/>
          <w:szCs w:val="17"/>
          <w:color w:val="auto"/>
        </w:rPr>
        <w:t>Subject to other applicable provisions within our declaration of trust pertaining to the Series 1 preferred shares, the Series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shares shall be convertible, at the option of each holder, into a number of fully paid and nonassessable common shares determined by dividing</w:t>
      </w:r>
    </w:p>
    <w:p>
      <w:pPr>
        <w:spacing w:after="0" w:line="1" w:lineRule="exact"/>
        <w:rPr>
          <w:sz w:val="20"/>
          <w:szCs w:val="20"/>
          <w:color w:val="auto"/>
        </w:rPr>
      </w:pPr>
    </w:p>
    <w:p>
      <w:pPr>
        <w:ind w:left="120" w:right="780" w:hanging="4"/>
        <w:spacing w:after="0" w:line="260" w:lineRule="auto"/>
        <w:tabs>
          <w:tab w:leader="none" w:pos="4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77"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American Stock Transfer &amp;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New York, New York.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Preferred Shares of the Company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2017, the Predecessor issued 6,000 Series C preferred shares and filed articles supplementary to its declaration of trust setting forth the terms of the Series C preferred shares. At the effective time of the Merger, each Series C preferred share of the Predecessor was converted into a Series C preferred share of the Company, having the same designations, rights, powers and preferences, and the same qualifications, limitations, restrictions and other terms as the corresponding Series C preferred shares of the Predecessor immediately prior to the Merger.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58"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Rank. </w:t>
      </w:r>
      <w:r>
        <w:rPr>
          <w:rFonts w:ascii="Times New Roman" w:cs="Times New Roman" w:eastAsia="Times New Roman" w:hAnsi="Times New Roman"/>
          <w:sz w:val="17"/>
          <w:szCs w:val="17"/>
          <w:color w:val="auto"/>
        </w:rPr>
        <w:t>The Series C preferred shares rank pari pasu with the Series 1 preferred shares and senior to the common shares with respect to the 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71"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C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5.000% of the liquidation price of $25,000, which is equivalent to $1,250 per annum.</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C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$25,000 per share, plus all accrued and unpaid dividends, before any distribution shall be made with respect to the common shares.</w:t>
      </w:r>
    </w:p>
    <w:p>
      <w:pPr>
        <w:spacing w:after="0" w:line="15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C preferred shares generally have no voting rights. However, if and whenever dividends payable on the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Series C preferred shares have no conversion rights.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by the Company. </w:t>
      </w:r>
      <w:r>
        <w:rPr>
          <w:rFonts w:ascii="Times New Roman" w:cs="Times New Roman" w:eastAsia="Times New Roman" w:hAnsi="Times New Roman"/>
          <w:sz w:val="18"/>
          <w:szCs w:val="18"/>
          <w:color w:val="auto"/>
        </w:rPr>
        <w:t>The Series C preferred shares may be redeemed for cash, in whole or from time to time in part, on any date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September 29, 2022 at the option of the Company at a price per share equal to $25,000.00 plus accrued and unpaid dividends thereon, if any, to, but excluding, the redemption date.</w:t>
      </w:r>
    </w:p>
    <w:p>
      <w:pPr>
        <w:spacing w:after="0" w:line="17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Depositary Shares. </w:t>
      </w:r>
      <w:r>
        <w:rPr>
          <w:rFonts w:ascii="Times New Roman" w:cs="Times New Roman" w:eastAsia="Times New Roman" w:hAnsi="Times New Roman"/>
          <w:sz w:val="17"/>
          <w:szCs w:val="17"/>
          <w:color w:val="auto"/>
        </w:rPr>
        <w:t>Interests in the Series C preferred shares are represented by depositary shares, which we refer to as the “Series C depositary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Series C depositary shares are traded on the New York Stock Exchange under the trading symbol “FRTPRC.”</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C preferred shares is American Stock Transfer &amp;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New York, New York.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 of the Company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w:t>
      </w:r>
    </w:p>
    <w:p>
      <w:pPr>
        <w:spacing w:after="0" w:line="64"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rights upon our liquidation, dissolution or winding up, rank:</w:t>
      </w:r>
    </w:p>
    <w:p>
      <w:pPr>
        <w:spacing w:after="0" w:line="64"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mandatory redemption or redemption at our option, in whole or in part, in each case upon the terms, at the times and at the redemption prices set forth in that supplement.</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prospectus supplement relating to the offering of those preferred shares. These terms typically will include:</w:t>
      </w:r>
    </w:p>
    <w:p>
      <w:pPr>
        <w:spacing w:after="0" w:line="64"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 of Company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67" w:lineRule="exact"/>
        <w:rPr>
          <w:sz w:val="20"/>
          <w:szCs w:val="20"/>
          <w:color w:val="auto"/>
        </w:rPr>
      </w:pPr>
    </w:p>
    <w:p>
      <w:pPr>
        <w:ind w:left="1080" w:hanging="532"/>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5"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shares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In this prospectus, the term “ownership limitation” is used to describe this provision of our declaration of trust.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left="120" w:right="4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 designated</w:t>
      </w:r>
    </w:p>
    <w:p>
      <w:pPr>
        <w:spacing w:after="0" w:line="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1"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8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 of the Company</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depositary shares, each of which will represent a fractional interest of a share of a particular series of preferred shares.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2021, we had 6,000,000 depositary shares issued and outstanding, each representing a 1/1000th fractional interest in a Series C preferred share. See “—Series C Preferred Shares of the Company.”</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0"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holder of depositary shares, to the fraction of the liquidation preference accorded each applicable preferred share, as has been set forth in a prospectus supplement.</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86"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Resignation and Removal of Depositary. </w:t>
      </w:r>
      <w:r>
        <w:rPr>
          <w:rFonts w:ascii="Times New Roman" w:cs="Times New Roman" w:eastAsia="Times New Roman" w:hAnsi="Times New Roman"/>
          <w:sz w:val="17"/>
          <w:szCs w:val="17"/>
          <w:color w:val="auto"/>
        </w:rPr>
        <w:t>The depositary may resign at any time by delivering a notice to us of its election to do so. Additionally,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6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7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that may be offered by Federal Realty Investment Trust</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Purchase Contracts</w:t>
      </w:r>
      <w:r>
        <w:rPr>
          <w:rFonts w:ascii="Times New Roman" w:cs="Times New Roman" w:eastAsia="Times New Roman" w:hAnsi="Times New Roman"/>
          <w:sz w:val="18"/>
          <w:szCs w:val="18"/>
          <w:color w:val="auto"/>
        </w:rPr>
        <w:t>. We may issue share purchase contracts, which are contracts obligating holders to purchase from or sell to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share purchase contract terms that could be described in a prospectus supplement:</w:t>
      </w:r>
    </w:p>
    <w:p>
      <w:pPr>
        <w:spacing w:after="0" w:line="131" w:lineRule="exact"/>
        <w:rPr>
          <w:sz w:val="20"/>
          <w:szCs w:val="20"/>
          <w:color w:val="auto"/>
        </w:rPr>
      </w:pPr>
    </w:p>
    <w:p>
      <w:pPr>
        <w:ind w:left="108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share purchase contracts;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share purchase contracts;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 that may be offered by Federal Realty Investment Trust</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shares, preferred shares or depositary shares representing interests in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preferred shares or depositary shares representing interests in preferred shares that may be purchased on exercise of the warrant;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Guarantees that may be offered by Federal Realty Investment Trust</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 that may be offered by Federal Realty Investment Trust</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any series of units;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to be entered into between us and a bank or trust company, as unit agent, governing the units;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units;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listed on any securities exchange;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the Maryland General Corporation Law and our declaration of trust and bylaws for more complete information.</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5540" w:right="920" w:hanging="4439"/>
        <w:spacing w:after="0" w:line="454" w:lineRule="auto"/>
        <w:tabs>
          <w:tab w:leader="none" w:pos="153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 17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2"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less than five or more than 10. Under Maryland law and our declaration of trust, trustees are elected for one-year terms.</w:t>
      </w:r>
    </w:p>
    <w:p>
      <w:pPr>
        <w:spacing w:after="0" w:line="155"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1080" w:right="26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6"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left="120" w:right="20" w:firstLine="44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earlier than the 150th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9" w:lineRule="exact"/>
        <w:rPr>
          <w:sz w:val="20"/>
          <w:szCs w:val="20"/>
          <w:color w:val="auto"/>
        </w:rPr>
      </w:pPr>
    </w:p>
    <w:p>
      <w:pPr>
        <w:ind w:left="120" w:right="80" w:firstLine="440"/>
        <w:spacing w:after="0" w:line="232" w:lineRule="auto"/>
        <w:rPr>
          <w:sz w:val="20"/>
          <w:szCs w:val="20"/>
          <w:color w:val="auto"/>
        </w:rPr>
      </w:pPr>
      <w:r>
        <w:rPr>
          <w:rFonts w:ascii="Times New Roman" w:cs="Times New Roman" w:eastAsia="Times New Roman" w:hAnsi="Times New Roman"/>
          <w:sz w:val="17"/>
          <w:szCs w:val="17"/>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20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of Liability of Trustees and Officers. </w:t>
      </w:r>
      <w:r>
        <w:rPr>
          <w:rFonts w:ascii="Times New Roman" w:cs="Times New Roman" w:eastAsia="Times New Roman" w:hAnsi="Times New Roman"/>
          <w:sz w:val="18"/>
          <w:szCs w:val="18"/>
          <w:color w:val="auto"/>
        </w:rPr>
        <w:t>Our declaration of trust, to the maximum extent permitted under Maryland law in effect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jc w:val="both"/>
        <w:ind w:left="120" w:right="3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THAT MAY BE OFFERED BY FEDERAL REALTY OP LP</w:t>
      </w:r>
    </w:p>
    <w:p>
      <w:pPr>
        <w:spacing w:after="0" w:line="227"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section to “we,” “us,” “our” and “ours” refer only to Federal Realty OP LP and not to the Company unless the context requires otherwise.</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11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81"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class or series of debt securities offered.</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such date or dates.</w:t>
      </w:r>
    </w:p>
    <w:p>
      <w:pPr>
        <w:spacing w:after="0" w:line="60"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calculating such rate or rates.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ind w:left="1080" w:right="280" w:hanging="532"/>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76"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1080" w:right="1120" w:hanging="532"/>
        <w:spacing w:after="0" w:line="28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non-U.S. persons for taxes, assessments or similar charges.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460" w:hanging="532"/>
        <w:spacing w:after="0" w:line="28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class or series.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1"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1080" w:right="20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will be payable and the manner in which, or the person to whom, any interest on any bearer securities of the class or series will be payable.</w:t>
      </w:r>
    </w:p>
    <w:p>
      <w:pPr>
        <w:spacing w:after="0" w:line="76" w:lineRule="exact"/>
        <w:rPr>
          <w:rFonts w:ascii="Times New Roman" w:cs="Times New Roman" w:eastAsia="Times New Roman" w:hAnsi="Times New Roman"/>
          <w:sz w:val="18"/>
          <w:szCs w:val="18"/>
          <w:color w:val="auto"/>
        </w:rPr>
      </w:pPr>
    </w:p>
    <w:p>
      <w:pPr>
        <w:ind w:left="1080" w:right="20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class or series that are different from or in addition to the definitions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applicable indenture, including, without limitation, the definition of “unrestricted subsidiary” to be used for such class or series.</w:t>
      </w:r>
    </w:p>
    <w:p>
      <w:pPr>
        <w:spacing w:after="0" w:line="76"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senior to or junior to other debt securities, whether currently outstanding or to be offered in the future, and to other debt, in right of payment.</w:t>
      </w:r>
    </w:p>
    <w:p>
      <w:pPr>
        <w:spacing w:after="0" w:line="76"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guarantees (including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or advisable under U.S. laws or regulations or advisable, as we determine, in connection with marketing of securities of the class or series.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1080" w:right="60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jc w:val="center"/>
        <w:ind w:left="340" w:right="10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on the debt securities is U.S. Bank National Association, 214 North Tryon Street,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105"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class or series of debt securities;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of a class or series in the form of one or more fully registered global securities. Each registered global security will:</w:t>
      </w:r>
    </w:p>
    <w:p>
      <w:pPr>
        <w:spacing w:after="0" w:line="131"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dates by which we would have been required to file annual reports, quarterly reports and other documents with the SEC if we were so subject:</w:t>
      </w:r>
    </w:p>
    <w:p>
      <w:pPr>
        <w:spacing w:after="0" w:line="80" w:lineRule="exact"/>
        <w:rPr>
          <w:sz w:val="20"/>
          <w:szCs w:val="20"/>
          <w:color w:val="auto"/>
        </w:rPr>
      </w:pPr>
    </w:p>
    <w:p>
      <w:pPr>
        <w:ind w:left="1080" w:right="40" w:hanging="532"/>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5"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66"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1"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540" w:right="320" w:hanging="439"/>
        <w:spacing w:after="0" w:line="261"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5"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 debt.</w:t>
      </w:r>
    </w:p>
    <w:p>
      <w:pPr>
        <w:spacing w:after="0" w:line="15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we may not:</w:t>
      </w:r>
    </w:p>
    <w:p>
      <w:pPr>
        <w:spacing w:after="0" w:line="64"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5540" w:right="4180" w:hanging="4992"/>
        <w:spacing w:after="0" w:line="454" w:lineRule="auto"/>
        <w:tabs>
          <w:tab w:leader="none" w:pos="10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 26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1" w:lineRule="exact"/>
        <w:rPr>
          <w:sz w:val="20"/>
          <w:szCs w:val="20"/>
          <w:color w:val="auto"/>
        </w:rPr>
      </w:pPr>
    </w:p>
    <w:p>
      <w:pPr>
        <w:ind w:left="108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51" w:lineRule="exact"/>
        <w:rPr>
          <w:sz w:val="20"/>
          <w:szCs w:val="20"/>
          <w:color w:val="auto"/>
        </w:rPr>
      </w:pPr>
    </w:p>
    <w:p>
      <w:pPr>
        <w:ind w:left="120" w:right="280" w:firstLine="436"/>
        <w:spacing w:after="0" w:line="282" w:lineRule="auto"/>
        <w:tabs>
          <w:tab w:leader="none" w:pos="7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53"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7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53" w:lineRule="exact"/>
        <w:rPr>
          <w:rFonts w:ascii="Times New Roman" w:cs="Times New Roman" w:eastAsia="Times New Roman" w:hAnsi="Times New Roman"/>
          <w:sz w:val="18"/>
          <w:szCs w:val="18"/>
          <w:color w:val="auto"/>
        </w:rPr>
      </w:pPr>
    </w:p>
    <w:p>
      <w:pPr>
        <w:ind w:left="720" w:hanging="164"/>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class or series.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5"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36"/>
        <w:spacing w:after="0" w:line="266" w:lineRule="auto"/>
        <w:tabs>
          <w:tab w:leader="none" w:pos="73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68" w:lineRule="exact"/>
        <w:rPr>
          <w:sz w:val="20"/>
          <w:szCs w:val="20"/>
          <w:color w:val="auto"/>
        </w:rPr>
      </w:pPr>
    </w:p>
    <w:p>
      <w:pPr>
        <w:ind w:left="800" w:hanging="244"/>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class or series.</w:t>
      </w:r>
    </w:p>
    <w:p>
      <w:pPr>
        <w:spacing w:after="0" w:line="117" w:lineRule="exact"/>
        <w:rPr>
          <w:sz w:val="20"/>
          <w:szCs w:val="20"/>
          <w:color w:val="auto"/>
        </w:rPr>
      </w:pPr>
    </w:p>
    <w:p>
      <w:pPr>
        <w:ind w:left="120" w:right="160" w:firstLine="436"/>
        <w:spacing w:after="0" w:line="254" w:lineRule="auto"/>
        <w:tabs>
          <w:tab w:leader="none" w:pos="7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83"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800" w:hanging="244"/>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11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days.</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sz w:val="20"/>
          <w:szCs w:val="20"/>
          <w:color w:val="auto"/>
        </w:rPr>
      </w:pPr>
    </w:p>
    <w:p>
      <w:pPr>
        <w:ind w:left="800" w:hanging="244"/>
        <w:spacing w:after="0"/>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117"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5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class or series.</w:t>
      </w:r>
    </w:p>
    <w:p>
      <w:pPr>
        <w:spacing w:after="0" w:line="113"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may waive any past default except for:</w:t>
      </w:r>
    </w:p>
    <w:p>
      <w:pPr>
        <w:spacing w:after="0" w:line="64"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5540" w:right="4540" w:hanging="4992"/>
        <w:spacing w:after="0" w:line="454" w:lineRule="auto"/>
        <w:tabs>
          <w:tab w:leader="none" w:pos="10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 28</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82"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class or series and any related coupons,</w:t>
      </w:r>
    </w:p>
    <w:p>
      <w:pPr>
        <w:spacing w:after="0" w:line="67"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540" w:right="660" w:hanging="439"/>
        <w:spacing w:after="0" w:line="282" w:lineRule="auto"/>
        <w:tabs>
          <w:tab w:leader="none" w:pos="1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1" w:lineRule="exact"/>
        <w:rPr>
          <w:sz w:val="20"/>
          <w:szCs w:val="20"/>
          <w:color w:val="auto"/>
        </w:rPr>
      </w:pPr>
    </w:p>
    <w:p>
      <w:pPr>
        <w:ind w:left="1080" w:right="42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1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class or series:</w:t>
      </w:r>
    </w:p>
    <w:p>
      <w:pPr>
        <w:spacing w:after="0" w:line="67" w:lineRule="exact"/>
        <w:rPr>
          <w:sz w:val="20"/>
          <w:szCs w:val="20"/>
          <w:color w:val="auto"/>
        </w:rPr>
      </w:pPr>
    </w:p>
    <w:p>
      <w:pPr>
        <w:ind w:left="1080" w:hanging="532"/>
        <w:spacing w:after="0" w:line="25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9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85" w:lineRule="exact"/>
        <w:rPr>
          <w:sz w:val="20"/>
          <w:szCs w:val="20"/>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class or series of outstanding debt security;</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jc w:val="both"/>
        <w:ind w:left="1080" w:right="60" w:hanging="532"/>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1080" w:right="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class or series;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class or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class or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class or series;</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class or series not yet issued;</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9"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Predecessor elected to be taxed as a REIT under the federal income tax laws when it filed its 1962 federal income tax return and was organized and operated in a manner intended to qualify as a REIT. We have been organized in a manner intended to qualify as a REIT and we intend to operate in a manner to qualify as a REIT. This section discusses the laws governing the federal income tax treatment of a REIT and its shareholders. These laws are highly technical and complex.</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the Predecessor qualified as a REIT under Sections 856 through 860 of the Code with respect to each of its taxable years ended through December 31, 2021; and (ii) we are organized in conformity with the requirements for qualification as a REIT under the Code and our current and proposed method of operation and ownership will enable us to meet the requirements for qualification and taxation as a REIT for the current taxable year and for future taxable years, provided that we and the Predecessor have operated and we continue to operate in accordance with various assumptions and factual representations made by us concerning our diversity of share ownership, business, properties and operations. The Predecessor may not, however, have met, and we may not continue to meet, such requirements. You should be aware that opinions of counsel are not binding on the Internal Revenue Service (“IRS”) or any court. Our qualification as a REIT depends on the Predecessor having met and our ability to meet, on a continuing basis, certain qualification tests set forth in the federal tax laws. Those qualification tests involve the percentage of income earned from specified sources, the percentage of assets that fall within certain categories, the diversity of the ownership of the Predecessor’s and our shares, and the percentage of earnings distributed.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5" w:lineRule="exact"/>
        <w:rPr>
          <w:sz w:val="20"/>
          <w:szCs w:val="20"/>
          <w:color w:val="auto"/>
        </w:rPr>
      </w:pPr>
    </w:p>
    <w:p>
      <w:pPr>
        <w:ind w:left="1080" w:right="4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81"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1080" w:right="90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5"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Initially, the Partnership will be treated as a disregarded entity for federal income tax purposes (but not necessarily for other tax purposes such as employment and excise taxation) because we initially own 100% of the interests in the Partnership, either directly or indirectly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purposes, based on our percentage interest in partnership equity capital, subject to special rules relating to the 10% asset test described below.</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1080" w:right="20" w:hanging="532"/>
        <w:spacing w:after="0" w:line="254"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97"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The Partnership’s primary source of income derives from leasing properties. There are various limitations on whether rent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80" w:right="40" w:hanging="532"/>
        <w:spacing w:after="0" w:line="25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53"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93"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86" w:lineRule="exact"/>
        <w:rPr>
          <w:sz w:val="20"/>
          <w:szCs w:val="20"/>
          <w:color w:val="auto"/>
        </w:rPr>
      </w:pPr>
    </w:p>
    <w:p>
      <w:pPr>
        <w:ind w:left="120" w:right="1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532"/>
        <w:spacing w:after="0" w:line="312" w:lineRule="auto"/>
        <w:tabs>
          <w:tab w:leader="none" w:pos="10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1" w:lineRule="exact"/>
        <w:rPr>
          <w:sz w:val="20"/>
          <w:szCs w:val="20"/>
          <w:color w:val="auto"/>
        </w:rPr>
      </w:pPr>
    </w:p>
    <w:p>
      <w:pPr>
        <w:ind w:left="1080" w:right="54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7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91"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recent changes to the interest deduction rules may affect interest deductions of our taxable REIT subsidiaries under some circumstances.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The Partnership may dispose of properties in transactions intended to qualify as like-kind exchanges under the Code.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7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Asset Tests. </w:t>
      </w:r>
      <w:r>
        <w:rPr>
          <w:rFonts w:ascii="Times New Roman" w:cs="Times New Roman" w:eastAsia="Times New Roman" w:hAnsi="Times New Roman"/>
          <w:sz w:val="17"/>
          <w:szCs w:val="17"/>
          <w:color w:val="auto"/>
        </w:rPr>
        <w:t>To maintain our qualification as a REIT, we also must satisfy the following asset tests at the close of each quarter of each taxable year:</w:t>
      </w:r>
    </w:p>
    <w:p>
      <w:pPr>
        <w:spacing w:after="0" w:line="146" w:lineRule="exact"/>
        <w:rPr>
          <w:sz w:val="20"/>
          <w:szCs w:val="20"/>
          <w:color w:val="auto"/>
        </w:rPr>
      </w:pPr>
    </w:p>
    <w:p>
      <w:pPr>
        <w:ind w:left="1080" w:right="30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540" w:right="160" w:hanging="439"/>
        <w:spacing w:after="0" w:line="261"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85" w:lineRule="exact"/>
        <w:rPr>
          <w:rFonts w:ascii="Times New Roman" w:cs="Times New Roman" w:eastAsia="Times New Roman" w:hAnsi="Times New Roman"/>
          <w:sz w:val="18"/>
          <w:szCs w:val="18"/>
          <w:color w:val="auto"/>
        </w:rPr>
      </w:pPr>
    </w:p>
    <w:p>
      <w:pPr>
        <w:ind w:left="1540" w:right="180" w:hanging="439"/>
        <w:spacing w:after="0" w:line="266"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54"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81" w:lineRule="auto"/>
        <w:rPr>
          <w:sz w:val="20"/>
          <w:szCs w:val="20"/>
          <w:color w:val="auto"/>
        </w:rPr>
      </w:pPr>
      <w:r>
        <w:rPr>
          <w:rFonts w:ascii="Times New Roman" w:cs="Times New Roman" w:eastAsia="Times New Roman" w:hAnsi="Times New Roman"/>
          <w:sz w:val="17"/>
          <w:szCs w:val="17"/>
          <w:color w:val="auto"/>
        </w:rPr>
        <w:t>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0" w:lineRule="exact"/>
        <w:rPr>
          <w:sz w:val="20"/>
          <w:szCs w:val="20"/>
          <w:color w:val="auto"/>
        </w:rPr>
      </w:pPr>
    </w:p>
    <w:p>
      <w:pPr>
        <w:ind w:left="1080" w:right="10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Requirements. </w:t>
      </w:r>
      <w:r>
        <w:rPr>
          <w:rFonts w:ascii="Times New Roman" w:cs="Times New Roman" w:eastAsia="Times New Roman" w:hAnsi="Times New Roman"/>
          <w:sz w:val="17"/>
          <w:szCs w:val="17"/>
          <w:color w:val="auto"/>
        </w:rPr>
        <w:t>Each taxable year, we must distribute dividends (other than capital gain dividends and deemed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certain items of non-cash income.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with respect to our 2014 and prior taxable years, in order for distributions made by the Predecessor to have been counted as satisfying the annual distribution requirements for REITs and to provide it with a dividends paid deduction, its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the REIT’s organizational documents. For taxable years beginning after December 31, 2014, the preferential dividend rule does not apply to publicly offered REITs. The Predecessor was and we are a publicly offered REIT. Thus, so long as we continue to qualify as a publicly offered REIT, the preferential dividend rule does not apply to the Predecessor’s taxable years from 2015 and our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In late 2021, the IRS issued additional guidance temporarily reducing, through June 30, 2022, the minimum amount of the distribution that must be available in cash to 10% to respond to economic disruptions and allow REITs to conserve capital and enhance their liquidity.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U.S. shareholder’s basis in that share and any excess after the basis is reduced to zero would result in taxable gain. If the holder had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8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8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share dividend.</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1100" w:hanging="539"/>
        <w:spacing w:after="0"/>
        <w:tabs>
          <w:tab w:leader="none" w:pos="11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w:t>
      </w:r>
    </w:p>
    <w:p>
      <w:pPr>
        <w:spacing w:after="0" w:line="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1"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7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w:t>
      </w:r>
    </w:p>
    <w:p>
      <w:pPr>
        <w:spacing w:after="0" w:line="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87" w:lineRule="exact"/>
        <w:rPr>
          <w:sz w:val="20"/>
          <w:szCs w:val="20"/>
          <w:color w:val="auto"/>
        </w:rPr>
      </w:pPr>
    </w:p>
    <w:p>
      <w:pPr>
        <w:ind w:left="120" w:right="4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w:t>
      </w:r>
    </w:p>
    <w:p>
      <w:pPr>
        <w:spacing w:after="0" w:line="3" w:lineRule="exact"/>
        <w:rPr>
          <w:sz w:val="20"/>
          <w:szCs w:val="20"/>
          <w:color w:val="auto"/>
        </w:rPr>
      </w:pPr>
    </w:p>
    <w:p>
      <w:pPr>
        <w:ind w:left="120" w:right="480"/>
        <w:spacing w:after="0" w:line="260" w:lineRule="auto"/>
        <w:rPr>
          <w:sz w:val="20"/>
          <w:szCs w:val="20"/>
          <w:color w:val="auto"/>
        </w:rPr>
      </w:pPr>
      <w:r>
        <w:rPr>
          <w:rFonts w:ascii="Times New Roman" w:cs="Times New Roman" w:eastAsia="Times New Roman" w:hAnsi="Times New Roman"/>
          <w:sz w:val="18"/>
          <w:szCs w:val="18"/>
          <w:color w:val="auto"/>
        </w:rPr>
        <w:t>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7" w:lineRule="exact"/>
        <w:rPr>
          <w:sz w:val="20"/>
          <w:szCs w:val="20"/>
          <w:color w:val="auto"/>
        </w:rPr>
      </w:pPr>
    </w:p>
    <w:p>
      <w:pPr>
        <w:ind w:left="120" w:right="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are a “domestically controlled REIT.” A “domestically controlled REIT” is a REIT in which at all times during a specified testing</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9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w:t>
      </w:r>
    </w:p>
    <w:p>
      <w:pPr>
        <w:jc w:val="both"/>
        <w:ind w:left="120"/>
        <w:spacing w:after="0" w:line="265" w:lineRule="auto"/>
        <w:rPr>
          <w:sz w:val="20"/>
          <w:szCs w:val="20"/>
          <w:color w:val="auto"/>
        </w:rPr>
      </w:pPr>
      <w:r>
        <w:rPr>
          <w:rFonts w:ascii="Times New Roman" w:cs="Times New Roman" w:eastAsia="Times New Roman" w:hAnsi="Times New Roman"/>
          <w:sz w:val="17"/>
          <w:szCs w:val="17"/>
          <w:color w:val="auto"/>
        </w:rPr>
        <w:t>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5"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to Common Shares. </w:t>
      </w:r>
      <w:r>
        <w:rPr>
          <w:rFonts w:ascii="Times New Roman" w:cs="Times New Roman" w:eastAsia="Times New Roman" w:hAnsi="Times New Roman"/>
          <w:sz w:val="18"/>
          <w:szCs w:val="18"/>
          <w:color w:val="auto"/>
        </w:rPr>
        <w:t>The conversion of preferred shares into our common shares may be a taxable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9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58"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5" w:lineRule="exact"/>
        <w:rPr>
          <w:sz w:val="20"/>
          <w:szCs w:val="20"/>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Under sections 1471 through 1474 of the Code, Treasury regulations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initially the Partnership (but not the Subsidiary Partnerships)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83"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as Partnerships. </w:t>
      </w:r>
      <w:r>
        <w:rPr>
          <w:rFonts w:ascii="Times New Roman" w:cs="Times New Roman" w:eastAsia="Times New Roman" w:hAnsi="Times New Roman"/>
          <w:sz w:val="18"/>
          <w:szCs w:val="18"/>
          <w:color w:val="auto"/>
        </w:rPr>
        <w:t>We are entitled to include in our income our distributive share of the Partnership’s and Subsidiary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8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 Not the Partnership, Subject to Tax. </w:t>
      </w:r>
      <w:r>
        <w:rPr>
          <w:rFonts w:ascii="Times New Roman" w:cs="Times New Roman" w:eastAsia="Times New Roman" w:hAnsi="Times New Roman"/>
          <w:sz w:val="18"/>
          <w:szCs w:val="18"/>
          <w:color w:val="auto"/>
        </w:rPr>
        <w:t>The partners of the Partnership are subject to taxation. Except as discussed below in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Partnership Allocations</w:t>
      </w:r>
      <w:r>
        <w:rPr>
          <w:rFonts w:ascii="Times New Roman" w:cs="Times New Roman" w:eastAsia="Times New Roman" w:hAnsi="Times New Roman"/>
          <w:sz w:val="18"/>
          <w:szCs w:val="18"/>
          <w:color w:val="auto"/>
        </w:rPr>
        <w:t>. Although a partnership agreement generally will determine the allocation of income and losses among partners,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Properties</w:t>
      </w:r>
      <w:r>
        <w:rPr>
          <w:rFonts w:ascii="Times New Roman" w:cs="Times New Roman" w:eastAsia="Times New Roman" w:hAnsi="Times New Roman"/>
          <w:sz w:val="18"/>
          <w:szCs w:val="18"/>
          <w:color w:val="auto"/>
        </w:rPr>
        <w:t>. Pursuant to Section 704(c) of the Code, income, gain, loss and deduction attributable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income attributable to such Book-Tax Difference (to the extent not previously taken into account) will generally be allocated to the contributing partners, including us, and other partners will generally be allocated only their share of income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Book-Tax Difference may also arise as a result of the revaluation of property owned by the Partnership in connection with certain types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including in connection with certain non-pro rata contributions or distributions of assets by the Partnership in exchange for interests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Partnership. In the event of such a revaluation, the partners (including us) who were partners in the Partnership immediately prior to the revaluation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required to take any Book-Tax Difference created as a result of such revaluation into account in substantially the same manner as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704(c) rules discussed above. This would result in us being allocated income, gain, loss and deduction for tax purposes in amounts different than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economic or book income allocated to us by the Partnership.</w:t>
      </w:r>
    </w:p>
    <w:p>
      <w:pPr>
        <w:spacing w:after="0" w:line="20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in Partnership Interest</w:t>
      </w:r>
      <w:r>
        <w:rPr>
          <w:rFonts w:ascii="Times New Roman" w:cs="Times New Roman" w:eastAsia="Times New Roman" w:hAnsi="Times New Roman"/>
          <w:sz w:val="18"/>
          <w:szCs w:val="18"/>
          <w:color w:val="auto"/>
        </w:rPr>
        <w:t>. Our adjusted tax basis in our partnership interest in the Partnership generally is equal to:</w:t>
      </w:r>
    </w:p>
    <w:p>
      <w:pPr>
        <w:spacing w:after="0" w:line="135" w:lineRule="exact"/>
        <w:rPr>
          <w:sz w:val="20"/>
          <w:szCs w:val="20"/>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adjusted tax basis of any other property contributed by us to the Partnership;</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income,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debt of the Partnership;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but not below zero, by</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loss,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basis of any property distributed to us,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the Partnership’s Property. </w:t>
      </w:r>
      <w:r>
        <w:rPr>
          <w:rFonts w:ascii="Times New Roman" w:cs="Times New Roman" w:eastAsia="Times New Roman" w:hAnsi="Times New Roman"/>
          <w:sz w:val="18"/>
          <w:szCs w:val="18"/>
          <w:color w:val="auto"/>
        </w:rPr>
        <w:t>Generally, any gain realized by the Partnership on the sale of property held by the Partnership for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Revised Partnership Audit Rules</w:t>
      </w:r>
      <w:r>
        <w:rPr>
          <w:rFonts w:ascii="Times New Roman" w:cs="Times New Roman" w:eastAsia="Times New Roman" w:hAnsi="Times New Roman"/>
          <w:sz w:val="18"/>
          <w:szCs w:val="18"/>
          <w:color w:val="auto"/>
        </w:rPr>
        <w:t>. Under partnership audit changes generally effective for audits in 2018 and later, a partnership (and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We cannot assure you that a change in law, including the possibility of major tax legislation in 2022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9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9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94"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filed with the SEC on February 11,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3">
        <w:r>
          <w:rPr>
            <w:rFonts w:ascii="Times New Roman" w:cs="Times New Roman" w:eastAsia="Times New Roman" w:hAnsi="Times New Roman"/>
            <w:sz w:val="18"/>
            <w:szCs w:val="18"/>
            <w:u w:val="single" w:color="auto"/>
            <w:color w:val="0000EE"/>
          </w:rPr>
          <w:t>Definitive Proxy</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Statement for our 2021 Annual Meeting of Shareholders, filed with the SEC on March 25, 2021;</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March 31, 2021, June 30, 2021 and September 30, 2021, filed with the SEC on </w:t>
      </w:r>
      <w:hyperlink r:id="rId114">
        <w:r>
          <w:rPr>
            <w:rFonts w:ascii="Times New Roman" w:cs="Times New Roman" w:eastAsia="Times New Roman" w:hAnsi="Times New Roman"/>
            <w:sz w:val="18"/>
            <w:szCs w:val="18"/>
            <w:u w:val="single" w:color="auto"/>
            <w:color w:val="0000EE"/>
          </w:rPr>
          <w:t>May 5, 2021</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August 4,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6">
        <w:r>
          <w:rPr>
            <w:rFonts w:ascii="Times New Roman" w:cs="Times New Roman" w:eastAsia="Times New Roman" w:hAnsi="Times New Roman"/>
            <w:sz w:val="18"/>
            <w:szCs w:val="18"/>
            <w:u w:val="single" w:color="auto"/>
            <w:color w:val="0000EE"/>
          </w:rPr>
          <w:t>November 4, 2021</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02"/>
        </w:numPr>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12,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24,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19,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6,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7,</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8">
        <w:r>
          <w:rPr>
            <w:rFonts w:ascii="Times New Roman" w:cs="Times New Roman" w:eastAsia="Times New Roman" w:hAnsi="Times New Roman"/>
            <w:sz w:val="18"/>
            <w:szCs w:val="18"/>
            <w:u w:val="single" w:color="auto"/>
            <w:color w:val="0000EE"/>
          </w:rPr>
          <w:t>August 5, 2021</w:t>
        </w:r>
      </w:hyperlink>
      <w:hyperlink r:id="rId11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9">
        <w:r>
          <w:rPr>
            <w:rFonts w:ascii="Times New Roman" w:cs="Times New Roman" w:eastAsia="Times New Roman" w:hAnsi="Times New Roman"/>
            <w:sz w:val="18"/>
            <w:szCs w:val="18"/>
            <w:u w:val="single" w:color="auto"/>
            <w:color w:val="0000EE"/>
          </w:rPr>
          <w:t xml:space="preserve">December 2, 2021 </w:t>
        </w:r>
      </w:hyperlink>
      <w:hyperlink r:id="rId11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20">
        <w:r>
          <w:rPr>
            <w:rFonts w:ascii="Times New Roman" w:cs="Times New Roman" w:eastAsia="Times New Roman" w:hAnsi="Times New Roman"/>
            <w:sz w:val="18"/>
            <w:szCs w:val="18"/>
            <w:u w:val="single" w:color="auto"/>
            <w:color w:val="0000EE"/>
          </w:rPr>
          <w:t>January 3, 2022</w:t>
        </w:r>
      </w:hyperlink>
      <w:hyperlink r:id="rId117">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26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common shares contained in </w:t>
      </w:r>
      <w:hyperlink r:id="rId121">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Predecessor’s Annual Report on Form 10-K filed with the SEC on February 10, 2020; and</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Series C depositary shares contained in the Registration Statement on </w:t>
      </w:r>
      <w:hyperlink r:id="rId12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September 29, 2017.</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rFonts w:ascii="Times New Roman" w:cs="Times New Roman" w:eastAsia="Times New Roman" w:hAnsi="Times New Roman"/>
          <w:sz w:val="18"/>
          <w:szCs w:val="18"/>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Copies of our SEC filings are available at no cost at our website, </w:t>
      </w:r>
      <w:r>
        <w:rPr>
          <w:rFonts w:ascii="Times New Roman" w:cs="Times New Roman" w:eastAsia="Times New Roman" w:hAnsi="Times New Roman"/>
          <w:sz w:val="17"/>
          <w:szCs w:val="17"/>
          <w:i w:val="1"/>
          <w:iCs w:val="1"/>
          <w:color w:val="auto"/>
        </w:rPr>
        <w:t>www.federalrealty.com</w:t>
      </w:r>
      <w:r>
        <w:rPr>
          <w:rFonts w:ascii="Times New Roman" w:cs="Times New Roman" w:eastAsia="Times New Roman" w:hAnsi="Times New Roman"/>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(301) 998-8100</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344170</wp:posOffset>
            </wp:positionV>
            <wp:extent cx="1911350" cy="5829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9113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PNC Capital Markets LLC</w:t>
      </w:r>
    </w:p>
    <w:p>
      <w:pPr>
        <w:spacing w:after="0" w:line="1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TD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April</w:t>
      </w:r>
      <w:r>
        <w:rPr>
          <w:sz w:val="20"/>
          <w:szCs w:val="20"/>
          <w:color w:val="auto"/>
        </w:rPr>
        <w:tab/>
      </w:r>
      <w:r>
        <w:rPr>
          <w:rFonts w:ascii="Times New Roman" w:cs="Times New Roman" w:eastAsia="Times New Roman" w:hAnsi="Times New Roman"/>
          <w:sz w:val="17"/>
          <w:szCs w:val="17"/>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4"/>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lowerRoman"/>
      <w:start w:val="3"/>
    </w:lvl>
  </w:abstractNum>
  <w:abstractNum w:abstractNumId="7">
    <w:nsid w:val="23F9C13C"/>
    <w:multiLevelType w:val="hybridMultilevel"/>
    <w:lvl w:ilvl="0">
      <w:lvlJc w:val="left"/>
      <w:lvlText w:val="(%1)"/>
      <w:numFmt w:val="decimal"/>
      <w:start w:val="1"/>
    </w:lvl>
  </w:abstractNum>
  <w:abstractNum w:abstractNumId="8">
    <w:nsid w:val="649BB77C"/>
    <w:multiLevelType w:val="hybridMultilevel"/>
    <w:lvl w:ilvl="0">
      <w:lvlJc w:val="left"/>
      <w:lvlText w:val="(%1)"/>
      <w:numFmt w:val="decimal"/>
      <w:start w:val="4"/>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1)"/>
      <w:numFmt w:val="lowerLetter"/>
      <w:start w:val="1"/>
    </w:lvl>
  </w:abstractNum>
  <w:abstractNum w:abstractNumId="11">
    <w:nsid w:val="1CF10FD8"/>
    <w:multiLevelType w:val="hybridMultilevel"/>
    <w:lvl w:ilvl="0">
      <w:lvlJc w:val="left"/>
      <w:lvlText w:val="%1."/>
      <w:numFmt w:val="decimal"/>
      <w:start w:val="5"/>
    </w:lvl>
  </w:abstractNum>
  <w:abstractNum w:abstractNumId="12">
    <w:nsid w:val="180115BE"/>
    <w:multiLevelType w:val="hybridMultilevel"/>
    <w:lvl w:ilvl="0">
      <w:lvlJc w:val="left"/>
      <w:lvlText w:val="(%1)"/>
      <w:numFmt w:val="lowerLetter"/>
      <w:start w:val="1"/>
    </w:lvl>
  </w:abstractNum>
  <w:abstractNum w:abstractNumId="13">
    <w:nsid w:val="235BA861"/>
    <w:multiLevelType w:val="hybridMultilevel"/>
    <w:lvl w:ilvl="0">
      <w:lvlJc w:val="left"/>
      <w:lvlText w:val="(%1)"/>
      <w:numFmt w:val="lowerLetter"/>
      <w:start w:val="1"/>
    </w:lvl>
  </w:abstractNum>
  <w:abstractNum w:abstractNumId="14">
    <w:nsid w:val="47398C89"/>
    <w:multiLevelType w:val="hybridMultilevel"/>
    <w:lvl w:ilvl="0">
      <w:lvlJc w:val="left"/>
      <w:lvlText w:val="(%1)"/>
      <w:numFmt w:val="lowerLetter"/>
      <w:start w:val="2"/>
    </w:lvl>
  </w:abstractNum>
  <w:abstractNum w:abstractNumId="15">
    <w:nsid w:val="354FE9F9"/>
    <w:multiLevelType w:val="hybridMultilevel"/>
    <w:lvl w:ilvl="0">
      <w:lvlJc w:val="left"/>
      <w:lvlText w:val="(%1)"/>
      <w:numFmt w:val="decimal"/>
      <w:start w:val="2"/>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lvl w:ilvl="1">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lowerLetter"/>
      <w:start w:val="3"/>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1)"/>
      <w:numFmt w:val="upperLetter"/>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lvl w:ilvl="1">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lvl w:ilvl="1">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lvl w:ilvl="1">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lvl w:ilvl="1">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4"/>
    </w:lvl>
  </w:abstractNum>
  <w:abstractNum w:abstractNumId="71">
    <w:nsid w:val="76272110"/>
    <w:multiLevelType w:val="hybridMultilevel"/>
    <w:lvl w:ilvl="0">
      <w:lvlJc w:val="left"/>
      <w:lvlText w:val="(%1)"/>
      <w:numFmt w:val="lowerLetter"/>
      <w:start w:val="1"/>
    </w:lvl>
  </w:abstractNum>
  <w:abstractNum w:abstractNumId="72">
    <w:nsid w:val="4C04A8AF"/>
    <w:multiLevelType w:val="hybridMultilevel"/>
    <w:lvl w:ilvl="0">
      <w:lvlJc w:val="left"/>
      <w:lvlText w:val="%1."/>
      <w:numFmt w:val="decimal"/>
      <w:start w:val="5"/>
    </w:lvl>
  </w:abstractNum>
  <w:abstractNum w:abstractNumId="73">
    <w:nsid w:val="1716703B"/>
    <w:multiLevelType w:val="hybridMultilevel"/>
    <w:lvl w:ilvl="0">
      <w:lvlJc w:val="left"/>
      <w:lvlText w:val="(%1)"/>
      <w:numFmt w:val="lowerLetter"/>
      <w:start w:val="1"/>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
      <w:numFmt w:val="bullet"/>
      <w:start w:val="1"/>
    </w:lvl>
    <w:lvl w:ilvl="1">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lvl w:ilvl="1">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1."/>
      <w:numFmt w:val="decimal"/>
      <w:start w:val="1"/>
    </w:lvl>
  </w:abstractNum>
  <w:abstractNum w:abstractNumId="86">
    <w:nsid w:val="26F324BA"/>
    <w:multiLevelType w:val="hybridMultilevel"/>
    <w:lvl w:ilvl="0">
      <w:lvlJc w:val="left"/>
      <w:lvlText w:val="%1."/>
      <w:numFmt w:val="decimal"/>
      <w:start w:val="8"/>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lvl w:ilvl="1">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lvl w:ilvl="1">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lvl w:ilvl="1">
      <w:lvlJc w:val="left"/>
      <w:lvlText w:val="•"/>
      <w:numFmt w:val="bullet"/>
      <w:start w:val="1"/>
    </w:lvl>
  </w:abstractNum>
  <w:abstractNum w:abstractNumId="99">
    <w:nsid w:val="5F3534A4"/>
    <w:multiLevelType w:val="hybridMultilevel"/>
    <w:lvl w:ilvl="0">
      <w:lvlJc w:val="left"/>
      <w:lvlText w:val="•"/>
      <w:numFmt w:val="bullet"/>
      <w:start w:val="1"/>
    </w:lvl>
    <w:lvl w:ilvl="1">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jpe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12" Type="http://schemas.openxmlformats.org/officeDocument/2006/relationships/hyperlink" Target="http://www.sec.gov/ix?doc=/Archives/edgar/data/34903/000003490321000020/frt-20201231.htm" TargetMode="External"/><Relationship Id="rId113" Type="http://schemas.openxmlformats.org/officeDocument/2006/relationships/hyperlink" Target="http://www.sec.gov/Archives/edgar/data/34903/000119312521093583/d112637ddef14a.htm" TargetMode="External"/><Relationship Id="rId114" Type="http://schemas.openxmlformats.org/officeDocument/2006/relationships/hyperlink" Target="http://www.sec.gov/ix?doc=/Archives/edgar/data/34903/000003490321000049/frt-20210331.htm" TargetMode="External"/><Relationship Id="rId115" Type="http://schemas.openxmlformats.org/officeDocument/2006/relationships/hyperlink" Target="http://www.sec.gov/ix?doc=/Archives/edgar/data/34903/000003490321000060/frt-20210630.htm" TargetMode="External"/><Relationship Id="rId116" Type="http://schemas.openxmlformats.org/officeDocument/2006/relationships/hyperlink" Target="http://www.sec.gov/ix?doc=/Archives/edgar/data/34903/000003490321000076/frt-20210930.htm" TargetMode="External"/><Relationship Id="rId117" Type="http://schemas.openxmlformats.org/officeDocument/2006/relationships/hyperlink" Target="http://www.sec.gov/ix?doc=/Archives/edgar/data/34903/000119312521154127/d415709d8k.htm" TargetMode="External"/><Relationship Id="rId118" Type="http://schemas.openxmlformats.org/officeDocument/2006/relationships/hyperlink" Target="http://www.sec.gov/ix?doc=/Archives/edgar/data/34903/000003490321000066/frt-20210803.htm" TargetMode="External"/><Relationship Id="rId119" Type="http://schemas.openxmlformats.org/officeDocument/2006/relationships/hyperlink" Target="http://www.sec.gov/ix?doc=/Archives/edgar/data/34903/000003490321000080/frt-20211202.htm" TargetMode="External"/><Relationship Id="rId120" Type="http://schemas.openxmlformats.org/officeDocument/2006/relationships/hyperlink" Target="http://www.sec.gov/ix?doc=/Archives/edgar/data/34903/000119312522000302/d231372d8k12b.htm" TargetMode="External"/><Relationship Id="rId121" Type="http://schemas.openxmlformats.org/officeDocument/2006/relationships/hyperlink" Target="http://www.sec.gov/Archives/edgar/data/34903/000003490320000008/frt-12312019xex48.htm" TargetMode="External"/><Relationship Id="rId122"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2023-04-10T08:30:08Z</dcterms:created>
  <dcterms:modified xsi:type="dcterms:W3CDTF">2023-04-10T08:30:08Z</dcterms:modified>
</cp:coreProperties>
</file>