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2014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October 27, 2014 was 68,132,622.</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7"/>
              </w:rPr>
              <w:t>QUARTER ENDED SEPTEMBER 30, 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September 30, 2014 (unaudited) and December 31,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w w:val="97"/>
              </w:rPr>
              <w:t>Consolidated Statements of Comprehensive Income (unaudited) for the three and nine months ended September 30, 2014 and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nine months ended September 30,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nine months ended September 30, 2014 and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16</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35</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2013,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2014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$281,960 and $265,138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5,052,378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484,414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5,536,792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$24,714 and $19,086 of consolidated variable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(1,431,466)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4,105,326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145,062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$11,653 and $9,535, respectively</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4,479,398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$188,189 and $202,782 of consolidated variable interest entities,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630,261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588,456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301,556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160,205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156,270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100,283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2,706,934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110,865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68,128,519 and 66,701,422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2,223,737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2,062,708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(623,795)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4,479,398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460,136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159,030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509,713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473,567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31,908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29,045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86,755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53,604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22,902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119,615</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103,316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94,329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310,286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282,876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190,691</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44,648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130,609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108,208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23,861</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Results from discontinued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133,011</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135,010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138,005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47,075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62,098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129,373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134,225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46,939</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61,962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128,967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133,819</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65,504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67,095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65,118</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65,271</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51,349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62,195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134,667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146,854</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49,375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60,927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129,030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143,074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69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692"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66,701,422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$2,062,708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(623,795)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$ 1,471,297</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Net income, excluding $2,475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129,373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132,535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 change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(164,506)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(164,506)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(3,358)</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1,299,470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152,036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152,049</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25,629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2"/>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1,594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87,979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2"/>
              <w:spacing w:after="0"/>
              <w:rPr>
                <w:sz w:val="20"/>
                <w:szCs w:val="20"/>
                <w:color w:val="auto"/>
              </w:rPr>
            </w:pPr>
            <w:r>
              <w:rPr>
                <w:rFonts w:ascii="Arial" w:cs="Arial" w:eastAsia="Arial" w:hAnsi="Arial"/>
                <w:sz w:val="16"/>
                <w:szCs w:val="16"/>
                <w:color w:val="auto"/>
              </w:rPr>
              <w:t>6,399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6,400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65,350</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65,350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Adjustment to redeemable noncontrolling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17"/>
        </w:trPr>
        <w:tc>
          <w:tcPr>
            <w:tcW w:w="2860" w:type="dxa"/>
            <w:vAlign w:val="bottom"/>
          </w:tcPr>
          <w:p>
            <w:pPr>
              <w:ind w:left="40"/>
              <w:spacing w:after="0"/>
              <w:rPr>
                <w:sz w:val="20"/>
                <w:szCs w:val="20"/>
                <w:color w:val="auto"/>
              </w:rPr>
            </w:pPr>
            <w:r>
              <w:rPr>
                <w:rFonts w:ascii="Arial" w:cs="Arial" w:eastAsia="Arial" w:hAnsi="Arial"/>
                <w:sz w:val="16"/>
                <w:szCs w:val="16"/>
                <w:color w:val="auto"/>
              </w:rPr>
              <w:t>BALANCE AT SEPTEMBER 30, 2014</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68,128,519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$2,223,737</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(659,334)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88,277</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$ 1,661,599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84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r>
      <w:tr>
        <w:trPr>
          <w:trHeight w:val="190"/>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135,010</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138,005</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127,403</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119,885</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(28,855)</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real estate in real estate partnership</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Income from real estate partnership</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2,146</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(16,114)</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4,884</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4,906</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Increase in security deposits and other liabilities</w:t>
            </w: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1,364</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2,405</w:t>
            </w: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241,846</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226,728</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(47,202)</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(236,780)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(156,651)</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(33,381)</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(32,200)</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tcPr>
          <w:p>
            <w:pPr>
              <w:spacing w:after="0"/>
              <w:rPr>
                <w:sz w:val="21"/>
                <w:szCs w:val="21"/>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42,866</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 in real estate partnership</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10,406</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(6,731)</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(14,882)</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(9,088)</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4,575</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r>
      <w:tr>
        <w:trPr>
          <w:trHeight w:val="237"/>
        </w:trPr>
        <w:tc>
          <w:tcPr>
            <w:tcW w:w="840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(280,924)</w:t>
            </w: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(201,487)</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11,000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(1,929)</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269,347</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Pr>
          <w:p>
            <w:pPr>
              <w:spacing w:after="0"/>
              <w:rPr>
                <w:sz w:val="21"/>
                <w:szCs w:val="21"/>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(135,000)</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(29,304)</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(37,375)</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Issuance of common shares</w:t>
            </w: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154,250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118,087</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(156,312)</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(141,849)</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(5,566)</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(5,679)</w:t>
            </w: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(25,932)</w:t>
            </w: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65,602</w:t>
            </w: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(65,010)</w:t>
            </w: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90,843</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88,927</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23,917</w:t>
            </w:r>
          </w:p>
        </w:tc>
        <w:tc>
          <w:tcPr>
            <w:tcW w:w="3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127,831</w:t>
            </w:r>
          </w:p>
        </w:tc>
      </w:tr>
      <w:tr>
        <w:trPr>
          <w:trHeight w:val="27"/>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2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September 30, 2014, we owned or had a majority interest in community and neighborhood shopping centers and mixed-use properties which are operated as 89 predominantly retail real estate projects.</w:t>
      </w:r>
    </w:p>
    <w:p>
      <w:pPr>
        <w:spacing w:after="0" w:line="10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amends the definition of a discontinued operation to include only the disposal of a component of an entity that represents a strategic shift that has or will have a major impact on an entity’s operations and financial results. The standard also requires additional disclosures about discontinued operations as well as disposal transactions that do not meet the discontinued operations criteria. The standard is applicable prospectively for all disposals initially classified as held for sale in periods after adoption. We adopted the standard effective January 1, 2014, and there was no impact to the current period financial statements. In future periods, the adoption will result in most individual property disposals not qualifying for discontinued operations presentation and thus, the results of those disposals will remain in “income from continuing operations.” Properties sold prior to January 1, 2014, are not subject to ASU 2014-08 and therefore, continue to be classified as discontinued operations using the previous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ASU 2014-09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ASU 2014-09 also requires new disclosures in both interim and annual reporting periods. The guidance in ASU 2014-09 does not apply to contracts within the scope of ASC 840, Leases. ASU 2014-09 will be effective for us in the first quarter of 2017 and allows for either full retrospective or modified retrospective adoption. We are currently assessing the impact of this standard to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4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In August 2014, the FASB issued ASU 2014-15, “Disclosures of Uncertainties about an Entity’s Ability to Continue as a Going Concern.” ASU 2014-15 provides guidance regarding management’s responsibility to evaluate whether there is substantial doubt about an entity’s ability to continue as a going concern and if such doubt exists, requires specific disclosures. ASU 2014-15 is effective for us in the first quarter of 2017 and is not expected to have a significant impact on our financial statements.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85,740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69,112</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85,240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65,348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 refinanced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Repayment of note payable with public funding/related construction-in-progress offset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See Note 3 for additional disclosures relating to The Grove at Shrewsbury and Brook 35 acquisition.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Approximately $1.7 million and $2.3 million of net assets acquired were allocated to other assets for "above market leases" and other liabilities for "below market leases," respectively. Additionally, $71.1 million was allocated to redeemable and nonredeemable noncontrolling interests. We incurred $2.0 million of acquisition costs, of which $0.9 million were incurred in 2014 and included in "general and administrative expense" for the nine months ended September 30, 2014.</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September 30, 2014 consolidated balance sheet. An additional noncontrolling interest holder has the right to require us to acquire its interests in The Grove at Shrewsbury and Brook 35 at the then current fair market value beginning on January 1, 2017.</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2014, the Partnership owned six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4,642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13,921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14,215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3,530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1,112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15,862</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1,112</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6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7"/>
              </w:rPr>
              <w:t>Our share of net income before gain on sale of real estate in real estate</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Our share of gain on sale of real estate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0"/>
                <w:szCs w:val="20"/>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149,955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170,867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117,723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color w:val="auto"/>
        </w:rPr>
        <w:t>On June 5, 2014, the Partnership repaid an $11.9 million mortgage loan secured by one of its properties at par prior to the original maturity date of July 5, 2014. The partners made additional capital contributions totaling $11.9 million to repay the mortgage loan, of which our contribution was $3.6 million.</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July 24, 2014, the Partnership sold the fee interest in Pleasant Shops in Weymouth, Massachusetts for a sales price of $34.3 million, resulting in a gain on sale of $14.5 million. Our share of the gain was $4.4 million. The partners received distributions totaling $32.8 million as a result of the sale, of which our distribution was $10.4 million.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September 2, 2014, the Partnership repaid a $10.5 million mortgage loan secured by one of its properties at par prior to the original maturity date of December 1, 2014. The partners made additional capital contributions totaling $10.5 million to repay the mortgage loan, of which our contribution was $3.2 million.</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connection with the acquisition of The Grove at Shrewsbury and Brook 35 on January 1, 2014, we assumed mortgage loans with a face amount of $68.3 million and a fair value of $73.8 million. The mortgage loans are secured by the individual properties with the following contractual terms: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Stated Interest Rate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2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2018</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2, 2014 we refinanced the above mortgage loan on Brook 35 at a face amount of $11.5 million. The new mortgage loan bears interest at 4.65% and matures on July 1, 2029.</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June 3, 2014 we repaid the mortgage loan on Melville Mall prior to its original maturity date at par for $20.3 million. The loan had an original maturity date of September 1, 2014.</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August 28, 2014, we amended our term loan agreement and lowered the spread over LIBOR by 40 basis points from 130 basis points to 90 basis points based on our current credit rating. The amendment also provides us the option to extend the maturity date by one year.</w:t>
      </w:r>
    </w:p>
    <w:p>
      <w:pPr>
        <w:spacing w:after="0" w:line="7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the three and nine months ended September 30, 2014, the maximum amount of borrowings outstanding under our $600.0 million revolving credit facility was $58.5 million, the weighted average borrowings outstanding was $24.1 million and $9.5 million, respectively, and the weighted average interest rate, before amortization of debt fees, was 1.07%. At September 30, 2014, the outstanding balance was $11 million. Our revolving credit facility, term loan and certain notes require us to comply with various financial covenants, including the maintenance of minimum shareholders’ equity and debt coverage ratios and a maximum ratio of debt to net worth. As of September 30, 2014, we were in compliance with all debt covenants.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931,817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949,166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889,278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912,251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1,361,466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1,432,160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1,360,913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1,397,731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September 30, 2014,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$4.0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recognized in earnings in the period affected. Hedge ineffectiveness has not impacted earnings as of September 30, 2014, and we do not anticipate it will have a significant effect in the future.</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2014 was a liability of $1.8 million and is included in "accounts payable and accrued expenses" on our consolidated balance sheet. For the three and nine months ended September 30, 2014, the change in valuation on our interest rate swaps resulted in a $2.3 million decrease in our derivative liability and a $0.3 million increase in our derivative liability, respectively, (including $1.1 million and $3.2 million, respectively, reclassified from other comprehensive loss to interest expense). The change in valuation on our interest rate swaps is included in "accumulated other comprehensive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2014</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1,760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1,417</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917,255 downREIT operating partnership units are outstanding which have a total fair value of $108.7 million, based on our closing stock price on September 30,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6"/>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2.190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1.016</w:t>
            </w:r>
          </w:p>
        </w:tc>
      </w:tr>
    </w:tbl>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2014, we issued 402,893 common shares at a weighted average price per share of $124.71 for net cash proceeds of $49.7 million and paid $0.5 million in commissions and less than $0.1 million in additional offering expenses related to the sales of these common shares. For the nine months ended September 30, 2014, we issued 1,299,383 common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shares at a weighted average price per share of $118.31 for net cash proceeds of $152.0 million and paid $1.5 million in commissions and $0.2 million in additional offering expenses related to the sales of these common shares. As of September 30, 2014, we had the capacity to issue up to $146.3 million in common shares under our ATM equity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2380" w:type="dxa"/>
            <w:vAlign w:val="bottom"/>
            <w:gridSpan w:val="4"/>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118,412</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111,928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351,317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334,628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32,842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30,364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102,459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8,387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166,112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154,308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494,688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460,136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2380" w:type="dxa"/>
            <w:vAlign w:val="bottom"/>
            <w:gridSpan w:val="4"/>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During 2013 and prior to our adoption of ASU 2014-08 as further discussed in Note 2, certain disposal transactions were considered discontinued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financial information for these discontinued operations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4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Three Months Ended September</w:t>
            </w:r>
          </w:p>
        </w:tc>
        <w:tc>
          <w:tcPr>
            <w:tcW w:w="2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30,</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discontinued operations</w:t>
            </w:r>
          </w:p>
        </w:tc>
        <w:tc>
          <w:tcPr>
            <w:tcW w:w="1580" w:type="dxa"/>
            <w:vAlign w:val="bottom"/>
            <w:tcBorders>
              <w:bottom w:val="single" w:sz="8" w:color="CCEEFF"/>
            </w:tcBorders>
            <w:shd w:val="clear" w:color="auto" w:fill="CCEEFF"/>
          </w:tcPr>
          <w:p>
            <w:pPr>
              <w:jc w:val="right"/>
              <w:ind w:right="138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1580" w:type="dxa"/>
            <w:vAlign w:val="bottom"/>
          </w:tcPr>
          <w:p>
            <w:pPr>
              <w:jc w:val="right"/>
              <w:ind w:right="138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Grants of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9,699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8,284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9,735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8,507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8,790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7,714</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9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2014 and 2013,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There were no anti-dilutive stock options for the three and nine months ended September 30, 2014 and 2013. The conversions of downREIT operating partnership units and</w:t>
      </w:r>
    </w:p>
    <w:p>
      <w:pPr>
        <w:ind w:right="180"/>
        <w:spacing w:after="0" w:line="261" w:lineRule="auto"/>
        <w:rPr>
          <w:sz w:val="20"/>
          <w:szCs w:val="20"/>
          <w:color w:val="auto"/>
        </w:rPr>
      </w:pPr>
      <w:r>
        <w:rPr>
          <w:rFonts w:ascii="Arial" w:cs="Arial" w:eastAsia="Arial" w:hAnsi="Arial"/>
          <w:sz w:val="18"/>
          <w:szCs w:val="18"/>
          <w:color w:val="auto"/>
        </w:rPr>
        <w:t>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7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7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44,648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39,390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130,609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108,208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42,274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37,708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123,827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103,363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128,228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133,160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65,118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67,732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67,261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65,271</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attributable to the Trust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124,972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104,428</w:t>
            </w:r>
          </w:p>
        </w:tc>
        <w:tc>
          <w:tcPr>
            <w:tcW w:w="0" w:type="dxa"/>
            <w:vAlign w:val="bottom"/>
          </w:tcPr>
          <w:p>
            <w:pPr>
              <w:spacing w:after="0"/>
              <w:rPr>
                <w:sz w:val="1"/>
                <w:szCs w:val="1"/>
                <w:color w:val="auto"/>
              </w:rPr>
            </w:pPr>
          </w:p>
        </w:tc>
      </w:tr>
      <w:tr>
        <w:trPr>
          <w:trHeight w:val="675"/>
        </w:trPr>
        <w:tc>
          <w:tcPr>
            <w:tcW w:w="7440" w:type="dxa"/>
            <w:vAlign w:val="bottom"/>
          </w:tcPr>
          <w:p>
            <w:pPr>
              <w:ind w:left="56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2013 filed with the Securities and Exchange Commission (the “SEC”) on February 11, 2014.</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2013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September 30, 2014, we owned or had a majority interest in community and neighborhood shopping centers and mixed-use properties which are operated as 89 predominantly retail real estate projects comprising approximately 20.1 million square feet (excludes unconsolidated joint venture properties). In total, the real estate projects were 95.6% leased and 94.7% occupied at September 30, 2014. A joint venture in which we own a 30% interest owned six retail real estate projects totaling approximately 0.8 million square feet as of September 30, 2014. In total, the joint venture properties in which we own a 30% interest were 83.2% leased and occupied at September 30,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Property Acquisition and 2014 Property Disposition</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Approximately $1.7 million and $2.3 million of net assets acquired were allocated to other assets for "above market leases" and other liabilities for "below market leases," respectively. Additionally, $71.1 million was allocated to redeemable and nonredeemable noncontrolling interests. We incurred $2.0 million of acquisition costs, of which $0.9 million were incurred in 2014 and included in "general and administrative expense" for the nine months ended September 30, 2014.</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September 30, 2014 consolidated balance sheet. An additional noncontrolling interest holder has the right to require us to acquire its interests in The Grove at Shrewsbury and Brook 35 at the then current fair market value beginning on January 1, 2017.</w:t>
      </w:r>
    </w:p>
    <w:p>
      <w:pPr>
        <w:spacing w:after="0" w:line="117"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On July 24, 2014, the joint venture arrangement with affiliates of a discretionary fund created and advised by ING Clarion Partners sold the fee interest in Pleasant Shops in Weymouth, Massachusetts for a sales price of $34.3 million, resulting in a gain on sale of $14.5 million. Our share of the gain was $4.4 million. The joint venture partners received distributions totaling $32.8 million as a result of the sale, of which our distribution was $10.4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Debt and Equity Transactions</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connection with the acquisition of The Grove at Shrewsbury and Brook 35 on January 1, 2014, we assumed mortgage debt secured by the individual properties with the following contractual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Stated Interest Rate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2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2018</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2, 2014 we refinanced the above mortgage loan on Brook 35 at a face amount of $11.5 million. The new mortgage loan bears interest at 4.65% and matures on July 1, 2029.</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3, 2014 we repaid the mortgage loan on Melville Mall prior to its original maturity date for $20.3 million. The loan had an original maturity date of September 1, 2014.</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August 28, 2014, we amended our term loan agreement and lowered the spread over LIBOR by 40 basis points from 130 basis points to 90 basis points based on our current credit rating. The amendment also provides us the option to extend the maturity date by one year.</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2014, we issued 402,893 common shares at a weighted average price per share of $124.71 for net cash proceeds of $49.7 million and paid $0.5 million in commissions and less than $0.1 million in additional offering expenses related to the sales of these common shares. For the nine months ended September 30, 2014, we issued 1,299,383 common shares at a weighted average price per share of $118.31 for net cash proceeds of $152.0 million and paid $1.5 million in commissions and $0.2 million in additional offering expenses related to the sales of these common shares. As of September 30, 2014, we had the capacity to issue up to $146.3 million in common shares under our ATM equity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taxes, insurance, construction costs and salaries and related costs of personnel directly involved, are capitalized. We capitalized external and internal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both development and redevelopment activities of $218 million and $5 million, respectively, for the nine months ended September 30, 2014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$196 million and $4 million, respectively, for the nine months ended September 30, 2013. We capitalized external and internal costs related to other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of $30 million and $1 million, respectively, for the nine months ended September 30, 2014 and $31 million and $1 million, respectively,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2013. We capitalized external and internal costs related to leasing activities of $10 million and $5 million, respectively,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nine months ended September 30, 2014 and $6 million and $5 million, respectively, for the nine months ended September 30, 2013.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capitalized internal costs for salaries and related benefits for development and redevelopment activities, other property improvements, and leasing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$5 million, $1 million, and $5 million, respectively, for the nine months ended September 30, 2014 and $4 million, $1 million, and $4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for the nine months ended September 30, 2013. Total capitalized costs were $269 million and $243 million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amends the definition of a discontinued operation to include only the disposal of a component of an entity that represents a strategic shift that has or will have a major impact on an entity’s operations and financial results. The standard also requires additional disclosures about discontinued operations as well as disposal transactions that do not meet the discontinued operations criteria. The standard is applicable prospectively for all disposals initially classified as held for sale in periods after adoption. We adopted the standard effective January 1, 2014, and there was no impact to the current period financial statements. In future periods, the adoption will result in most individual property disposals not qualifying for discontinued operations presentation and thus, the results of those disposals will remain in “income from continuing operations.” Properties sold prior to January 1, 2014, are not subject to ASU 2014-08 and therefore, continue to be classified as discontinued operations using the previous definition.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May 2014, the FASB issued ASU 2014-09, "Revenue from Contracts with Customers." ASU 2014-09 supersedes nearly all existing revenue recognition guidance under GAAP and replaces it with a core revenue recognition principle, that an entity 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ASU 2014-09 also requires new disclosures in both interim and annual reporting periods. The guidance in ASU 2014-09 does not apply to contracts within the scope of ASC 840, Leases. ASU 2014-09 will be effective for us in the first quarter of 2017 and allows for either full retrospective or modified retrospective adoption. We are currently assessing the impact of this standard to our consolidated financial statements.</w:t>
      </w:r>
    </w:p>
    <w:p>
      <w:pPr>
        <w:spacing w:after="0" w:line="5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In August 2014, the FASB issued ASU 2014-15, “Disclosures of Uncertainties about an Entity’s Ability to Continue as a Going Concern.” ASU 2014-15 provides guidance regarding management’s responsibility to evaluate whether there is substantial doubt about an entity’s ability to continue as a going concern and if such doubt exists, requires specific disclosures. ASU 2014-15 is effective for us in the first quarter of 2017 and is not expected to have a significant impact on our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an encouraging operating environment for many of our tenants as well as strong levels of interest from prospective tenants for our retail spaces. While there can be no assurance that these conditions will continue, we remain optimistic regarding the improved trends we have seen over the past few years. We believe the locations of our centers and diverse tenant base partially mitigates any negative change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September 30, 2014, no single tenant accounted for more than 3.2% of annualized base rent.</w:t>
      </w:r>
    </w:p>
    <w:p>
      <w:pPr>
        <w:spacing w:after="0" w:line="1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properties are located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2014, we expect to have redevelopment projects stabilizing with projected costs of approximately $89 million, including our 212 unit residential building at Santana Row discussed below. In 2015, we expect to have redevelopment projects stabilizing with projected costs of approximately $153 million.</w:t>
      </w:r>
    </w:p>
    <w:p>
      <w:pPr>
        <w:spacing w:after="0" w:line="13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continue our ongoing redevelopment efforts at Santana Row. Our most recent 212 unit residential building was completed during second quarter. The building was 98.1% leased as of September 30, 2014, and has a total cost of approximately $77 million. We are also proceeding with our next phase of redevelopment which is a six story building including approximately 225,500 square feet of office space, 1,500 square feet of retail space, and 670 parking spaces. After current phases, we have approximately 9 acres remaining for further redevelopment and entitlements in place for an additional 348 residential units and 69,000 square feet of commercial space. We are currently in the process of seeking additional entitlements and have under control an additional 12 acres of land adjacent to Santana Row.</w:t>
      </w:r>
    </w:p>
    <w:p>
      <w:pPr>
        <w:spacing w:after="0" w:line="1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continue to invest in the development at Assembly Row which is a long-term development project we expect to be involved in over the coming years. The carrying value of the development portion of this project at September 30, 2014 is approximately $315 million. The project currently has zoning entitlements to build 3.4 million square feet of commercial-use buildings, 1,843 residential units, and a 170 room hotel. We have agreements with AvalonBay Communities ("AvalonBay") for a portion of the first phase of development at Assembly Row which includes 450 residential units (by AvalonBay) and approximately 326,000 square feet of retail space and 98,000 square feet of office space (both by the Trust). The Massachusetts Bay Transit Authority (MBTA) constructed the new orange line T-Stop at the property, which opened in September 2014. Construction on the first phase and infrastructure is ongoing. Approximately 257,000 square feet of retail space in Phase I opened during second and third quarter 2014, with the remainder of the retail and office space opening in the fourth quarter of 2014 and in 2015. Phase I is expected to stabilize in 2015. Total expected costs for Phase I of Assembly Row range from $190 million to $200 million (net of reimbursements) of which $180 million has been incurred to date. In total, including costs incurred in the first nine months of 2014, we expect to invest between $65 million and $85 million in Assembly Row in 2014, net of expected public funding.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Additionally, we entered into an agreement with Partners HealthCare to bring more than 700,000 square feet of office space and an additional 100,000 square feet of retail space to Assembly Row. Partners HealthCare commenced construction on this new building in September 2014 and plans to relocate over 4,500 employees to Assembly Row starting in 2016.</w:t>
      </w:r>
    </w:p>
    <w:p>
      <w:pPr>
        <w:spacing w:after="0" w:line="127"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Our Pike &amp; Rose project in Rockville, MD, a long-term multi-phased mixed-use project, currently has zoning entitlements to build 1.6 million square feet of commercial-use buildings and 1,605 residential units. Phase I of Pike &amp; Rose involved demolition of roughly 25% of the existing gross leasable area at Mid-Pike Plaza (which was completed during the second quarter of 2012). The remainder of Mid-Pike Plaza was fully demolished in the third quarter of 2014.</w:t>
      </w:r>
    </w:p>
    <w:p>
      <w:pPr>
        <w:ind w:right="80"/>
        <w:spacing w:after="0" w:line="253" w:lineRule="auto"/>
        <w:rPr>
          <w:sz w:val="20"/>
          <w:szCs w:val="20"/>
          <w:color w:val="auto"/>
        </w:rPr>
      </w:pPr>
      <w:r>
        <w:rPr>
          <w:rFonts w:ascii="Arial" w:cs="Arial" w:eastAsia="Arial" w:hAnsi="Arial"/>
          <w:sz w:val="18"/>
          <w:szCs w:val="18"/>
          <w:color w:val="auto"/>
        </w:rPr>
        <w:t>Construction on the 493 residential units, 151,000 square feet of retail space and 79,000 square feet of office space in Phase I is ongoing. In late June 2014, our 174 unit residential building opened. We expect a portion of the retail space in Phase I to open in 2014 and the remaining retail, office and 319 unit residential building to open in 2015. We expect Phase I to stabilize in 2015/2016. Total expected costs for Phase I of Pike &amp; Rose range from $245 million to $255 million of which $201 million has been incurred to date. Including costs incurred in the first nine months of 2014, we expect to invest between $100 million and $120 million in 2014 related to Phase I.</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are proceeding with development of Phase II of Pike &amp; Rose and expect building construction to commence in the first half of 2015. Phase</w:t>
      </w:r>
    </w:p>
    <w:p>
      <w:pPr>
        <w:spacing w:after="0" w:line="46" w:lineRule="exact"/>
        <w:rPr>
          <w:sz w:val="20"/>
          <w:szCs w:val="20"/>
          <w:color w:val="auto"/>
        </w:rPr>
      </w:pPr>
    </w:p>
    <w:p>
      <w:pPr>
        <w:ind w:right="220" w:firstLine="8"/>
        <w:spacing w:after="0" w:line="277" w:lineRule="auto"/>
        <w:tabs>
          <w:tab w:leader="none" w:pos="165" w:val="left"/>
        </w:tabs>
        <w:numPr>
          <w:ilvl w:val="0"/>
          <w:numId w:val="4"/>
        </w:numPr>
        <w:rPr>
          <w:rFonts w:ascii="Arial" w:cs="Arial" w:eastAsia="Arial" w:hAnsi="Arial"/>
          <w:sz w:val="17"/>
          <w:szCs w:val="17"/>
          <w:color w:val="auto"/>
        </w:rPr>
      </w:pPr>
      <w:r>
        <w:rPr>
          <w:rFonts w:ascii="Arial" w:cs="Arial" w:eastAsia="Arial" w:hAnsi="Arial"/>
          <w:sz w:val="17"/>
          <w:szCs w:val="17"/>
          <w:color w:val="auto"/>
        </w:rPr>
        <w:t>will include approximately 185,000 square feet of retail space, a 177-room select-service hotel and 264 residential units. Total expected costs range from $195 million to $200 million and stabilization is expected in 2018/2019. The hotel will be owned and operated by a joint venture in which we will be a partner. Phase II will also include 104 for-sale condominium units with an expected cost of $50 million to $53 million.</w:t>
      </w:r>
    </w:p>
    <w:p>
      <w:pPr>
        <w:spacing w:after="0" w:line="1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2014, the leasable square feet in our properties was 94.7% occupied and 95.6%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third quarter of 2014, we signed leases for a total of 434,000 square feet of retail space including 373,000 square feet of comparable space leases (leases for which there was a prior tenant) at an average rental increase of 13% on a cash basis and 23% on a straight-line basis. New leases for comparable spaces were signed for 177,000 square feet at an average rental increase of 15% on a cash basis and 22% on a straight-line basis. Renewals for comparable spaces were signed for 196,000 square feet at an average rental increase of 12% on a cash basis and 25% on a straight-line basis. Tenant improvements and incentives for comparable spaces were $62.59 per square foot for new leases and $1.50 per square foot for renewals for the three months ended September 30, 2014.</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nine months ended September 30, 2014, we signed leases for a total of 1,421,000 square feet of retail space including 1,238,000 square feet of comparable space leases (leases for which there was a prior tenant) at an average rental increase of 15% on a cash basis and 28% on a straight-line basis. New leases for comparable spaces were signed for 579,000 square feet at an average rental increase of 21% on a cash basis and 34% on a straight-line basis. Renewals for comparable spaces were signed for 659,000 square feet at an average rental increase of 12% on a cash basis and 24% on a straight-line basis. Tenant improvements and incentives for comparable spaces were $48.38 per square foot for new leases and $1.48 per square foot for renewals for the nine months ended September 30, 2014.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2014 generally become effective over the following two years though some may not become effective until 2017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We believe our leasing volume for 2014 will be at the high end or slightly above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and nine months ended September 30, 2014, all or a portion of 80 and 78 properties, respectively, were considered same-center and eleven and twelve properties, respectively, were considered redevelopment or expansion. For the nine months ended September 30, 2014, two properties were moved from same-center to redevelopment, one property was moved from redevelopment to same-center, and one property was removed from redevelopment as it was vacant and was demolished in 2014, when compared to the designations as of December 31, 2013. For the three months ended September 30, 2014, one property was moved from acquisitions to same-center.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6"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2014 AND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154,308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11,804</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170,938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159,030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11,908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1,974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111,585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7,071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4,401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47,075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62,098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Total property revenue increased $11.9 million, or 7.5%, to $170.9 million in the three months ended September 30, 2014 compared to $159.0 million in the three months ended September 30, 2013. The percentage occupied at our shopping centers increased to 94.7% at September 30, 2014 compared to 94.6% at September 30, 2013.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$11.8 million, or 7.6%, to $166.1 million in the three months ended September 30, 2014 compared to $154.3 million in the three months ended September 30, 2013 due primarily to the following:</w:t>
      </w:r>
    </w:p>
    <w:p>
      <w:pPr>
        <w:spacing w:after="0" w:line="19" w:lineRule="exact"/>
        <w:rPr>
          <w:sz w:val="20"/>
          <w:szCs w:val="20"/>
          <w:color w:val="auto"/>
        </w:rPr>
      </w:pPr>
    </w:p>
    <w:p>
      <w:pPr>
        <w:ind w:left="1700" w:right="38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$4.2 million at same-center properties due primarily to higher rental rates of approximately $2.5 million and a $1.3 million increase in recovery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$3.8 million attributable to properties acquired in 2014 and 2013,</w:t>
      </w:r>
    </w:p>
    <w:p>
      <w:pPr>
        <w:spacing w:after="0" w:line="63" w:lineRule="exact"/>
        <w:rPr>
          <w:rFonts w:ascii="Arial" w:cs="Arial" w:eastAsia="Arial" w:hAnsi="Arial"/>
          <w:sz w:val="18"/>
          <w:szCs w:val="18"/>
          <w:color w:val="auto"/>
        </w:rPr>
      </w:pPr>
    </w:p>
    <w:p>
      <w:pPr>
        <w:ind w:left="1700" w:right="54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$2.3 million at redevelopment properties due primarily to the lease-up of our new 212 unit residential building at Santana Row and the net impact of our other redevelopment properties,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$1.9 million from Assembly Row and Pike &amp; Rose as portions of both projects opened in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ind w:left="60" w:right="140"/>
        <w:spacing w:after="0" w:line="312" w:lineRule="auto"/>
        <w:rPr>
          <w:sz w:val="20"/>
          <w:szCs w:val="20"/>
          <w:color w:val="auto"/>
        </w:rPr>
      </w:pPr>
      <w:r>
        <w:rPr>
          <w:rFonts w:ascii="Arial" w:cs="Arial" w:eastAsia="Arial" w:hAnsi="Arial"/>
          <w:sz w:val="16"/>
          <w:szCs w:val="16"/>
          <w:color w:val="auto"/>
        </w:rPr>
        <w:t>Other property income increased $0.1 million, or 4.1%, to $3.6 million in the three months ended September 30, 2014 compared to $3.5 million in the three months ended September 30, 2013. Included in other property income are items which, although recurring, inherently tend to fluctuate more than rental income from period to period, such as lease termination fees. This increase is primarily due to a increase in lease termination fees at same-center properties.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property expenses increased $4.8 million, or 10.2%, to $52.3 million in the three months ended September 30, 2014 compared to $47.4 million in the three months ended September 30, 2013.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Rental expenses increased $2.9 million, or 9.9%, to $31.9 million in the three months ended September 30, 2014 compared to $29.0 million in the three months ended September 30, 2013.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$1.7 million related to Assembly Row and Pike &amp; Rose, as portions of these projects opened during 2014,</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$0.6 million related to properties acquired in 2014,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$0.3 million in bad debt expense at same-center properties.</w:t>
      </w:r>
    </w:p>
    <w:p>
      <w:pPr>
        <w:spacing w:after="0" w:line="1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increased to 18.8% in the three months ended September 30, 2014 from 18.4% in the three months ended September 30, 2013.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Real estate tax expense increased $2.0 million, or 10.7%, to $20.4 million in the three months ended September 30, 2014 compared to $18.4 million in the three months ended September 30, 2013 due primarily to higher assessments at our same-center and redevelopment properties and real estate taxes on properties acquired in 2014 and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Property operating income increased $7.1 million, or 6.3%, to $118.7 million in the three months ended September 30, 2014 compared to $111.6 million in the three months ended September 30, 2013. This increase is primarily due to growth in earnings at same-center properties, properties acquired in 2014 and 2013, and earnings from our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decreased $2.3 million, or 9.1%, to $23.4 million in the three months ended September 30, 2014 compared to $25.8 million in the three months ended September 30, 2013.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$2.7 million due to a lower overall weighted average borrowing rate, and</w:t>
      </w:r>
    </w:p>
    <w:p>
      <w:pPr>
        <w:spacing w:after="0" w:line="63"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$0.7 million in capitalized interest due primarily to our ongoing development projects at Assembly Row and Pike &amp; Rose,</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$0.9 million due to higher borrowings.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interest costs were $28.4 million and $30.1 million in the three months ended September 30, 2014 and 2013, respectively. Capitalized interest was $5.0 million and $4.3 million in the three months ended September 30, 2014 and 2013,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General and administrative expenses increased $0.8 million, or 11.0%, to $8.4 million for the three months ended September 30, 2014, compared to $7.5 million in the three months ended September 30, 2013. The increase is due to higher personnel related costs.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increased $3.3 million, or 8.4%, to $42.7 million in the three months ended September 30, 2014 from $39.3 million in the three months ended September 30, 2013. This increase is due primarily to 2014 acquisitions and redevelopment/development projects placed in service in 2014.</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6" w:right="2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Income</w:t>
      </w:r>
    </w:p>
    <w:p>
      <w:pPr>
        <w:spacing w:after="0" w:line="9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Income from discontinued operations represents the operating income of properties that were disposed prior to January 1, 2014, which were required to be reported separately from results of ongoing operations. The reported operating income of $0.1 million for the three months ended September 30, 2013 primarily represents the operating income for the period during which we owned properties sold in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$23.9 million gain on sale of real estate from discontinued operations for the three months ended September 30, 2013 is due to the sale of the fee interest in our final building at Fifth Avenue on July 22, 2013 and the sale of the fee interest in our building in Forest Hills on September 10,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in Real Estate Partnership</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$4.4 million gain on sale of real estate in real estate partnership for the three months ended September 30, 2014 is due to our portion of the gain resulting from the Partnership's sale of the fee interest in Pleasant Shops in Weymouth, Massachusetts.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509,713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473,567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36,146</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351,032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333,208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17,824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130,609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108,208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22,401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(23,861)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134,225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property revenue increased $36.1 million, or 7.6%, to $509.7 million in the nine months ended September 30, 2014 compared to $473.6 million in the nine months ended September 30, 2013. The percentage occupied at our shopping centers increased to 94.7% at September 30, 2014 compared to 94.6% at September 30, 2013. Changes in the components of property revenue are discussed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$34.6 million, or 7.5%, to $494.7 million in the nine months ended September 30, 2014 compared to $460.1 million in the nine months ended September 30, 2013 due primarily to the following:</w:t>
      </w:r>
    </w:p>
    <w:p>
      <w:pPr>
        <w:spacing w:after="0" w:line="19" w:lineRule="exact"/>
        <w:rPr>
          <w:sz w:val="20"/>
          <w:szCs w:val="20"/>
          <w:color w:val="auto"/>
        </w:rPr>
      </w:pPr>
    </w:p>
    <w:p>
      <w:pPr>
        <w:ind w:left="1700" w:right="120" w:hanging="801"/>
        <w:spacing w:after="0" w:line="298"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of $16.4 million at same-center properties due primarily to an $8.9 million increase in recovery income (largely the result of reimbursements for higher snow removal costs) and higher rental rates of approximately $7.3 million,</w:t>
      </w: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$12.3 million attributable to properties acquired in 2014 and 2013,</w:t>
      </w:r>
    </w:p>
    <w:p>
      <w:pPr>
        <w:spacing w:after="0" w:line="63" w:lineRule="exact"/>
        <w:rPr>
          <w:rFonts w:ascii="Arial" w:cs="Arial" w:eastAsia="Arial" w:hAnsi="Arial"/>
          <w:sz w:val="18"/>
          <w:szCs w:val="18"/>
          <w:color w:val="auto"/>
        </w:rPr>
      </w:pPr>
    </w:p>
    <w:p>
      <w:pPr>
        <w:ind w:left="1700" w:right="540" w:hanging="801"/>
        <w:spacing w:after="0" w:line="27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$5.5 million at redevelopment properties due primarily to the lease-up of our new 212 unit residential building at Santana Row and the net impact of other redevelopment properties,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$2.4 million from Assembly Row and Pike &amp; Rose as portions of both projects opened in 2014,</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decrease of $1.5 million from Mid-Pike Plaza as the property was demolished in 2014 for the future development of Pike &amp; Rose.</w:t>
      </w:r>
    </w:p>
    <w:p>
      <w:pPr>
        <w:spacing w:after="0" w:line="1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ind w:left="60" w:right="40"/>
        <w:spacing w:after="0" w:line="312" w:lineRule="auto"/>
        <w:rPr>
          <w:sz w:val="20"/>
          <w:szCs w:val="20"/>
          <w:color w:val="auto"/>
        </w:rPr>
      </w:pPr>
      <w:r>
        <w:rPr>
          <w:rFonts w:ascii="Arial" w:cs="Arial" w:eastAsia="Arial" w:hAnsi="Arial"/>
          <w:sz w:val="16"/>
          <w:szCs w:val="16"/>
          <w:color w:val="auto"/>
        </w:rPr>
        <w:t>Other property income increased $1.7 million, or 17.5%, to $11.3 million in the nine months ended September 30, 2014 compared to $9.7 million in the nine months ended September 30, 2013. Included in other property income are items which, although recurring, inherently tend to fluctuate more than rental income from period to period, such as lease termination fees. This increase is primarily due to an increase in lease termination fees at same-center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property expenses increased $18.3 million, or 13.1%, to $158.7 million in the nine months ended September 30, 2014 compared to $140.4 million in the nine months ended September 30, 2013.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Rental expenses increased $13.7 million, or 15.8%, to $100.4 million in the nine months ended September 30, 2014 compared to $86.8 million in the nine months ended September 30, 2013. This increase is primarily due to the following:</w:t>
      </w:r>
    </w:p>
    <w:p>
      <w:pPr>
        <w:spacing w:after="0" w:line="8" w:lineRule="exact"/>
        <w:rPr>
          <w:sz w:val="20"/>
          <w:szCs w:val="20"/>
          <w:color w:val="auto"/>
        </w:rPr>
      </w:pPr>
    </w:p>
    <w:p>
      <w:pPr>
        <w:ind w:left="1700" w:right="40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$6.4 million in repairs and maintenance at same-center and redevelopment properties due primarily to higher snow removal costs,</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$3.0 million related to Assembly Row and Pike &amp; Rose, as portions of these projects opened in 2014,</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$2.3 million related to properties acquired in 2014 and 2013,</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$1.0 million in bad debt expense at same-center properties, and</w:t>
      </w:r>
    </w:p>
    <w:p>
      <w:pPr>
        <w:spacing w:after="0" w:line="63" w:lineRule="exact"/>
        <w:rPr>
          <w:rFonts w:ascii="Arial" w:cs="Arial" w:eastAsia="Arial" w:hAnsi="Arial"/>
          <w:sz w:val="18"/>
          <w:szCs w:val="18"/>
          <w:color w:val="auto"/>
        </w:rPr>
      </w:pPr>
    </w:p>
    <w:p>
      <w:pPr>
        <w:ind w:left="170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$0.7 million in utilities at our same-center and redevelopment properties primarily due to higher electric costs and usage as a result of the harsh winter.</w:t>
      </w:r>
    </w:p>
    <w:p>
      <w:pPr>
        <w:spacing w:after="0" w:line="11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increased to 19.8% in the nine months ended September 30, 2014 from 18.5% in the nine months ended September 30, 2013.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Real estate tax expense increased $4.6 million, or 8.6%, to $58.2 million in the nine months ended September 30, 2014 compared to $53.6 million in the nine months ended September 30, 2013 due primarily to higher assessments and lower refunds at our same-center and redevelopment properties and real estate taxes on properties acquired in 2014 and 2013.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Property operating income increased $17.8 million, or 5.3%, to $351.0 million in the nine months ended September 30, 2014 compared to $333.2 million in the nine months ended September 30, 2013. This increase is primarily due to growth in earnings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our same-center properties, properties acquired in 2014 and 2013, and earnings from our redevelopment properties, partially offset by a decline in earnings at Mid-Pike Plaza, which was demolished in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expense decreased $10.5 million, or 13.1%, to $69.8 million in the nine months ended September 30, 2014 compared to $80.3 million in the nine months ended September 30, 2013.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$9.5 million due to a lower overall weighted average borrowing rate, and</w:t>
      </w:r>
    </w:p>
    <w:p>
      <w:pPr>
        <w:spacing w:after="0" w:line="63" w:lineRule="exact"/>
        <w:rPr>
          <w:rFonts w:ascii="Arial" w:cs="Arial" w:eastAsia="Arial" w:hAnsi="Arial"/>
          <w:sz w:val="18"/>
          <w:szCs w:val="18"/>
          <w:color w:val="auto"/>
        </w:rPr>
      </w:pPr>
    </w:p>
    <w:p>
      <w:pPr>
        <w:ind w:left="1700" w:right="28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$5.1 million in capitalized interest due primarily to our ongoing development projects at Assembly Row and Pike &amp; Rose,</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$3.9 million due to higher borrowings.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$85.7 million and $91.2 million in the nine months ended September 30, 2014 and 2013, respectively. Capitalized interest was $16.0 million and $10.9 million in the nine months ended September 30, 2014 and 2013,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General and administrative expenses increased $1.3 million, or 5.7%, to $24.2 million for the nine months ended September 30, 2014, compared to $22.9 million in the nine months ended September 30, 2013. The increase is due to higher personnel related costs and higher acquisition costs from the 2014 acquisition of The Grove at Shrewsbury and Brook 35.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$3.4 million of early extinguishment of debt in the nine months ended September 30, 2013 relates to the make-whole premium paid as part of the early redemption of our 5.40% senior notes and the related write-off of unamortized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Depreciation and amortization expense increased $7.8 million, or 6.5%, to $127.4 million in the nine months ended September 30, 2014 from $119.6 million in the nine months ended September 30, 2013. This increase is due primarily to 2014 and 2013 acquisitions and redevelopment/development projects placed in service in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Income</w:t>
      </w:r>
    </w:p>
    <w:p>
      <w:pPr>
        <w:spacing w:after="0" w:line="9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Income from discontinued operations represents the operating income of properties that were disposed prior to January 1, 2014, which were required to be reported separately from results of ongoing operations. The reported operating income of $0.9 million for the nine months ended September 30, 2013 primarily represents the operating income for the period during which we owned properties sold in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Gain on Sale of Real Estate</w:t>
      </w:r>
    </w:p>
    <w:p>
      <w:pPr>
        <w:spacing w:after="0" w:line="9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$23.9 million gain on sale of real estate from discontinued operations for the nine months ended September 30, 2013 is due to the sale of the fee interest in our final building at Fifth Avenue on July 22, 2013 and the sale of the fee interest in our building in Forest Hills on September 10,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$5.0 million gain on sale of real estate for the nine months ended September 30,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in Real Estate Partnership</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$4.4 million gain on sale of real estate in real estate partnership for the nine months ended September 30, 2014 is due to our portion of the gain resulting from the Partnership's sale of the fee interest in Pleasant Shops in Weymouth, Massachusetts.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and cash equivalents were $23.9 million at September 30, 2014. Additionally, we have a $600.0 million unsecured revolving credit facility which matures on April 21, 2017, subject to a one-year extension at our option, and had outstanding borrowings of $11.0 million at September 30, 2014. In addition, we have an option (subject to bank approval) to increase the credit facility through an accordion feature to $1.0 billion. Our $275.0 million unsecured term loan, which matures on November 21, 2018, subject to a one-year extension at our option, also has an option (subject to bank approval) to increase the term loan through an accordion feature to $350.0 million. As of September 30, 2014, we had the capacity to issue up to $146.3 million in common shares under our ATM equity program.</w:t>
      </w:r>
    </w:p>
    <w:p>
      <w:pPr>
        <w:spacing w:after="0" w:line="5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nine months ended September 30, 2014, the maximum amount of borrowings outstanding under our revolving credit facility was $58.5 million, the weighted average amount of borrowings outstanding was $9.5 million and the weighted average interest rate, before amortization of debt fees, was 1.07%. For the remainder of 2014, we have no additional debt maturing.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overall capital requirements for the remainder of 2014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2014 which is the result of the continued construction of Phase I at both Assembly Row and Pike &amp; Rose with openings of portions of both projects in 2014 and 2015, the commencement of construction on Phase II of Pike &amp; Rose, and the current phase of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241,846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226,728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(280,924)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65,602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(65,010)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90,843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23,917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127,831</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Net cash provided by operating activities increased $15.1 million to $241.8 million during the nine months ended September 30, 2014 from $226.7 million during the nine months ended September 30, 2013. The increase was primarily attributable to higher net income before certain non-cash items.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increased $79.4 million to $280.9 million during the nine months ended September 30, 2014 from $201.5 million during the nine months ended September 30, 2013. The increase was primarily attributable to:</w:t>
      </w:r>
    </w:p>
    <w:p>
      <w:pPr>
        <w:spacing w:after="0" w:line="8" w:lineRule="exact"/>
        <w:rPr>
          <w:sz w:val="20"/>
          <w:szCs w:val="20"/>
          <w:color w:val="auto"/>
        </w:rPr>
      </w:pPr>
    </w:p>
    <w:p>
      <w:pPr>
        <w:ind w:left="1700" w:hanging="80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$87.1 million increase in capital investments and leasing costs in 2014 primarily related to our development projects at Assembly Row and Pike &amp; Rose,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$42.9 million in proceeds from the sale of real estate in 2013, and</w:t>
      </w:r>
    </w:p>
    <w:p>
      <w:pPr>
        <w:spacing w:after="0" w:line="63" w:lineRule="exact"/>
        <w:rPr>
          <w:rFonts w:ascii="Arial" w:cs="Arial" w:eastAsia="Arial" w:hAnsi="Arial"/>
          <w:sz w:val="18"/>
          <w:szCs w:val="18"/>
          <w:color w:val="auto"/>
        </w:rPr>
      </w:pPr>
    </w:p>
    <w:p>
      <w:pPr>
        <w:ind w:left="1700" w:right="520" w:hanging="80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$6.7 million contribution to our real estate partnership to repay the mortgage loans of two of its properties prior to their original maturity dates,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$42.9 million decrease in acquisitions of real estate due to the April 2013 Darien acquisition,</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$10.4 million in distributions from our real estate partnership from the sale of Pleasant Shops in July 2014,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$3.6 million received from the payoff of a mortgage loan receivable in July 2014.</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used in financing activities increased $91.5 million to $25.9 million used during the nine months ended September 30, 2014 from $65.6 million provided during the nine months ended September 30, 2013.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$269.3 million in net proceeds from the issuance of 2.75% senior notes in May 2013, and</w:t>
      </w:r>
    </w:p>
    <w:p>
      <w:pPr>
        <w:spacing w:after="0" w:line="63" w:lineRule="exact"/>
        <w:rPr>
          <w:rFonts w:ascii="Arial" w:cs="Arial" w:eastAsia="Arial" w:hAnsi="Arial"/>
          <w:sz w:val="18"/>
          <w:szCs w:val="18"/>
          <w:color w:val="auto"/>
        </w:rPr>
      </w:pPr>
    </w:p>
    <w:p>
      <w:pPr>
        <w:ind w:left="1700" w:right="58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$14.5 million increase in dividends paid to shareholders due to an increase in the dividend rate and increased number of shares outstanding,</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$135.0 million redemption of our 5.40% senior notes in June 2013,</w:t>
      </w:r>
    </w:p>
    <w:p>
      <w:pPr>
        <w:spacing w:after="0" w:line="63" w:lineRule="exact"/>
        <w:rPr>
          <w:rFonts w:ascii="Arial" w:cs="Arial" w:eastAsia="Arial" w:hAnsi="Arial"/>
          <w:sz w:val="18"/>
          <w:szCs w:val="18"/>
          <w:color w:val="auto"/>
        </w:rPr>
      </w:pPr>
    </w:p>
    <w:p>
      <w:pPr>
        <w:jc w:val="both"/>
        <w:ind w:left="1700" w:right="220" w:hanging="801"/>
        <w:spacing w:after="0" w:line="286"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$36.2 million increase in net proceeds from the issuance of common shares due primarily to the sale of 1.3 million shares under our ATM equity program at a weighted average price of $118.31 in the nine months ended September 30, 2014 compared to 1.1 million shares at a weighted average price of $110.00 in the nine months ended September 30, 2013,</w:t>
      </w:r>
    </w:p>
    <w:p>
      <w:pPr>
        <w:spacing w:after="0" w:line="3" w:lineRule="exact"/>
        <w:rPr>
          <w:rFonts w:ascii="Arial" w:cs="Arial" w:eastAsia="Arial" w:hAnsi="Arial"/>
          <w:sz w:val="17"/>
          <w:szCs w:val="17"/>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$12.9 million increase in net borrowings under our revolving credit facility, and</w:t>
      </w:r>
    </w:p>
    <w:p>
      <w:pPr>
        <w:spacing w:after="0" w:line="63" w:lineRule="exact"/>
        <w:rPr>
          <w:rFonts w:ascii="Arial" w:cs="Arial" w:eastAsia="Arial" w:hAnsi="Arial"/>
          <w:sz w:val="18"/>
          <w:szCs w:val="18"/>
          <w:color w:val="auto"/>
        </w:rPr>
      </w:pPr>
    </w:p>
    <w:p>
      <w:pPr>
        <w:ind w:left="170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$8.1 million decrease in repayment of mortgages, capital leases, and notes payable due to the payoff of one mortgage for $20.3 million in 2014, compared to two mortgages totaling $28.2 million in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2014, the Partnership owned six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September 30, 2014, our investment in the Partnership was $32.7 million and the Partnership had approximately $34.4 million of mortgages payable outstanding.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6"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September 30, 2014</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2014</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53,064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36,265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25,704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22,594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26,196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26,630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East Bay Bridge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61,224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March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44,751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22,230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76,241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7,123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618,475</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11,786</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630,261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Term loan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6,156</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(3)</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Revolving credit facility (4)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301,556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1,361,466</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71,653</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2,364,936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Mortgages payable do not include our 30% share ($10.3 million) of the $34.4 million debt of the partnership with a discretionary fund created and advised by Clarion.</w:t>
      </w:r>
    </w:p>
    <w:p>
      <w:pPr>
        <w:spacing w:after="0" w:line="8"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was reduced from 130 basis points to 90 basis points on August 28, 2014, resulting in a fixed rate of 2.62%.</w:t>
      </w:r>
    </w:p>
    <w:p>
      <w:pPr>
        <w:sectPr>
          <w:pgSz w:w="11900" w:h="16838" w:orient="portrait"/>
          <w:cols w:equalWidth="0" w:num="1">
            <w:col w:w="11420"/>
          </w:cols>
          <w:pgMar w:left="240" w:top="126" w:right="239" w:bottom="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6" w:right="239" w:bottom="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660" w:right="420" w:hanging="652"/>
        <w:spacing w:after="0" w:line="31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ind w:left="660" w:right="50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2014 was $58.5 million, and the weighted average interest rate on borrowings under our revolving credit facility, before amortization of debt fees, was 1.07%.</w:t>
      </w:r>
    </w:p>
    <w:p>
      <w:pPr>
        <w:spacing w:after="0" w:line="9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September 30, 2014,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2,631</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2,714</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207,188</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207,588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134,811</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63,665</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198,506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211,456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220,438</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431,928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275,505</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13,326</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288,868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1,048,538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111,227</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1,231,280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1,670,756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618,475</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2,360,884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8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September 30, 2014, there was $11.0 million outstanding under this credit facility.</w:t>
      </w:r>
    </w:p>
    <w:p>
      <w:pPr>
        <w:spacing w:after="0" w:line="8"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and senior notes as of September 30,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2014, we are party to two interest rate swap agreements that effectively fixed the rate on the term loan at 2.62%. Both swaps were designated and qualified as cash flow hedges and were recorded at fair value. Hedge ineffectiveness has not impacted earnings as of September 30, 2014, and we do not anticipate it will have a significant effect in the future.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6"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FFO, we have also included FFO excluding the 2013 "early extinguishment of debt" charge which relates to the early redemption of our 5.40% senior notes. We believe the unusual nature of this charge, being a make-whole payment on the remaining principal and interest on the redeemed notes, is worthy of separate evaluation and consequently have provided both relevant metrics.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reconciliation of net income to FFO available for common shareholders and FFO available for common shareholders excluding early extinguishment of debt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2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(In thousands, except per share data)</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138,005</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37,964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114,012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107,730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8,087</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249,157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222,308</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221,566</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Funds from operations available for common shareholders excluding early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84,467</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76,368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249,852</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224,949</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extinguishment of debt</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68,649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68,179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65,568</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w w:val="99"/>
              </w:rPr>
              <w:t>Funds from operations available for common shareholders, per diluted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excluding early</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00" w:type="dxa"/>
            <w:vAlign w:val="bottom"/>
            <w:vMerge w:val="restart"/>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6120" w:type="dxa"/>
            <w:vAlign w:val="bottom"/>
          </w:tcPr>
          <w:p>
            <w:pPr>
              <w:ind w:left="40"/>
              <w:spacing w:after="0"/>
              <w:rPr>
                <w:sz w:val="20"/>
                <w:szCs w:val="20"/>
                <w:color w:val="auto"/>
              </w:rPr>
            </w:pPr>
            <w:r>
              <w:rPr>
                <w:rFonts w:ascii="Arial" w:cs="Arial" w:eastAsia="Arial" w:hAnsi="Arial"/>
                <w:sz w:val="18"/>
                <w:szCs w:val="18"/>
                <w:color w:val="auto"/>
              </w:rPr>
              <w:t>extinguishment of debt, per diluted share</w:t>
            </w:r>
          </w:p>
        </w:tc>
        <w:tc>
          <w:tcPr>
            <w:tcW w:w="1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8890</wp:posOffset>
            </wp:positionV>
            <wp:extent cx="3293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293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43" w:lineRule="exact"/>
        <w:rPr>
          <w:sz w:val="20"/>
          <w:szCs w:val="20"/>
          <w:color w:val="auto"/>
        </w:rPr>
      </w:pPr>
    </w:p>
    <w:p>
      <w:pPr>
        <w:jc w:val="both"/>
        <w:ind w:left="660" w:right="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September 30, 2014,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September 30, 2014, we had $2.3 billion of fixed-rate debt outstanding, including our $275.0 million term loan as the rate is effectively fixed by two interest rate swap agreements; we also had $71.7 million of capital lease obligations. If market interest rates used to calculate the fair value on our fixed-rate debt instruments at September 30, 2014 had been 1.0% higher, the fair value of those debt instruments on that date would have decreased by approximately $96.5 million. If market interest rates used to calculate the fair value on our fixed-rate debt instruments at September 30, 2014 had been 1.0% lower, the fair value of those debt instruments on that date would have increased by approximately $102.7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At September 30, 2014, we had $20.4 million of variable rate debt outstanding which consisted of $9.4 million of municipal bonds and $11.0 million on our revolving credit facility. Based upon this amount of variable rate debt and the specific terms, if market interest rates increased 1.0%, our annual interest expense would increase by approximately $0.2 million, and our net income and cash flows for the year would decrease by approximately $0.2 million. Conversely, if market interest rates decreased 1.0%, our annual interest expense would decrease by $0.1 million with a corresponding increase in our net income and cash flows for the year.</w:t>
      </w:r>
    </w:p>
    <w:p>
      <w:pPr>
        <w:spacing w:after="0" w:line="39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2014. Based on this evaluation, our management, including our Chief Executive Officer and Chief Financial Officer, concluded that our disclosure controls and procedures were effective as of September 30, 2014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2013 filed with the SEC on February 11, 2014. These factors include, but are not limited to, the following:</w:t>
      </w:r>
    </w:p>
    <w:p>
      <w:pPr>
        <w:spacing w:after="0" w:line="8" w:lineRule="exact"/>
        <w:rPr>
          <w:sz w:val="20"/>
          <w:szCs w:val="20"/>
          <w:color w:val="auto"/>
        </w:rPr>
      </w:pPr>
    </w:p>
    <w:p>
      <w:pPr>
        <w:ind w:left="170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20" w:hanging="801"/>
        <w:spacing w:after="0" w:line="286" w:lineRule="auto"/>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4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6" w:right="29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6"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due 2013; 5.95% Notes due 2014 and the 5.90% Notes due 2020; 3.00% Notes due 2022; 2.75% Notes due 2023; 3.95% Notes due 2024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(previously filed as Exhibit 4(a) to the Trust’s Registration Statement on Form S-3 (File No. 333-63619) filed on September 17, 1998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Annual Incentive Bonus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files as Exhibit 10.29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6"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10.35 to the Trust's Annual Report on Form 10-K for the year ended December 31,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Performance Share Award Agreement for shares awarded out of the 2010 Plan (previously filed as Exhibit 10.37 to the Trust's 2012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689"/>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300" w:hanging="1045"/>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September 30, 2014,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2014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2014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upperLetter"/>
      <w:start w:val="35"/>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3"/>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1"/>
      <w:numFmt w:val="decimal"/>
      <w:start w:val="10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2019-12-05T09:12:10Z</dcterms:created>
  <dcterms:modified xsi:type="dcterms:W3CDTF">2019-12-05T09:12:10Z</dcterms:modified>
</cp:coreProperties>
</file>