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Deutsche Bank AG</w:t>
      </w:r>
    </w:p>
    <w:p>
      <w:pPr>
        <w:spacing w:after="0" w:line="238" w:lineRule="auto"/>
        <w:rPr>
          <w:sz w:val="20"/>
          <w:szCs w:val="20"/>
          <w:color w:val="auto"/>
        </w:rPr>
      </w:pPr>
      <w:r>
        <w:rPr>
          <w:rFonts w:ascii="Courier New" w:cs="Courier New" w:eastAsia="Courier New" w:hAnsi="Courier New"/>
          <w:sz w:val="18"/>
          <w:szCs w:val="18"/>
          <w:color w:val="auto"/>
        </w:rPr>
        <w:t>Taunusanlage 12, D-60325</w:t>
      </w:r>
    </w:p>
    <w:p>
      <w:pPr>
        <w:spacing w:after="0"/>
        <w:rPr>
          <w:sz w:val="20"/>
          <w:szCs w:val="20"/>
          <w:color w:val="auto"/>
        </w:rPr>
      </w:pPr>
      <w:r>
        <w:rPr>
          <w:rFonts w:ascii="Courier New" w:cs="Courier New" w:eastAsia="Courier New" w:hAnsi="Courier New"/>
          <w:sz w:val="18"/>
          <w:szCs w:val="18"/>
          <w:color w:val="auto"/>
        </w:rPr>
        <w:t>Frankfurt am Main</w:t>
      </w:r>
    </w:p>
    <w:p>
      <w:pPr>
        <w:spacing w:after="0" w:line="237" w:lineRule="auto"/>
        <w:rPr>
          <w:sz w:val="20"/>
          <w:szCs w:val="20"/>
          <w:color w:val="auto"/>
        </w:rPr>
      </w:pPr>
      <w:r>
        <w:rPr>
          <w:rFonts w:ascii="Courier New" w:cs="Courier New" w:eastAsia="Courier New" w:hAnsi="Courier New"/>
          <w:sz w:val="18"/>
          <w:szCs w:val="18"/>
          <w:color w:val="auto"/>
        </w:rPr>
        <w:t>Federal Republic of Germany</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Jeffrey A. Ruiz</w:t>
      </w:r>
    </w:p>
    <w:p>
      <w:pPr>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rPr>
          <w:sz w:val="20"/>
          <w:szCs w:val="20"/>
          <w:color w:val="auto"/>
        </w:rPr>
      </w:pPr>
      <w:r>
        <w:rPr>
          <w:rFonts w:ascii="Courier New" w:cs="Courier New" w:eastAsia="Courier New" w:hAnsi="Courier New"/>
          <w:sz w:val="18"/>
          <w:szCs w:val="18"/>
          <w:color w:val="auto"/>
        </w:rPr>
        <w:t>Telephone: (212) 250-3667</w:t>
      </w:r>
    </w:p>
    <w:p>
      <w:pPr>
        <w:spacing w:after="0" w:line="200" w:lineRule="exact"/>
        <w:rPr>
          <w:sz w:val="24"/>
          <w:szCs w:val="24"/>
          <w:color w:val="auto"/>
        </w:rPr>
      </w:pPr>
    </w:p>
    <w:p>
      <w:pPr>
        <w:spacing w:after="0" w:line="203"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February 07, 2006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SEC Document Control</w:t>
      </w:r>
    </w:p>
    <w:p>
      <w:pPr>
        <w:spacing w:after="0"/>
        <w:rPr>
          <w:sz w:val="20"/>
          <w:szCs w:val="20"/>
          <w:color w:val="auto"/>
        </w:rPr>
      </w:pPr>
      <w:r>
        <w:rPr>
          <w:rFonts w:ascii="Courier New" w:cs="Courier New" w:eastAsia="Courier New" w:hAnsi="Courier New"/>
          <w:sz w:val="18"/>
          <w:szCs w:val="18"/>
          <w:color w:val="auto"/>
        </w:rPr>
        <w:t>450 Fifth Street, N.W.</w:t>
      </w:r>
    </w:p>
    <w:p>
      <w:pPr>
        <w:spacing w:after="0"/>
        <w:tabs>
          <w:tab w:leader="none" w:pos="16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tabs>
          <w:tab w:leader="none" w:pos="72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Filing Desk</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Sir or Madame:</w:t>
      </w:r>
    </w:p>
    <w:p>
      <w:pPr>
        <w:spacing w:after="0" w:line="201" w:lineRule="exact"/>
        <w:rPr>
          <w:sz w:val="24"/>
          <w:szCs w:val="24"/>
          <w:color w:val="auto"/>
        </w:rPr>
      </w:pPr>
    </w:p>
    <w:p>
      <w:pPr>
        <w:ind w:left="1280"/>
        <w:spacing w:after="0"/>
        <w:tabs>
          <w:tab w:leader="none" w:pos="178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6"/>
          <w:szCs w:val="16"/>
          <w:color w:val="auto"/>
        </w:rPr>
        <w:t>Filing of Schedule 13G - Federal Realty Investment Trust</w:t>
      </w:r>
    </w:p>
    <w:p>
      <w:pPr>
        <w:spacing w:after="0" w:line="200" w:lineRule="exact"/>
        <w:rPr>
          <w:sz w:val="24"/>
          <w:szCs w:val="24"/>
          <w:color w:val="auto"/>
        </w:rPr>
      </w:pPr>
    </w:p>
    <w:p>
      <w:pPr>
        <w:spacing w:after="0" w:line="209" w:lineRule="exact"/>
        <w:rPr>
          <w:sz w:val="24"/>
          <w:szCs w:val="24"/>
          <w:color w:val="auto"/>
        </w:rPr>
      </w:pPr>
    </w:p>
    <w:p>
      <w:pPr>
        <w:ind w:right="1879" w:firstLine="105"/>
        <w:spacing w:after="0" w:line="236" w:lineRule="auto"/>
        <w:rPr>
          <w:sz w:val="20"/>
          <w:szCs w:val="20"/>
          <w:color w:val="auto"/>
        </w:rPr>
      </w:pPr>
      <w:r>
        <w:rPr>
          <w:rFonts w:ascii="Courier New" w:cs="Courier New" w:eastAsia="Courier New" w:hAnsi="Courier New"/>
          <w:sz w:val="18"/>
          <w:szCs w:val="18"/>
          <w:color w:val="auto"/>
        </w:rPr>
        <w:t>Pursuant to Rule 13d-1 of the Securities Exchange Act of 1934, attached is one copy of Schedule 13G with respect to the common stock of the above referenced corporation.</w:t>
      </w:r>
    </w:p>
    <w:p>
      <w:pPr>
        <w:spacing w:after="0" w:line="209" w:lineRule="exact"/>
        <w:rPr>
          <w:sz w:val="24"/>
          <w:szCs w:val="24"/>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Please acknowledge your receipt of the Schedule 13G by return e-mail confirmation.</w:t>
      </w:r>
    </w:p>
    <w:p>
      <w:pPr>
        <w:spacing w:after="0" w:line="203" w:lineRule="exact"/>
        <w:rPr>
          <w:sz w:val="24"/>
          <w:szCs w:val="24"/>
          <w:color w:val="auto"/>
        </w:rPr>
      </w:pPr>
    </w:p>
    <w:p>
      <w:pPr>
        <w:ind w:left="664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6640"/>
        <w:spacing w:after="0"/>
        <w:rPr>
          <w:sz w:val="20"/>
          <w:szCs w:val="20"/>
          <w:color w:val="auto"/>
        </w:rPr>
      </w:pPr>
      <w:r>
        <w:rPr>
          <w:rFonts w:ascii="Courier New" w:cs="Courier New" w:eastAsia="Courier New" w:hAnsi="Courier New"/>
          <w:sz w:val="18"/>
          <w:szCs w:val="18"/>
          <w:color w:val="auto"/>
        </w:rPr>
        <w:t>Jeffrey A. Ruiz</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Enclosures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No.1)</w:t>
      </w: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Federal Realty Investment Trust</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Common Stock ($0.001 Par Value)</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313747206</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30, 2005</w:t>
      </w:r>
    </w:p>
    <w:p>
      <w:pPr>
        <w:sectPr>
          <w:pgSz w:w="11900" w:h="16838" w:orient="portrait"/>
          <w:cols w:equalWidth="0" w:num="1">
            <w:col w:w="10219"/>
          </w:cols>
          <w:pgMar w:left="240" w:top="1055" w:right="1440" w:bottom="0" w:gutter="0" w:footer="0" w:header="0"/>
        </w:sectPr>
      </w:pPr>
    </w:p>
    <w:bookmarkStart w:id="1" w:name="page2"/>
    <w:bookmarkEnd w:id="1"/>
    <w:p>
      <w:pPr>
        <w:ind w:left="1680"/>
        <w:spacing w:after="0"/>
        <w:rPr>
          <w:sz w:val="20"/>
          <w:szCs w:val="20"/>
          <w:color w:val="auto"/>
        </w:rPr>
      </w:pPr>
      <w:r>
        <w:rPr>
          <w:rFonts w:ascii="Courier New" w:cs="Courier New" w:eastAsia="Courier New" w:hAnsi="Courier New"/>
          <w:sz w:val="18"/>
          <w:szCs w:val="18"/>
          <w:color w:val="auto"/>
        </w:rPr>
        <w:t>---------------------------------------</w:t>
      </w:r>
    </w:p>
    <w:p>
      <w:pPr>
        <w:ind w:left="84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0"/>
          <w:szCs w:val="20"/>
          <w:color w:val="auto"/>
        </w:rPr>
      </w:pPr>
    </w:p>
    <w:p>
      <w:pPr>
        <w:spacing w:after="0" w:line="210"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0"/>
          <w:szCs w:val="20"/>
          <w:color w:val="auto"/>
        </w:rPr>
      </w:pPr>
    </w:p>
    <w:p>
      <w:pPr>
        <w:jc w:val="both"/>
        <w:ind w:left="2840" w:right="5059" w:hanging="1"/>
        <w:spacing w:after="0" w:line="547" w:lineRule="auto"/>
        <w:tabs>
          <w:tab w:leader="none" w:pos="32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ectPr>
          <w:pgSz w:w="11900" w:h="16838" w:orient="portrait"/>
          <w:cols w:equalWidth="0" w:num="1">
            <w:col w:w="9679"/>
          </w:cols>
          <w:pgMar w:left="780" w:top="136" w:right="1440" w:bottom="1440" w:gutter="0" w:footer="0" w:header="0"/>
        </w:sectPr>
      </w:pPr>
    </w:p>
    <w:bookmarkStart w:id="2" w:name="page3"/>
    <w:bookmarkEnd w:id="2"/>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Deutsche Bank AG*</w:t>
      </w:r>
    </w:p>
    <w:p>
      <w:pPr>
        <w:spacing w:after="0" w:line="201"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536" w:lineRule="auto"/>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Federal Republic of Germany</w:t>
      </w:r>
    </w:p>
    <w:tbl>
      <w:tblPr>
        <w:tblLayout w:type="fixed"/>
        <w:tblInd w:w="0" w:type="dxa"/>
        <w:tblCellMar>
          <w:top w:w="0" w:type="dxa"/>
          <w:left w:w="0" w:type="dxa"/>
          <w:bottom w:w="0" w:type="dxa"/>
          <w:right w:w="0" w:type="dxa"/>
        </w:tblCellMar>
      </w:tblPr>
      <w:tr>
        <w:trPr>
          <w:trHeight w:val="199"/>
        </w:trPr>
        <w:tc>
          <w:tcPr>
            <w:tcW w:w="1580" w:type="dxa"/>
            <w:vAlign w:val="bottom"/>
          </w:tcPr>
          <w:p>
            <w:pPr>
              <w:spacing w:after="0" w:line="199" w:lineRule="exact"/>
              <w:rPr>
                <w:sz w:val="20"/>
                <w:szCs w:val="20"/>
                <w:color w:val="auto"/>
              </w:rPr>
            </w:pPr>
            <w:r>
              <w:rPr>
                <w:rFonts w:ascii="Courier New" w:cs="Courier New" w:eastAsia="Courier New" w:hAnsi="Courier New"/>
                <w:sz w:val="18"/>
                <w:szCs w:val="18"/>
                <w:color w:val="auto"/>
              </w:rPr>
              <w:t>NUMBER OF</w:t>
            </w:r>
          </w:p>
        </w:tc>
        <w:tc>
          <w:tcPr>
            <w:tcW w:w="900" w:type="dxa"/>
            <w:vAlign w:val="bottom"/>
          </w:tcPr>
          <w:p>
            <w:pPr>
              <w:jc w:val="right"/>
              <w:ind w:right="272"/>
              <w:spacing w:after="0" w:line="199" w:lineRule="exact"/>
              <w:rPr>
                <w:sz w:val="20"/>
                <w:szCs w:val="20"/>
                <w:color w:val="auto"/>
              </w:rPr>
            </w:pPr>
            <w:r>
              <w:rPr>
                <w:rFonts w:ascii="Courier New" w:cs="Courier New" w:eastAsia="Courier New" w:hAnsi="Courier New"/>
                <w:sz w:val="18"/>
                <w:szCs w:val="18"/>
                <w:color w:val="auto"/>
              </w:rPr>
              <w:t>5.</w:t>
            </w:r>
          </w:p>
        </w:tc>
        <w:tc>
          <w:tcPr>
            <w:tcW w:w="2900" w:type="dxa"/>
            <w:vAlign w:val="bottom"/>
          </w:tcPr>
          <w:p>
            <w:pPr>
              <w:ind w:left="380"/>
              <w:spacing w:after="0" w:line="199"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2,642,700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2,646,800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420" w:right="3479" w:hanging="412"/>
        <w:spacing w:after="0" w:line="470"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2,646,800</w:t>
      </w:r>
    </w:p>
    <w:p>
      <w:pPr>
        <w:spacing w:after="0" w:line="11" w:lineRule="exact"/>
        <w:rPr>
          <w:rFonts w:ascii="Courier New" w:cs="Courier New" w:eastAsia="Courier New" w:hAnsi="Courier New"/>
          <w:sz w:val="18"/>
          <w:szCs w:val="18"/>
          <w:color w:val="auto"/>
        </w:rPr>
      </w:pPr>
    </w:p>
    <w:p>
      <w:pPr>
        <w:ind w:left="420" w:right="2839" w:hanging="412"/>
        <w:spacing w:after="0" w:line="470"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1"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5.03%</w:t>
      </w:r>
    </w:p>
    <w:p>
      <w:pPr>
        <w:spacing w:after="0" w:line="11" w:lineRule="exact"/>
        <w:rPr>
          <w:rFonts w:ascii="Courier New" w:cs="Courier New" w:eastAsia="Courier New" w:hAnsi="Courier New"/>
          <w:sz w:val="18"/>
          <w:szCs w:val="18"/>
          <w:color w:val="auto"/>
        </w:rPr>
      </w:pPr>
    </w:p>
    <w:p>
      <w:pPr>
        <w:ind w:left="420" w:right="7259" w:hanging="412"/>
        <w:spacing w:after="0" w:line="470"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 BK</w:t>
      </w:r>
    </w:p>
    <w:p>
      <w:pPr>
        <w:spacing w:after="0" w:line="11" w:lineRule="exact"/>
        <w:rPr>
          <w:rFonts w:ascii="Courier New" w:cs="Courier New" w:eastAsia="Courier New" w:hAnsi="Courier New"/>
          <w:sz w:val="18"/>
          <w:szCs w:val="18"/>
          <w:color w:val="auto"/>
        </w:rPr>
      </w:pPr>
    </w:p>
    <w:p>
      <w:pPr>
        <w:ind w:left="540" w:right="1779" w:hanging="105"/>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 accordance with Securities Exchange Act Release No. 39538 (January 12, 1998), this filing reflects the securities beneficially owned by the Private Clients and Asset Management business group ("PCAM") of Deutsche Bank AG and its subsidiaries and affiliates (collectively, "DBAG"). This filing does not reflect securities, if any, beneficially owned by any other business group of DBAG. Consistent with Rule 13d-4 under the Securities Exchange Act of 1934 ("Act"), this filing shall not be construed as an admission that PCAM is, for purposes of Section 13(d) under the Act, the beneficial owner of any securities covered by the filing.</w:t>
      </w:r>
    </w:p>
    <w:p>
      <w:pPr>
        <w:sectPr>
          <w:pgSz w:w="11900" w:h="16838" w:orient="portrait"/>
          <w:cols w:equalWidth="0" w:num="1">
            <w:col w:w="10219"/>
          </w:cols>
          <w:pgMar w:left="240" w:top="919" w:right="1440" w:bottom="1440" w:gutter="0" w:footer="0" w:header="0"/>
        </w:sectPr>
      </w:pPr>
    </w:p>
    <w:bookmarkStart w:id="3" w:name="page4"/>
    <w:bookmarkEnd w:id="3"/>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RREEF America, L.L.C.</w:t>
      </w:r>
    </w:p>
    <w:p>
      <w:pPr>
        <w:spacing w:after="0" w:line="201"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ind w:left="420"/>
              <w:spacing w:after="0"/>
              <w:rPr>
                <w:sz w:val="20"/>
                <w:szCs w:val="20"/>
                <w:color w:val="auto"/>
              </w:rPr>
            </w:pPr>
            <w:r>
              <w:rPr>
                <w:rFonts w:ascii="Courier New" w:cs="Courier New" w:eastAsia="Courier New" w:hAnsi="Courier New"/>
                <w:sz w:val="18"/>
                <w:szCs w:val="18"/>
                <w:color w:val="auto"/>
              </w:rPr>
              <w:t>Delaware</w:t>
            </w:r>
          </w:p>
        </w:tc>
        <w:tc>
          <w:tcPr>
            <w:tcW w:w="9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w:t>
            </w:r>
          </w:p>
        </w:tc>
        <w:tc>
          <w:tcPr>
            <w:tcW w:w="2900" w:type="dxa"/>
            <w:vAlign w:val="bottom"/>
          </w:tcPr>
          <w:p>
            <w:pPr>
              <w:ind w:left="38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2,618,500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2,618,500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420" w:right="3479" w:hanging="412"/>
        <w:spacing w:after="0" w:line="470"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2,618,500</w:t>
      </w:r>
    </w:p>
    <w:p>
      <w:pPr>
        <w:spacing w:after="0" w:line="11" w:lineRule="exact"/>
        <w:rPr>
          <w:rFonts w:ascii="Courier New" w:cs="Courier New" w:eastAsia="Courier New" w:hAnsi="Courier New"/>
          <w:sz w:val="18"/>
          <w:szCs w:val="18"/>
          <w:color w:val="auto"/>
        </w:rPr>
      </w:pPr>
    </w:p>
    <w:p>
      <w:pPr>
        <w:ind w:left="420" w:right="2839" w:hanging="412"/>
        <w:spacing w:after="0" w:line="470"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1"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4.96%</w:t>
      </w:r>
    </w:p>
    <w:p>
      <w:pPr>
        <w:spacing w:after="0" w:line="11" w:lineRule="exact"/>
        <w:rPr>
          <w:rFonts w:ascii="Courier New" w:cs="Courier New" w:eastAsia="Courier New" w:hAnsi="Courier New"/>
          <w:sz w:val="18"/>
          <w:szCs w:val="18"/>
          <w:color w:val="auto"/>
        </w:rPr>
      </w:pPr>
    </w:p>
    <w:p>
      <w:pPr>
        <w:ind w:left="420" w:right="7259" w:hanging="412"/>
        <w:spacing w:after="0" w:line="470"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ectPr>
          <w:pgSz w:w="11900" w:h="16838" w:orient="portrait"/>
          <w:cols w:equalWidth="0" w:num="1">
            <w:col w:w="10219"/>
          </w:cols>
          <w:pgMar w:left="240" w:top="919" w:right="1440" w:bottom="1440" w:gutter="0" w:footer="0" w:header="0"/>
        </w:sectPr>
      </w:pPr>
    </w:p>
    <w:bookmarkStart w:id="4" w:name="page5"/>
    <w:bookmarkEnd w:id="4"/>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Deutsche Bank Trust Company Americas</w:t>
      </w:r>
    </w:p>
    <w:p>
      <w:pPr>
        <w:spacing w:after="0" w:line="201"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w:t>
            </w:r>
          </w:p>
        </w:tc>
        <w:tc>
          <w:tcPr>
            <w:tcW w:w="2900" w:type="dxa"/>
            <w:vAlign w:val="bottom"/>
          </w:tcPr>
          <w:p>
            <w:pPr>
              <w:ind w:left="38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1,300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420" w:right="3479" w:hanging="412"/>
        <w:spacing w:after="0" w:line="470"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1,300</w:t>
      </w:r>
    </w:p>
    <w:p>
      <w:pPr>
        <w:spacing w:after="0" w:line="11" w:lineRule="exact"/>
        <w:rPr>
          <w:rFonts w:ascii="Courier New" w:cs="Courier New" w:eastAsia="Courier New" w:hAnsi="Courier New"/>
          <w:sz w:val="18"/>
          <w:szCs w:val="18"/>
          <w:color w:val="auto"/>
        </w:rPr>
      </w:pPr>
    </w:p>
    <w:p>
      <w:pPr>
        <w:ind w:left="420" w:right="2839" w:hanging="412"/>
        <w:spacing w:after="0" w:line="470"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1"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0.00%</w:t>
      </w:r>
    </w:p>
    <w:p>
      <w:pPr>
        <w:spacing w:after="0" w:line="11" w:lineRule="exact"/>
        <w:rPr>
          <w:rFonts w:ascii="Courier New" w:cs="Courier New" w:eastAsia="Courier New" w:hAnsi="Courier New"/>
          <w:sz w:val="18"/>
          <w:szCs w:val="18"/>
          <w:color w:val="auto"/>
        </w:rPr>
      </w:pPr>
    </w:p>
    <w:p>
      <w:pPr>
        <w:ind w:left="420" w:right="7259" w:hanging="412"/>
        <w:spacing w:after="0" w:line="470"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BK, CO</w:t>
      </w:r>
    </w:p>
    <w:p>
      <w:pPr>
        <w:sectPr>
          <w:pgSz w:w="11900" w:h="16838" w:orient="portrait"/>
          <w:cols w:equalWidth="0" w:num="1">
            <w:col w:w="10219"/>
          </w:cols>
          <w:pgMar w:left="240" w:top="919" w:right="1440" w:bottom="1440" w:gutter="0" w:footer="0" w:header="0"/>
        </w:sectPr>
      </w:pPr>
    </w:p>
    <w:bookmarkStart w:id="5" w:name="page6"/>
    <w:bookmarkEnd w:id="5"/>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Deutsche Asset Management Inc.</w:t>
      </w:r>
    </w:p>
    <w:p>
      <w:pPr>
        <w:spacing w:after="0" w:line="201" w:lineRule="exact"/>
        <w:rPr>
          <w:sz w:val="20"/>
          <w:szCs w:val="20"/>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ind w:left="420"/>
              <w:spacing w:after="0"/>
              <w:rPr>
                <w:sz w:val="20"/>
                <w:szCs w:val="20"/>
                <w:color w:val="auto"/>
              </w:rPr>
            </w:pPr>
            <w:r>
              <w:rPr>
                <w:rFonts w:ascii="Courier New" w:cs="Courier New" w:eastAsia="Courier New" w:hAnsi="Courier New"/>
                <w:sz w:val="18"/>
                <w:szCs w:val="18"/>
                <w:color w:val="auto"/>
              </w:rPr>
              <w:t>Delaware</w:t>
            </w:r>
          </w:p>
        </w:tc>
        <w:tc>
          <w:tcPr>
            <w:tcW w:w="9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w:t>
            </w:r>
          </w:p>
        </w:tc>
        <w:tc>
          <w:tcPr>
            <w:tcW w:w="2900" w:type="dxa"/>
            <w:vAlign w:val="bottom"/>
          </w:tcPr>
          <w:p>
            <w:pPr>
              <w:ind w:left="38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20,000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22,800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420" w:right="3479" w:hanging="412"/>
        <w:spacing w:after="0" w:line="470"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22,800</w:t>
      </w:r>
    </w:p>
    <w:p>
      <w:pPr>
        <w:spacing w:after="0" w:line="11" w:lineRule="exact"/>
        <w:rPr>
          <w:rFonts w:ascii="Courier New" w:cs="Courier New" w:eastAsia="Courier New" w:hAnsi="Courier New"/>
          <w:sz w:val="18"/>
          <w:szCs w:val="18"/>
          <w:color w:val="auto"/>
        </w:rPr>
      </w:pPr>
    </w:p>
    <w:p>
      <w:pPr>
        <w:ind w:left="420" w:right="2839" w:hanging="412"/>
        <w:spacing w:after="0" w:line="470"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1"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0.05%</w:t>
      </w:r>
    </w:p>
    <w:p>
      <w:pPr>
        <w:spacing w:after="0" w:line="11" w:lineRule="exact"/>
        <w:rPr>
          <w:rFonts w:ascii="Courier New" w:cs="Courier New" w:eastAsia="Courier New" w:hAnsi="Courier New"/>
          <w:sz w:val="18"/>
          <w:szCs w:val="18"/>
          <w:color w:val="auto"/>
        </w:rPr>
      </w:pPr>
    </w:p>
    <w:p>
      <w:pPr>
        <w:ind w:left="420" w:right="7259" w:hanging="412"/>
        <w:spacing w:after="0" w:line="470"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ectPr>
          <w:pgSz w:w="11900" w:h="16838" w:orient="portrait"/>
          <w:cols w:equalWidth="0" w:num="1">
            <w:col w:w="10219"/>
          </w:cols>
          <w:pgMar w:left="240" w:top="919" w:right="1440" w:bottom="1440" w:gutter="0" w:footer="0" w:header="0"/>
        </w:sectPr>
      </w:pPr>
    </w:p>
    <w:bookmarkStart w:id="6" w:name="page7"/>
    <w:bookmarkEnd w:id="6"/>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DWS Holding &amp; Service GmbH</w:t>
      </w:r>
    </w:p>
    <w:p>
      <w:pPr>
        <w:spacing w:after="0" w:line="201" w:lineRule="exact"/>
        <w:rPr>
          <w:sz w:val="20"/>
          <w:szCs w:val="20"/>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FRANKFURT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w:t>
            </w:r>
          </w:p>
        </w:tc>
        <w:tc>
          <w:tcPr>
            <w:tcW w:w="2900" w:type="dxa"/>
            <w:vAlign w:val="bottom"/>
          </w:tcPr>
          <w:p>
            <w:pPr>
              <w:ind w:left="38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4,200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4,200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420" w:right="3479" w:hanging="412"/>
        <w:spacing w:after="0" w:line="470"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4,200</w:t>
      </w:r>
    </w:p>
    <w:p>
      <w:pPr>
        <w:spacing w:after="0" w:line="11" w:lineRule="exact"/>
        <w:rPr>
          <w:rFonts w:ascii="Courier New" w:cs="Courier New" w:eastAsia="Courier New" w:hAnsi="Courier New"/>
          <w:sz w:val="18"/>
          <w:szCs w:val="18"/>
          <w:color w:val="auto"/>
        </w:rPr>
      </w:pPr>
    </w:p>
    <w:p>
      <w:pPr>
        <w:ind w:left="420" w:right="2839" w:hanging="412"/>
        <w:spacing w:after="0" w:line="470"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1"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0.01%</w:t>
      </w:r>
    </w:p>
    <w:p>
      <w:pPr>
        <w:spacing w:after="0" w:line="11" w:lineRule="exact"/>
        <w:rPr>
          <w:rFonts w:ascii="Courier New" w:cs="Courier New" w:eastAsia="Courier New" w:hAnsi="Courier New"/>
          <w:sz w:val="18"/>
          <w:szCs w:val="18"/>
          <w:color w:val="auto"/>
        </w:rPr>
      </w:pPr>
    </w:p>
    <w:p>
      <w:pPr>
        <w:ind w:left="420" w:right="7259" w:hanging="412"/>
        <w:spacing w:after="0" w:line="470"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ectPr>
          <w:pgSz w:w="11900" w:h="16838" w:orient="portrait"/>
          <w:cols w:equalWidth="0" w:num="1">
            <w:col w:w="10219"/>
          </w:cols>
          <w:pgMar w:left="240" w:top="919"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1(a).</w:t>
            </w:r>
          </w:p>
        </w:tc>
        <w:tc>
          <w:tcPr>
            <w:tcW w:w="548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Federal</w:t>
            </w:r>
          </w:p>
        </w:tc>
        <w:tc>
          <w:tcPr>
            <w:tcW w:w="4260" w:type="dxa"/>
            <w:vAlign w:val="bottom"/>
          </w:tcPr>
          <w:p>
            <w:pPr>
              <w:ind w:left="40"/>
              <w:spacing w:after="0"/>
              <w:rPr>
                <w:sz w:val="20"/>
                <w:szCs w:val="20"/>
                <w:color w:val="auto"/>
              </w:rPr>
            </w:pPr>
            <w:r>
              <w:rPr>
                <w:rFonts w:ascii="Courier New" w:cs="Courier New" w:eastAsia="Courier New" w:hAnsi="Courier New"/>
                <w:sz w:val="18"/>
                <w:szCs w:val="18"/>
                <w:color w:val="auto"/>
              </w:rPr>
              <w:t>Realty Investment Trust ("the Issuer")</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1(b).</w:t>
            </w: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4260" w:type="dxa"/>
            <w:vAlign w:val="bottom"/>
          </w:tcPr>
          <w:p>
            <w:pPr>
              <w:ind w:left="40"/>
              <w:spacing w:after="0"/>
              <w:rPr>
                <w:sz w:val="20"/>
                <w:szCs w:val="20"/>
                <w:color w:val="auto"/>
              </w:rPr>
            </w:pPr>
            <w:r>
              <w:rPr>
                <w:rFonts w:ascii="Courier New" w:cs="Courier New" w:eastAsia="Courier New" w:hAnsi="Courier New"/>
                <w:sz w:val="18"/>
                <w:szCs w:val="18"/>
                <w:color w:val="auto"/>
                <w:w w:val="97"/>
              </w:rPr>
              <w:t>of Issuer's Principal Executive Offices:</w:t>
            </w:r>
          </w:p>
        </w:tc>
      </w:tr>
    </w:tbl>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1626 East Jefferson Street</w:t>
      </w:r>
    </w:p>
    <w:p>
      <w:pPr>
        <w:ind w:left="1900"/>
        <w:spacing w:after="0" w:line="238" w:lineRule="auto"/>
        <w:rPr>
          <w:sz w:val="20"/>
          <w:szCs w:val="20"/>
          <w:color w:val="auto"/>
        </w:rPr>
      </w:pPr>
      <w:r>
        <w:rPr>
          <w:rFonts w:ascii="Courier New" w:cs="Courier New" w:eastAsia="Courier New" w:hAnsi="Courier New"/>
          <w:sz w:val="18"/>
          <w:szCs w:val="18"/>
          <w:color w:val="auto"/>
        </w:rPr>
        <w:t>Rockville, MD 20852-4041</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7" w:lineRule="exact"/>
        <w:rPr>
          <w:sz w:val="20"/>
          <w:szCs w:val="20"/>
          <w:color w:val="auto"/>
        </w:rPr>
      </w:pPr>
    </w:p>
    <w:p>
      <w:pPr>
        <w:ind w:left="1900" w:right="2619"/>
        <w:spacing w:after="0" w:line="235" w:lineRule="auto"/>
        <w:rPr>
          <w:sz w:val="20"/>
          <w:szCs w:val="20"/>
          <w:color w:val="auto"/>
        </w:rPr>
      </w:pPr>
      <w:r>
        <w:rPr>
          <w:rFonts w:ascii="Courier New" w:cs="Courier New" w:eastAsia="Courier New" w:hAnsi="Courier New"/>
          <w:sz w:val="18"/>
          <w:szCs w:val="18"/>
          <w:color w:val="auto"/>
        </w:rPr>
        <w:t>This statement is filed on behalf of Deutsche Bank AG, ("Reporting Person").</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Taunusanlage 12, D-60325</w:t>
      </w:r>
    </w:p>
    <w:p>
      <w:pPr>
        <w:ind w:left="1900"/>
        <w:spacing w:after="0" w:line="238" w:lineRule="auto"/>
        <w:rPr>
          <w:sz w:val="20"/>
          <w:szCs w:val="20"/>
          <w:color w:val="auto"/>
        </w:rPr>
      </w:pPr>
      <w:r>
        <w:rPr>
          <w:rFonts w:ascii="Courier New" w:cs="Courier New" w:eastAsia="Courier New" w:hAnsi="Courier New"/>
          <w:sz w:val="18"/>
          <w:szCs w:val="18"/>
          <w:color w:val="auto"/>
        </w:rPr>
        <w:t>Frankfurt am Main</w:t>
      </w:r>
    </w:p>
    <w:p>
      <w:pPr>
        <w:ind w:left="1900"/>
        <w:spacing w:after="0"/>
        <w:rPr>
          <w:sz w:val="20"/>
          <w:szCs w:val="20"/>
          <w:color w:val="auto"/>
        </w:rPr>
      </w:pPr>
      <w:r>
        <w:rPr>
          <w:rFonts w:ascii="Courier New" w:cs="Courier New" w:eastAsia="Courier New" w:hAnsi="Courier New"/>
          <w:sz w:val="18"/>
          <w:szCs w:val="18"/>
          <w:color w:val="auto"/>
        </w:rPr>
        <w:t>Federal Republic of Germany</w:t>
      </w:r>
    </w:p>
    <w:p>
      <w:pPr>
        <w:spacing w:after="0" w:line="200"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1900" w:right="2099"/>
        <w:spacing w:after="0" w:line="235" w:lineRule="auto"/>
        <w:rPr>
          <w:sz w:val="20"/>
          <w:szCs w:val="20"/>
          <w:color w:val="auto"/>
        </w:rPr>
      </w:pPr>
      <w:r>
        <w:rPr>
          <w:rFonts w:ascii="Courier New" w:cs="Courier New" w:eastAsia="Courier New" w:hAnsi="Courier New"/>
          <w:sz w:val="18"/>
          <w:szCs w:val="18"/>
          <w:color w:val="auto"/>
        </w:rPr>
        <w:t>The citizenship of the Reporting Person is set forth on the cover page.</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7" w:lineRule="exact"/>
        <w:rPr>
          <w:sz w:val="20"/>
          <w:szCs w:val="20"/>
          <w:color w:val="auto"/>
        </w:rPr>
      </w:pPr>
    </w:p>
    <w:p>
      <w:pPr>
        <w:ind w:left="1900" w:right="1879"/>
        <w:spacing w:after="0" w:line="235" w:lineRule="auto"/>
        <w:rPr>
          <w:sz w:val="20"/>
          <w:szCs w:val="20"/>
          <w:color w:val="auto"/>
        </w:rPr>
      </w:pPr>
      <w:r>
        <w:rPr>
          <w:rFonts w:ascii="Courier New" w:cs="Courier New" w:eastAsia="Courier New" w:hAnsi="Courier New"/>
          <w:sz w:val="18"/>
          <w:szCs w:val="18"/>
          <w:color w:val="auto"/>
        </w:rPr>
        <w:t>The title of the securities is common stock, $0.001 par value ("Common Stock").</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7" w:lineRule="exact"/>
        <w:rPr>
          <w:sz w:val="20"/>
          <w:szCs w:val="20"/>
          <w:color w:val="auto"/>
        </w:rPr>
      </w:pPr>
    </w:p>
    <w:p>
      <w:pPr>
        <w:ind w:left="1900" w:right="1779"/>
        <w:spacing w:after="0" w:line="235" w:lineRule="auto"/>
        <w:rPr>
          <w:sz w:val="20"/>
          <w:szCs w:val="20"/>
          <w:color w:val="auto"/>
        </w:rPr>
      </w:pPr>
      <w:r>
        <w:rPr>
          <w:rFonts w:ascii="Courier New" w:cs="Courier New" w:eastAsia="Courier New" w:hAnsi="Courier New"/>
          <w:sz w:val="18"/>
          <w:szCs w:val="18"/>
          <w:color w:val="auto"/>
        </w:rPr>
        <w:t>The CUSIP number of the Common Stock is set forth on the cover page.</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w:t>
      </w:r>
    </w:p>
    <w:p>
      <w:pPr>
        <w:ind w:left="190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7" w:lineRule="exact"/>
        <w:rPr>
          <w:sz w:val="20"/>
          <w:szCs w:val="20"/>
          <w:color w:val="auto"/>
        </w:rPr>
      </w:pPr>
    </w:p>
    <w:p>
      <w:pPr>
        <w:ind w:left="2740" w:right="2099" w:hanging="836"/>
        <w:spacing w:after="0" w:line="235" w:lineRule="auto"/>
        <w:tabs>
          <w:tab w:leader="none" w:pos="231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8" w:lineRule="exact"/>
        <w:rPr>
          <w:rFonts w:ascii="Courier New" w:cs="Courier New" w:eastAsia="Courier New" w:hAnsi="Courier New"/>
          <w:sz w:val="18"/>
          <w:szCs w:val="18"/>
          <w:color w:val="auto"/>
        </w:rPr>
      </w:pPr>
    </w:p>
    <w:p>
      <w:pPr>
        <w:ind w:left="2740" w:right="2619" w:hanging="836"/>
        <w:spacing w:after="0" w:line="470" w:lineRule="auto"/>
        <w:tabs>
          <w:tab w:leader="none" w:pos="231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3(a)(6) of the Act; Deutsche Bank Trust Company Americas</w:t>
      </w:r>
    </w:p>
    <w:p>
      <w:pPr>
        <w:spacing w:after="0" w:line="6"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w:t>
      </w:r>
    </w:p>
    <w:p>
      <w:pPr>
        <w:ind w:left="2740"/>
        <w:spacing w:after="0" w:line="238" w:lineRule="auto"/>
        <w:rPr>
          <w:sz w:val="20"/>
          <w:szCs w:val="20"/>
          <w:color w:val="auto"/>
        </w:rPr>
      </w:pPr>
      <w:r>
        <w:rPr>
          <w:rFonts w:ascii="Courier New" w:cs="Courier New" w:eastAsia="Courier New" w:hAnsi="Courier New"/>
          <w:sz w:val="18"/>
          <w:szCs w:val="18"/>
          <w:color w:val="auto"/>
        </w:rPr>
        <w:t>of the Act;</w:t>
      </w:r>
    </w:p>
    <w:p>
      <w:pPr>
        <w:spacing w:after="0" w:line="207" w:lineRule="exact"/>
        <w:rPr>
          <w:sz w:val="20"/>
          <w:szCs w:val="20"/>
          <w:color w:val="auto"/>
        </w:rPr>
      </w:pPr>
    </w:p>
    <w:p>
      <w:pPr>
        <w:ind w:left="2740" w:right="1999" w:hanging="836"/>
        <w:spacing w:after="0" w:line="235" w:lineRule="auto"/>
        <w:tabs>
          <w:tab w:leader="none" w:pos="231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202"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w:t>
      </w:r>
    </w:p>
    <w:p>
      <w:pPr>
        <w:ind w:left="2740"/>
        <w:spacing w:after="0" w:line="238" w:lineRule="auto"/>
        <w:rPr>
          <w:sz w:val="20"/>
          <w:szCs w:val="20"/>
          <w:color w:val="auto"/>
        </w:rPr>
      </w:pPr>
      <w:r>
        <w:rPr>
          <w:rFonts w:ascii="Courier New" w:cs="Courier New" w:eastAsia="Courier New" w:hAnsi="Courier New"/>
          <w:sz w:val="18"/>
          <w:szCs w:val="18"/>
          <w:color w:val="auto"/>
        </w:rPr>
        <w:t>13d-1(b)(1)(ii)(E);</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RREEF America, L.L.C.</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DWS Holding &amp; Service GmbH</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Deutsche Asset Management Inc.</w:t>
      </w:r>
    </w:p>
    <w:p>
      <w:pPr>
        <w:spacing w:after="0" w:line="207" w:lineRule="exact"/>
        <w:rPr>
          <w:sz w:val="20"/>
          <w:szCs w:val="20"/>
          <w:color w:val="auto"/>
        </w:rPr>
      </w:pPr>
    </w:p>
    <w:p>
      <w:pPr>
        <w:ind w:left="2740" w:right="2619" w:hanging="836"/>
        <w:spacing w:after="0" w:line="235" w:lineRule="auto"/>
        <w:tabs>
          <w:tab w:leader="none" w:pos="231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 (b)(1)(ii)(F);</w:t>
      </w:r>
    </w:p>
    <w:p>
      <w:pPr>
        <w:spacing w:after="0" w:line="208" w:lineRule="exact"/>
        <w:rPr>
          <w:rFonts w:ascii="Courier New" w:cs="Courier New" w:eastAsia="Courier New" w:hAnsi="Courier New"/>
          <w:sz w:val="18"/>
          <w:szCs w:val="18"/>
          <w:color w:val="auto"/>
        </w:rPr>
      </w:pPr>
    </w:p>
    <w:p>
      <w:pPr>
        <w:ind w:left="2740" w:right="1779" w:hanging="836"/>
        <w:spacing w:after="0" w:line="235" w:lineRule="auto"/>
        <w:tabs>
          <w:tab w:leader="none" w:pos="231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or control person in accordance with Rule 13d-1 (b)(1)(ii)(G);</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Deutsche Bank AG</w:t>
      </w:r>
    </w:p>
    <w:p>
      <w:pPr>
        <w:spacing w:after="0" w:line="207" w:lineRule="exact"/>
        <w:rPr>
          <w:sz w:val="20"/>
          <w:szCs w:val="20"/>
          <w:color w:val="auto"/>
        </w:rPr>
      </w:pPr>
    </w:p>
    <w:p>
      <w:pPr>
        <w:ind w:left="2740" w:right="2099" w:hanging="836"/>
        <w:spacing w:after="0" w:line="235" w:lineRule="auto"/>
        <w:tabs>
          <w:tab w:leader="none" w:pos="231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2740" w:right="1879" w:hanging="836"/>
        <w:spacing w:after="0" w:line="236" w:lineRule="auto"/>
        <w:tabs>
          <w:tab w:leader="none" w:pos="231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w:t>
      </w:r>
    </w:p>
    <w:p>
      <w:pPr>
        <w:spacing w:after="0" w:line="203"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 (b)(1)(ii)(J).</w:t>
      </w:r>
    </w:p>
    <w:p>
      <w:pPr>
        <w:sectPr>
          <w:pgSz w:w="11900" w:h="16838" w:orient="portrait"/>
          <w:cols w:equalWidth="0" w:num="1">
            <w:col w:w="10219"/>
          </w:cols>
          <w:pgMar w:left="240" w:top="919"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1180" w:space="720"/>
            <w:col w:w="8319"/>
          </w:cols>
          <w:pgMar w:left="240" w:top="142" w:right="1440" w:bottom="0" w:gutter="0" w:footer="0" w:header="0"/>
        </w:sectPr>
      </w:pPr>
    </w:p>
    <w:p>
      <w:pPr>
        <w:spacing w:after="0" w:line="1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 Amount beneficially owned:</w:t>
      </w:r>
    </w:p>
    <w:p>
      <w:pPr>
        <w:spacing w:after="0" w:line="207" w:lineRule="exact"/>
        <w:rPr>
          <w:sz w:val="20"/>
          <w:szCs w:val="20"/>
          <w:color w:val="auto"/>
        </w:rPr>
      </w:pPr>
    </w:p>
    <w:p>
      <w:pPr>
        <w:ind w:left="1900" w:right="2099"/>
        <w:spacing w:after="0" w:line="235" w:lineRule="auto"/>
        <w:rPr>
          <w:sz w:val="20"/>
          <w:szCs w:val="20"/>
          <w:color w:val="auto"/>
        </w:rPr>
      </w:pPr>
      <w:r>
        <w:rPr>
          <w:rFonts w:ascii="Courier New" w:cs="Courier New" w:eastAsia="Courier New" w:hAnsi="Courier New"/>
          <w:sz w:val="18"/>
          <w:szCs w:val="18"/>
          <w:color w:val="auto"/>
        </w:rPr>
        <w:t>The Reporting Person owns the amount of the Common Stock as set forth on the cover page.</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(b) Percent of class:</w:t>
      </w:r>
    </w:p>
    <w:p>
      <w:pPr>
        <w:spacing w:after="0" w:line="207" w:lineRule="exact"/>
        <w:rPr>
          <w:sz w:val="20"/>
          <w:szCs w:val="20"/>
          <w:color w:val="auto"/>
        </w:rPr>
      </w:pPr>
    </w:p>
    <w:p>
      <w:pPr>
        <w:ind w:left="1900" w:right="1999"/>
        <w:spacing w:after="0" w:line="235" w:lineRule="auto"/>
        <w:rPr>
          <w:sz w:val="20"/>
          <w:szCs w:val="20"/>
          <w:color w:val="auto"/>
        </w:rPr>
      </w:pPr>
      <w:r>
        <w:rPr>
          <w:rFonts w:ascii="Courier New" w:cs="Courier New" w:eastAsia="Courier New" w:hAnsi="Courier New"/>
          <w:sz w:val="18"/>
          <w:szCs w:val="18"/>
          <w:color w:val="auto"/>
        </w:rPr>
        <w:t>The Reporting Person owns the percentage of the Common Stock as set forth on the cover page.</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(i) sole power to vote or to direct the vote:</w:t>
      </w:r>
    </w:p>
    <w:p>
      <w:pPr>
        <w:spacing w:after="0" w:line="207" w:lineRule="exact"/>
        <w:rPr>
          <w:sz w:val="20"/>
          <w:szCs w:val="20"/>
          <w:color w:val="auto"/>
        </w:rPr>
      </w:pPr>
    </w:p>
    <w:p>
      <w:pPr>
        <w:ind w:left="2320" w:right="2519"/>
        <w:spacing w:after="0" w:line="236" w:lineRule="auto"/>
        <w:rPr>
          <w:sz w:val="20"/>
          <w:szCs w:val="20"/>
          <w:color w:val="auto"/>
        </w:rPr>
      </w:pPr>
      <w:r>
        <w:rPr>
          <w:rFonts w:ascii="Courier New" w:cs="Courier New" w:eastAsia="Courier New" w:hAnsi="Courier New"/>
          <w:sz w:val="18"/>
          <w:szCs w:val="18"/>
          <w:color w:val="auto"/>
        </w:rPr>
        <w:t>The Reporting Person has the sole power to vote or direct the vote of the Common Stock as set forth on the cover page.</w:t>
      </w: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(ii) shared power to vote or to direct the vote:</w:t>
      </w:r>
    </w:p>
    <w:p>
      <w:pPr>
        <w:spacing w:after="0" w:line="207" w:lineRule="exact"/>
        <w:rPr>
          <w:sz w:val="20"/>
          <w:szCs w:val="20"/>
          <w:color w:val="auto"/>
        </w:rPr>
      </w:pPr>
    </w:p>
    <w:p>
      <w:pPr>
        <w:jc w:val="both"/>
        <w:ind w:left="2320" w:right="2419"/>
        <w:spacing w:after="0" w:line="236" w:lineRule="auto"/>
        <w:rPr>
          <w:sz w:val="20"/>
          <w:szCs w:val="20"/>
          <w:color w:val="auto"/>
        </w:rPr>
      </w:pPr>
      <w:r>
        <w:rPr>
          <w:rFonts w:ascii="Courier New" w:cs="Courier New" w:eastAsia="Courier New" w:hAnsi="Courier New"/>
          <w:sz w:val="18"/>
          <w:szCs w:val="18"/>
          <w:color w:val="auto"/>
        </w:rPr>
        <w:t>The Reporting Person has the shared power to vote or direct the vote of the Common Stock as set forth on the cover page.</w:t>
      </w: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(iii) sole power to dispose or to direct the</w:t>
      </w:r>
    </w:p>
    <w:p>
      <w:pPr>
        <w:ind w:left="2320"/>
        <w:spacing w:after="0" w:line="238" w:lineRule="auto"/>
        <w:rPr>
          <w:sz w:val="20"/>
          <w:szCs w:val="20"/>
          <w:color w:val="auto"/>
        </w:rPr>
      </w:pPr>
      <w:r>
        <w:rPr>
          <w:rFonts w:ascii="Courier New" w:cs="Courier New" w:eastAsia="Courier New" w:hAnsi="Courier New"/>
          <w:sz w:val="18"/>
          <w:szCs w:val="18"/>
          <w:color w:val="auto"/>
        </w:rPr>
        <w:t>disposition of:</w:t>
      </w:r>
    </w:p>
    <w:p>
      <w:pPr>
        <w:spacing w:after="0" w:line="207" w:lineRule="exact"/>
        <w:rPr>
          <w:sz w:val="20"/>
          <w:szCs w:val="20"/>
          <w:color w:val="auto"/>
        </w:rPr>
      </w:pPr>
    </w:p>
    <w:p>
      <w:pPr>
        <w:ind w:left="2320" w:right="2319"/>
        <w:spacing w:after="0" w:line="236" w:lineRule="auto"/>
        <w:rPr>
          <w:sz w:val="20"/>
          <w:szCs w:val="20"/>
          <w:color w:val="auto"/>
        </w:rPr>
      </w:pPr>
      <w:r>
        <w:rPr>
          <w:rFonts w:ascii="Courier New" w:cs="Courier New" w:eastAsia="Courier New" w:hAnsi="Courier New"/>
          <w:sz w:val="18"/>
          <w:szCs w:val="18"/>
          <w:color w:val="auto"/>
        </w:rPr>
        <w:t>The Reporting Person has the sole power to dispose or direct the disposition of the Common Stock as set forth on the cover page.</w:t>
      </w: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(iv) shared power to dispose or to direct the</w:t>
      </w:r>
    </w:p>
    <w:p>
      <w:pPr>
        <w:ind w:left="2320"/>
        <w:spacing w:after="0" w:line="238" w:lineRule="auto"/>
        <w:rPr>
          <w:sz w:val="20"/>
          <w:szCs w:val="20"/>
          <w:color w:val="auto"/>
        </w:rPr>
      </w:pPr>
      <w:r>
        <w:rPr>
          <w:rFonts w:ascii="Courier New" w:cs="Courier New" w:eastAsia="Courier New" w:hAnsi="Courier New"/>
          <w:sz w:val="18"/>
          <w:szCs w:val="18"/>
          <w:color w:val="auto"/>
        </w:rPr>
        <w:t>disposition of:</w:t>
      </w:r>
    </w:p>
    <w:p>
      <w:pPr>
        <w:spacing w:after="0" w:line="207" w:lineRule="exact"/>
        <w:rPr>
          <w:sz w:val="20"/>
          <w:szCs w:val="20"/>
          <w:color w:val="auto"/>
        </w:rPr>
      </w:pPr>
    </w:p>
    <w:p>
      <w:pPr>
        <w:jc w:val="both"/>
        <w:ind w:left="2320" w:right="2419"/>
        <w:spacing w:after="0" w:line="236" w:lineRule="auto"/>
        <w:rPr>
          <w:sz w:val="20"/>
          <w:szCs w:val="20"/>
          <w:color w:val="auto"/>
        </w:rPr>
      </w:pPr>
      <w:r>
        <w:rPr>
          <w:rFonts w:ascii="Courier New" w:cs="Courier New" w:eastAsia="Courier New" w:hAnsi="Courier New"/>
          <w:sz w:val="18"/>
          <w:szCs w:val="18"/>
          <w:color w:val="auto"/>
        </w:rPr>
        <w:t>The Reporting Person has the shared power to dispose or direct the disposition of the Common Stock as set forth on the cover page.</w:t>
      </w:r>
    </w:p>
    <w:p>
      <w:pPr>
        <w:sectPr>
          <w:pgSz w:w="11900" w:h="16838" w:orient="portrait"/>
          <w:cols w:equalWidth="0" w:num="1">
            <w:col w:w="10219"/>
          </w:cols>
          <w:pgMar w:left="240" w:top="142"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Five Percent or Less of a Class.</w:t>
      </w:r>
    </w:p>
    <w:p>
      <w:pPr>
        <w:spacing w:after="0" w:line="200" w:lineRule="exact"/>
        <w:rPr>
          <w:sz w:val="20"/>
          <w:szCs w:val="20"/>
          <w:color w:val="auto"/>
        </w:rPr>
      </w:pPr>
    </w:p>
    <w:p>
      <w:pPr>
        <w:sectPr>
          <w:pgSz w:w="11900" w:h="16838" w:orient="portrait"/>
          <w:cols w:equalWidth="0" w:num="2">
            <w:col w:w="1180" w:space="720"/>
            <w:col w:w="8319"/>
          </w:cols>
          <w:pgMar w:left="240" w:top="142" w:right="1440" w:bottom="0" w:gutter="0" w:footer="0" w:header="0"/>
          <w:type w:val="continuous"/>
        </w:sectPr>
      </w:pPr>
    </w:p>
    <w:p>
      <w:pPr>
        <w:spacing w:after="0" w:line="2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Ownership of More than Five Percent on Behalf of Another Person.</w:t>
      </w:r>
    </w:p>
    <w:p>
      <w:pPr>
        <w:spacing w:after="0" w:line="200" w:lineRule="exact"/>
        <w:rPr>
          <w:sz w:val="20"/>
          <w:szCs w:val="20"/>
          <w:color w:val="auto"/>
        </w:rPr>
      </w:pPr>
    </w:p>
    <w:p>
      <w:pPr>
        <w:sectPr>
          <w:pgSz w:w="11900" w:h="16838" w:orient="portrait"/>
          <w:cols w:equalWidth="0" w:num="2">
            <w:col w:w="1180" w:space="720"/>
            <w:col w:w="8319"/>
          </w:cols>
          <w:pgMar w:left="240" w:top="142" w:right="1440" w:bottom="0" w:gutter="0" w:footer="0" w:header="0"/>
          <w:type w:val="continuous"/>
        </w:sectPr>
      </w:pPr>
    </w:p>
    <w:p>
      <w:pPr>
        <w:spacing w:after="0" w:line="8"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1180" w:space="720"/>
            <w:col w:w="8319"/>
          </w:cols>
          <w:pgMar w:left="240" w:top="142" w:right="1440" w:bottom="0" w:gutter="0" w:footer="0" w:header="0"/>
          <w:type w:val="continuous"/>
        </w:sectPr>
      </w:pPr>
    </w:p>
    <w:p>
      <w:pPr>
        <w:spacing w:after="0" w:line="9"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Subsidiary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5300" w:space="720"/>
            <w:col w:w="4199"/>
          </w:cols>
          <w:pgMar w:left="240" w:top="142" w:right="1440" w:bottom="0" w:gutter="0" w:footer="0" w:header="0"/>
          <w:type w:val="continuous"/>
        </w:sectPr>
      </w:pPr>
    </w:p>
    <w:p>
      <w:pPr>
        <w:spacing w:after="0" w:line="24" w:lineRule="exact"/>
        <w:rPr>
          <w:sz w:val="20"/>
          <w:szCs w:val="20"/>
          <w:color w:val="auto"/>
        </w:rPr>
      </w:pPr>
    </w:p>
    <w:p>
      <w:pPr>
        <w:jc w:val="center"/>
        <w:ind w:left="720"/>
        <w:spacing w:after="0"/>
        <w:rPr>
          <w:sz w:val="20"/>
          <w:szCs w:val="20"/>
          <w:color w:val="auto"/>
        </w:rPr>
      </w:pPr>
      <w:r>
        <w:rPr>
          <w:rFonts w:ascii="Courier New" w:cs="Courier New" w:eastAsia="Courier New" w:hAnsi="Courier New"/>
          <w:sz w:val="16"/>
          <w:szCs w:val="16"/>
          <w:color w:val="auto"/>
        </w:rPr>
        <w:t>RREEF America, L.L.C.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 Advisor</w:t>
      </w:r>
    </w:p>
    <w:p>
      <w:pPr>
        <w:spacing w:after="0" w:line="200" w:lineRule="exact"/>
        <w:rPr>
          <w:sz w:val="20"/>
          <w:szCs w:val="20"/>
          <w:color w:val="auto"/>
        </w:rPr>
      </w:pPr>
    </w:p>
    <w:p>
      <w:pPr>
        <w:sectPr>
          <w:pgSz w:w="11900" w:h="16838" w:orient="portrait"/>
          <w:cols w:equalWidth="0" w:num="2">
            <w:col w:w="5300" w:space="720"/>
            <w:col w:w="4199"/>
          </w:cols>
          <w:pgMar w:left="240" w:top="142" w:right="1440" w:bottom="0" w:gutter="0" w:footer="0" w:header="0"/>
          <w:type w:val="continuous"/>
        </w:sectPr>
      </w:pPr>
    </w:p>
    <w:p>
      <w:pPr>
        <w:spacing w:after="0" w:line="2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Deutsche Bank Trust Company Americas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w:t>
      </w:r>
    </w:p>
    <w:p>
      <w:pPr>
        <w:spacing w:after="0" w:line="200" w:lineRule="exact"/>
        <w:rPr>
          <w:sz w:val="20"/>
          <w:szCs w:val="20"/>
          <w:color w:val="auto"/>
        </w:rPr>
      </w:pPr>
    </w:p>
    <w:p>
      <w:pPr>
        <w:sectPr>
          <w:pgSz w:w="11900" w:h="16838" w:orient="portrait"/>
          <w:cols w:equalWidth="0" w:num="2">
            <w:col w:w="5700" w:space="320"/>
            <w:col w:w="4199"/>
          </w:cols>
          <w:pgMar w:left="240" w:top="142" w:right="1440" w:bottom="0" w:gutter="0" w:footer="0" w:header="0"/>
          <w:type w:val="continuous"/>
        </w:sectPr>
      </w:pPr>
    </w:p>
    <w:p>
      <w:pPr>
        <w:spacing w:after="0" w:line="2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DWS Holding &amp; Service GmbH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 Advisor</w:t>
      </w:r>
    </w:p>
    <w:p>
      <w:pPr>
        <w:spacing w:after="0" w:line="200" w:lineRule="exact"/>
        <w:rPr>
          <w:sz w:val="20"/>
          <w:szCs w:val="20"/>
          <w:color w:val="auto"/>
        </w:rPr>
      </w:pPr>
    </w:p>
    <w:p>
      <w:pPr>
        <w:sectPr>
          <w:pgSz w:w="11900" w:h="16838" w:orient="portrait"/>
          <w:cols w:equalWidth="0" w:num="2">
            <w:col w:w="5300" w:space="720"/>
            <w:col w:w="4199"/>
          </w:cols>
          <w:pgMar w:left="240" w:top="142" w:right="1440" w:bottom="0" w:gutter="0" w:footer="0" w:header="0"/>
          <w:type w:val="continuous"/>
        </w:sectPr>
      </w:pPr>
    </w:p>
    <w:p>
      <w:pPr>
        <w:spacing w:after="0" w:line="2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Deutsche Asset Management Inc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 Advisor</w:t>
      </w:r>
    </w:p>
    <w:p>
      <w:pPr>
        <w:spacing w:after="0" w:line="200" w:lineRule="exact"/>
        <w:rPr>
          <w:sz w:val="20"/>
          <w:szCs w:val="20"/>
          <w:color w:val="auto"/>
        </w:rPr>
      </w:pPr>
    </w:p>
    <w:p>
      <w:pPr>
        <w:sectPr>
          <w:pgSz w:w="11900" w:h="16838" w:orient="portrait"/>
          <w:cols w:equalWidth="0" w:num="2">
            <w:col w:w="5300" w:space="720"/>
            <w:col w:w="419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180" w:space="720"/>
            <w:col w:w="8319"/>
          </w:cols>
          <w:pgMar w:left="240" w:top="142" w:right="1440" w:bottom="0" w:gutter="0" w:footer="0" w:header="0"/>
          <w:type w:val="continuous"/>
        </w:sectPr>
      </w:pPr>
    </w:p>
    <w:p>
      <w:pPr>
        <w:spacing w:after="0" w:line="2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180" w:space="720"/>
            <w:col w:w="8319"/>
          </w:cols>
          <w:pgMar w:left="240" w:top="142" w:right="1440" w:bottom="0" w:gutter="0" w:footer="0" w:header="0"/>
          <w:type w:val="continuous"/>
        </w:sectPr>
      </w:pPr>
    </w:p>
    <w:p>
      <w:pPr>
        <w:spacing w:after="0" w:line="2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1180" w:space="720"/>
            <w:col w:w="8319"/>
          </w:cols>
          <w:pgMar w:left="240" w:top="142" w:right="1440" w:bottom="0" w:gutter="0" w:footer="0" w:header="0"/>
          <w:type w:val="continuous"/>
        </w:sectPr>
      </w:pPr>
    </w:p>
    <w:p>
      <w:pPr>
        <w:spacing w:after="0" w:line="24" w:lineRule="exact"/>
        <w:rPr>
          <w:sz w:val="20"/>
          <w:szCs w:val="20"/>
          <w:color w:val="auto"/>
        </w:rPr>
      </w:pPr>
    </w:p>
    <w:p>
      <w:pPr>
        <w:ind w:left="1900" w:right="19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effect of changing or influencing the control of the issuer of the securities and were not acquired and are not held in</w:t>
      </w:r>
    </w:p>
    <w:p>
      <w:pPr>
        <w:sectPr>
          <w:pgSz w:w="11900" w:h="16838" w:orient="portrait"/>
          <w:cols w:equalWidth="0" w:num="1">
            <w:col w:w="10219"/>
          </w:cols>
          <w:pgMar w:left="240" w:top="142" w:right="1440" w:bottom="0" w:gutter="0" w:footer="0" w:header="0"/>
          <w:type w:val="continuous"/>
        </w:sectPr>
      </w:pPr>
    </w:p>
    <w:p>
      <w:pPr>
        <w:spacing w:after="0" w:line="1" w:lineRule="exact"/>
        <w:rPr>
          <w:sz w:val="20"/>
          <w:szCs w:val="20"/>
          <w:color w:val="auto"/>
        </w:rPr>
      </w:pPr>
    </w:p>
    <w:p>
      <w:pPr>
        <w:ind w:left="1900" w:right="1879"/>
        <w:spacing w:after="0" w:line="235" w:lineRule="auto"/>
        <w:rPr>
          <w:sz w:val="20"/>
          <w:szCs w:val="20"/>
          <w:color w:val="auto"/>
        </w:rPr>
      </w:pPr>
      <w:r>
        <w:rPr>
          <w:rFonts w:ascii="Courier New" w:cs="Courier New" w:eastAsia="Courier New" w:hAnsi="Courier New"/>
          <w:sz w:val="18"/>
          <w:szCs w:val="18"/>
          <w:color w:val="auto"/>
        </w:rPr>
        <w:t>connection with or as a participant in any transaction having that purpose or effect.</w:t>
      </w:r>
    </w:p>
    <w:p>
      <w:pPr>
        <w:sectPr>
          <w:pgSz w:w="11900" w:h="16838" w:orient="portrait"/>
          <w:cols w:equalWidth="0" w:num="1">
            <w:col w:w="10219"/>
          </w:cols>
          <w:pgMar w:left="240" w:top="142" w:right="1440" w:bottom="0" w:gutter="0" w:footer="0" w:header="0"/>
          <w:type w:val="continuous"/>
        </w:sectPr>
      </w:pPr>
    </w:p>
    <w:bookmarkStart w:id="9" w:name="page10"/>
    <w:bookmarkEnd w:id="9"/>
    <w:p>
      <w:pPr>
        <w:spacing w:after="0" w:line="235" w:lineRule="auto"/>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1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07, 2006</w:t>
      </w:r>
    </w:p>
    <w:p>
      <w:pPr>
        <w:spacing w:after="0" w:line="200" w:lineRule="exact"/>
        <w:rPr>
          <w:sz w:val="20"/>
          <w:szCs w:val="20"/>
          <w:color w:val="auto"/>
        </w:rPr>
      </w:pPr>
    </w:p>
    <w:p>
      <w:pPr>
        <w:spacing w:after="0" w:line="20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DEUTSCHE BANK AG</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By: /s/</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Name:</w:t>
      </w:r>
    </w:p>
    <w:p>
      <w:pPr>
        <w:ind w:left="5600"/>
        <w:spacing w:after="0" w:line="238" w:lineRule="auto"/>
        <w:rPr>
          <w:sz w:val="20"/>
          <w:szCs w:val="20"/>
          <w:color w:val="auto"/>
        </w:rPr>
      </w:pPr>
      <w:r>
        <w:rPr>
          <w:rFonts w:ascii="Courier New" w:cs="Courier New" w:eastAsia="Courier New" w:hAnsi="Courier New"/>
          <w:sz w:val="18"/>
          <w:szCs w:val="18"/>
          <w:color w:val="auto"/>
        </w:rPr>
        <w:t>Title: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Jeffrey A. Ruiz</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Jeffrey A. Ruiz</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ectPr>
          <w:pgSz w:w="11900" w:h="16838" w:orient="portrait"/>
          <w:cols w:equalWidth="0" w:num="2">
            <w:col w:w="6320" w:space="220"/>
            <w:col w:w="3679"/>
          </w:cols>
          <w:pgMar w:left="240" w:top="919" w:right="1440" w:bottom="1440" w:gutter="0" w:footer="0" w:header="0"/>
          <w:type w:val="continuous"/>
        </w:sectPr>
      </w:pPr>
    </w:p>
    <w:p>
      <w:pPr>
        <w:spacing w:after="0" w:line="7"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By: /s/</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Name:</w:t>
      </w:r>
    </w:p>
    <w:p>
      <w:pPr>
        <w:ind w:left="5600"/>
        <w:spacing w:after="0" w:line="238" w:lineRule="auto"/>
        <w:rPr>
          <w:sz w:val="20"/>
          <w:szCs w:val="20"/>
          <w:color w:val="auto"/>
        </w:rPr>
      </w:pPr>
      <w:r>
        <w:rPr>
          <w:rFonts w:ascii="Courier New" w:cs="Courier New" w:eastAsia="Courier New" w:hAnsi="Courier New"/>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Pasquale Antolino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Pasquale Antolino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Associate</w:t>
      </w:r>
    </w:p>
    <w:p>
      <w:pPr>
        <w:sectPr>
          <w:pgSz w:w="11900" w:h="16838" w:orient="portrait"/>
          <w:cols w:equalWidth="0" w:num="2">
            <w:col w:w="6320" w:space="220"/>
            <w:col w:w="3679"/>
          </w:cols>
          <w:pgMar w:left="240" w:top="919" w:right="1440" w:bottom="1440" w:gutter="0" w:footer="0" w:header="0"/>
          <w:type w:val="continuous"/>
        </w:sectPr>
      </w:pPr>
    </w:p>
    <w:bookmarkStart w:id="11" w:name="page12"/>
    <w:bookmarkEnd w:id="11"/>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1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07, 2006</w:t>
      </w:r>
    </w:p>
    <w:p>
      <w:pPr>
        <w:spacing w:after="0" w:line="200" w:lineRule="exact"/>
        <w:rPr>
          <w:sz w:val="20"/>
          <w:szCs w:val="20"/>
          <w:color w:val="auto"/>
        </w:rPr>
      </w:pPr>
    </w:p>
    <w:p>
      <w:pPr>
        <w:spacing w:after="0" w:line="204"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RREEF America, L.L.C.</w:t>
      </w:r>
    </w:p>
    <w:p>
      <w:pPr>
        <w:spacing w:after="0" w:line="201" w:lineRule="exact"/>
        <w:rPr>
          <w:sz w:val="20"/>
          <w:szCs w:val="20"/>
          <w:color w:val="auto"/>
        </w:rPr>
      </w:pPr>
    </w:p>
    <w:p>
      <w:pPr>
        <w:ind w:left="5800"/>
        <w:spacing w:after="0"/>
        <w:tabs>
          <w:tab w:leader="none" w:pos="672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Peter Pages</w:t>
      </w:r>
    </w:p>
    <w:p>
      <w:pPr>
        <w:ind w:left="5800"/>
        <w:spacing w:after="0" w:line="238" w:lineRule="auto"/>
        <w:tabs>
          <w:tab w:leader="none" w:pos="6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Peter Pages</w:t>
      </w:r>
    </w:p>
    <w:p>
      <w:pPr>
        <w:jc w:val="both"/>
        <w:ind w:left="5800"/>
        <w:spacing w:after="0"/>
        <w:tabs>
          <w:tab w:leader="none" w:pos="6720" w:val="left"/>
        </w:tabs>
        <w:rPr>
          <w:sz w:val="20"/>
          <w:szCs w:val="20"/>
          <w:color w:val="auto"/>
        </w:rPr>
      </w:pPr>
      <w:r>
        <w:rPr>
          <w:rFonts w:ascii="Courier New" w:cs="Courier New" w:eastAsia="Courier New" w:hAnsi="Courier New"/>
          <w:sz w:val="18"/>
          <w:szCs w:val="18"/>
          <w:color w:val="auto"/>
        </w:rPr>
        <w:t>Title:</w:t>
        <w:tab/>
        <w:t>Vice President</w:t>
      </w:r>
    </w:p>
    <w:p>
      <w:pPr>
        <w:sectPr>
          <w:pgSz w:w="11900" w:h="16838" w:orient="portrait"/>
          <w:cols w:equalWidth="0" w:num="1">
            <w:col w:w="10219"/>
          </w:cols>
          <w:pgMar w:left="240" w:top="919" w:right="1440" w:bottom="1440" w:gutter="0" w:footer="0" w:header="0"/>
        </w:sectPr>
      </w:pPr>
    </w:p>
    <w:bookmarkStart w:id="12" w:name="page13"/>
    <w:bookmarkEnd w:id="12"/>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1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07, 2006</w:t>
      </w:r>
    </w:p>
    <w:p>
      <w:pPr>
        <w:spacing w:after="0" w:line="200" w:lineRule="exact"/>
        <w:rPr>
          <w:sz w:val="20"/>
          <w:szCs w:val="20"/>
          <w:color w:val="auto"/>
        </w:rPr>
      </w:pPr>
    </w:p>
    <w:p>
      <w:pPr>
        <w:spacing w:after="0" w:line="209"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Deutsche Bank Trust Company Americas</w:t>
      </w:r>
    </w:p>
    <w:p>
      <w:pPr>
        <w:sectPr>
          <w:pgSz w:w="11900" w:h="16838" w:orient="portrait"/>
          <w:cols w:equalWidth="0" w:num="1">
            <w:col w:w="10219"/>
          </w:cols>
          <w:pgMar w:left="240" w:top="919" w:right="1440" w:bottom="1440" w:gutter="0" w:footer="0" w:header="0"/>
        </w:sectPr>
      </w:pPr>
    </w:p>
    <w:p>
      <w:pPr>
        <w:spacing w:after="0" w:line="22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By: /s/</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Name:</w:t>
      </w:r>
    </w:p>
    <w:p>
      <w:pPr>
        <w:ind w:left="4540"/>
        <w:spacing w:after="0" w:line="238" w:lineRule="auto"/>
        <w:rPr>
          <w:sz w:val="20"/>
          <w:szCs w:val="20"/>
          <w:color w:val="auto"/>
        </w:rPr>
      </w:pPr>
      <w:r>
        <w:rPr>
          <w:rFonts w:ascii="Courier New" w:cs="Courier New" w:eastAsia="Courier New" w:hAnsi="Courier New"/>
          <w:sz w:val="18"/>
          <w:szCs w:val="18"/>
          <w:color w:val="auto"/>
        </w:rPr>
        <w:t>Title: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Jeffrey A. Ruiz</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Jeffrey A. Ruiz</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w:t>
      </w:r>
    </w:p>
    <w:p>
      <w:pPr>
        <w:sectPr>
          <w:pgSz w:w="11900" w:h="16838" w:orient="portrait"/>
          <w:cols w:equalWidth="0" w:num="2">
            <w:col w:w="5280" w:space="200"/>
            <w:col w:w="4739"/>
          </w:cols>
          <w:pgMar w:left="240" w:top="919" w:right="1440" w:bottom="1440" w:gutter="0" w:footer="0" w:header="0"/>
          <w:type w:val="continuous"/>
        </w:sectPr>
      </w:pPr>
    </w:p>
    <w:bookmarkStart w:id="13" w:name="page14"/>
    <w:bookmarkEnd w:id="13"/>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1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07, 2006</w:t>
      </w:r>
    </w:p>
    <w:p>
      <w:pPr>
        <w:spacing w:after="0" w:line="200" w:lineRule="exact"/>
        <w:rPr>
          <w:sz w:val="20"/>
          <w:szCs w:val="20"/>
          <w:color w:val="auto"/>
        </w:rPr>
      </w:pPr>
    </w:p>
    <w:p>
      <w:pPr>
        <w:spacing w:after="0" w:line="209"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Deutsche Asset Management Inc.</w:t>
      </w:r>
    </w:p>
    <w:p>
      <w:pPr>
        <w:spacing w:after="0" w:line="218"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Jeffrey A. Ruiz</w:t>
      </w:r>
    </w:p>
    <w:p>
      <w:pPr>
        <w:ind w:left="4860"/>
        <w:spacing w:after="0" w:line="238" w:lineRule="auto"/>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Jeffrey A. Ruiz</w:t>
      </w:r>
    </w:p>
    <w:p>
      <w:pPr>
        <w:ind w:left="4860"/>
        <w:spacing w:after="0"/>
        <w:tabs>
          <w:tab w:leader="none" w:pos="5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Vice President</w:t>
      </w:r>
    </w:p>
    <w:p>
      <w:pPr>
        <w:sectPr>
          <w:pgSz w:w="11900" w:h="16838" w:orient="portrait"/>
          <w:cols w:equalWidth="0" w:num="1">
            <w:col w:w="10219"/>
          </w:cols>
          <w:pgMar w:left="240" w:top="919" w:right="1440" w:bottom="1440" w:gutter="0" w:footer="0" w:header="0"/>
        </w:sectPr>
      </w:pPr>
    </w:p>
    <w:bookmarkStart w:id="14" w:name="page15"/>
    <w:bookmarkEnd w:id="14"/>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1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07, 2006</w:t>
      </w:r>
    </w:p>
    <w:p>
      <w:pPr>
        <w:spacing w:after="0" w:line="200" w:lineRule="exact"/>
        <w:rPr>
          <w:sz w:val="20"/>
          <w:szCs w:val="20"/>
          <w:color w:val="auto"/>
        </w:rPr>
      </w:pPr>
    </w:p>
    <w:p>
      <w:pPr>
        <w:spacing w:after="0" w:line="204"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DWS Holding &amp; Service</w:t>
      </w:r>
    </w:p>
    <w:p>
      <w:pPr>
        <w:spacing w:after="0" w:line="200" w:lineRule="exact"/>
        <w:rPr>
          <w:sz w:val="20"/>
          <w:szCs w:val="20"/>
          <w:color w:val="auto"/>
        </w:rPr>
      </w:pPr>
    </w:p>
    <w:p>
      <w:pPr>
        <w:spacing w:after="0" w:line="204" w:lineRule="exact"/>
        <w:rPr>
          <w:sz w:val="20"/>
          <w:szCs w:val="20"/>
          <w:color w:val="auto"/>
        </w:rPr>
      </w:pPr>
    </w:p>
    <w:p>
      <w:pPr>
        <w:ind w:left="4960"/>
        <w:spacing w:after="0"/>
        <w:tabs>
          <w:tab w:leader="none" w:pos="588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Susan Seidel</w:t>
      </w:r>
    </w:p>
    <w:p>
      <w:pPr>
        <w:ind w:left="4960"/>
        <w:spacing w:after="0" w:line="238" w:lineRule="auto"/>
        <w:tabs>
          <w:tab w:leader="none" w:pos="58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Susan Seidel</w:t>
      </w:r>
    </w:p>
    <w:p>
      <w:pPr>
        <w:jc w:val="both"/>
        <w:ind w:left="4960"/>
        <w:spacing w:after="0"/>
        <w:tabs>
          <w:tab w:leader="none" w:pos="5880" w:val="left"/>
        </w:tabs>
        <w:rPr>
          <w:sz w:val="20"/>
          <w:szCs w:val="20"/>
          <w:color w:val="auto"/>
        </w:rPr>
      </w:pPr>
      <w:r>
        <w:rPr>
          <w:rFonts w:ascii="Courier New" w:cs="Courier New" w:eastAsia="Courier New" w:hAnsi="Courier New"/>
          <w:sz w:val="18"/>
          <w:szCs w:val="18"/>
          <w:color w:val="auto"/>
        </w:rPr>
        <w:t>Title:</w:t>
        <w:tab/>
        <w:t>Assistant Vice President</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upperLetter"/>
      <w:start w:val="24"/>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2"/>
    </w:lvl>
    <w:lvl w:ilvl="1">
      <w:lvlJc w:val="left"/>
      <w:lvlText w:val="(%2)"/>
      <w:numFmt w:val="upperLetter"/>
      <w:start w:val="1"/>
    </w:lvl>
  </w:abstractNum>
  <w:abstractNum w:abstractNumId="3">
    <w:nsid w:val="66EF438D"/>
    <w:multiLevelType w:val="hybridMultilevel"/>
    <w:lvl w:ilvl="0">
      <w:lvlJc w:val="left"/>
      <w:lvlText w:val="%1."/>
      <w:numFmt w:val="decimal"/>
      <w:start w:val="9"/>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2"/>
    </w:lvl>
    <w:lvl w:ilvl="1">
      <w:lvlJc w:val="left"/>
      <w:lvlText w:val="(%2)"/>
      <w:numFmt w:val="upperLetter"/>
      <w:start w:val="1"/>
    </w:lvl>
  </w:abstractNum>
  <w:abstractNum w:abstractNumId="6">
    <w:nsid w:val="109CF92E"/>
    <w:multiLevelType w:val="hybridMultilevel"/>
    <w:lvl w:ilvl="0">
      <w:lvlJc w:val="left"/>
      <w:lvlText w:val="%1."/>
      <w:numFmt w:val="decimal"/>
      <w:start w:val="9"/>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2"/>
    </w:lvl>
    <w:lvl w:ilvl="1">
      <w:lvlJc w:val="left"/>
      <w:lvlText w:val="(%2)"/>
      <w:numFmt w:val="upperLetter"/>
      <w:start w:val="1"/>
    </w:lvl>
  </w:abstractNum>
  <w:abstractNum w:abstractNumId="9">
    <w:nsid w:val="1BEFD79F"/>
    <w:multiLevelType w:val="hybridMultilevel"/>
    <w:lvl w:ilvl="0">
      <w:lvlJc w:val="left"/>
      <w:lvlText w:val="%1."/>
      <w:numFmt w:val="decimal"/>
      <w:start w:val="9"/>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2"/>
    </w:lvl>
    <w:lvl w:ilvl="1">
      <w:lvlJc w:val="left"/>
      <w:lvlText w:val="(%2)"/>
      <w:numFmt w:val="upperLetter"/>
      <w:start w:val="1"/>
    </w:lvl>
  </w:abstractNum>
  <w:abstractNum w:abstractNumId="12">
    <w:nsid w:val="4E6AFB66"/>
    <w:multiLevelType w:val="hybridMultilevel"/>
    <w:lvl w:ilvl="0">
      <w:lvlJc w:val="left"/>
      <w:lvlText w:val="%1."/>
      <w:numFmt w:val="decimal"/>
      <w:start w:val="9"/>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2"/>
    </w:lvl>
    <w:lvl w:ilvl="1">
      <w:lvlJc w:val="left"/>
      <w:lvlText w:val="(%2)"/>
      <w:numFmt w:val="upperLetter"/>
      <w:start w:val="1"/>
    </w:lvl>
  </w:abstractNum>
  <w:abstractNum w:abstractNumId="15">
    <w:nsid w:val="431BD7B7"/>
    <w:multiLevelType w:val="hybridMultilevel"/>
    <w:lvl w:ilvl="0">
      <w:lvlJc w:val="left"/>
      <w:lvlText w:val="%1."/>
      <w:numFmt w:val="decimal"/>
      <w:start w:val="9"/>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lowerLetter"/>
      <w:start w:val="4"/>
    </w:lvl>
  </w:abstractNum>
  <w:abstractNum w:abstractNumId="18">
    <w:nsid w:val="257130A3"/>
    <w:multiLevelType w:val="hybridMultilevel"/>
    <w:lvl w:ilvl="0">
      <w:lvlJc w:val="left"/>
      <w:lvlText w:val="(%1)"/>
      <w:numFmt w:val="lowerLetter"/>
      <w:start w:val="6"/>
    </w:lvl>
  </w:abstractNum>
  <w:abstractNum w:abstractNumId="19">
    <w:nsid w:val="62BBD95A"/>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2019-12-12T09:24:35Z</dcterms:created>
  <dcterms:modified xsi:type="dcterms:W3CDTF">2019-12-12T09:24:35Z</dcterms:modified>
</cp:coreProperties>
</file>