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51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2984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2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2240280</wp:posOffset>
            </wp:positionH>
            <wp:positionV relativeFrom="paragraph">
              <wp:posOffset>163830</wp:posOffset>
            </wp:positionV>
            <wp:extent cx="1530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2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2240280</wp:posOffset>
            </wp:positionH>
            <wp:positionV relativeFrom="paragraph">
              <wp:posOffset>183515</wp:posOffset>
            </wp:positionV>
            <wp:extent cx="1530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240"/>
        <w:spacing w:after="0"/>
        <w:rPr>
          <w:sz w:val="20"/>
          <w:szCs w:val="20"/>
          <w:color w:val="auto"/>
        </w:rPr>
      </w:pPr>
      <w:r>
        <w:rPr>
          <w:rFonts w:ascii="Arial" w:cs="Arial" w:eastAsia="Arial" w:hAnsi="Arial"/>
          <w:sz w:val="21"/>
          <w:szCs w:val="21"/>
          <w:b w:val="1"/>
          <w:bCs w:val="1"/>
          <w:color w:val="auto"/>
        </w:rPr>
        <w:t>CURRENT REPORT</w:t>
      </w:r>
    </w:p>
    <w:p>
      <w:pPr>
        <w:spacing w:after="0" w:line="147" w:lineRule="exact"/>
        <w:rPr>
          <w:sz w:val="24"/>
          <w:szCs w:val="24"/>
          <w:color w:val="auto"/>
        </w:rPr>
      </w:pPr>
    </w:p>
    <w:p>
      <w:pPr>
        <w:jc w:val="center"/>
        <w:ind w:right="-24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72" w:lineRule="exact"/>
        <w:rPr>
          <w:sz w:val="24"/>
          <w:szCs w:val="24"/>
          <w:color w:val="auto"/>
        </w:rPr>
      </w:pPr>
    </w:p>
    <w:p>
      <w:pPr>
        <w:jc w:val="center"/>
        <w:ind w:right="-240"/>
        <w:spacing w:after="0"/>
        <w:rPr>
          <w:sz w:val="20"/>
          <w:szCs w:val="20"/>
          <w:color w:val="auto"/>
        </w:rPr>
      </w:pPr>
      <w:r>
        <w:rPr>
          <w:rFonts w:ascii="Arial" w:cs="Arial" w:eastAsia="Arial" w:hAnsi="Arial"/>
          <w:sz w:val="17"/>
          <w:szCs w:val="17"/>
          <w:b w:val="1"/>
          <w:bCs w:val="1"/>
          <w:color w:val="auto"/>
        </w:rPr>
        <w:t>Date of Report (Date of earliest event reported) July 28,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2240280</wp:posOffset>
            </wp:positionH>
            <wp:positionV relativeFrom="paragraph">
              <wp:posOffset>182880</wp:posOffset>
            </wp:positionV>
            <wp:extent cx="1530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240"/>
        <w:spacing w:after="0"/>
        <w:rPr>
          <w:sz w:val="20"/>
          <w:szCs w:val="20"/>
          <w:color w:val="auto"/>
        </w:rPr>
      </w:pPr>
      <w:r>
        <w:rPr>
          <w:rFonts w:ascii="Arial" w:cs="Arial" w:eastAsia="Arial" w:hAnsi="Arial"/>
          <w:sz w:val="43"/>
          <w:szCs w:val="43"/>
          <w:b w:val="1"/>
          <w:bCs w:val="1"/>
          <w:color w:val="auto"/>
        </w:rPr>
        <w:t>Federal Realty Investment Trust</w:t>
      </w:r>
    </w:p>
    <w:p>
      <w:pPr>
        <w:spacing w:after="0" w:line="46" w:lineRule="exact"/>
        <w:rPr>
          <w:sz w:val="24"/>
          <w:szCs w:val="24"/>
          <w:color w:val="auto"/>
        </w:rPr>
      </w:pPr>
    </w:p>
    <w:p>
      <w:pPr>
        <w:jc w:val="center"/>
        <w:ind w:right="-24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2240280</wp:posOffset>
            </wp:positionH>
            <wp:positionV relativeFrom="paragraph">
              <wp:posOffset>159385</wp:posOffset>
            </wp:positionV>
            <wp:extent cx="1530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ectPr>
          <w:pgSz w:w="11900" w:h="16838" w:orient="portrait"/>
          <w:cols w:equalWidth="0" w:num="1">
            <w:col w:w="9239"/>
          </w:cols>
          <w:pgMar w:left="1220" w:top="353" w:right="1440" w:bottom="1440" w:gutter="0" w:footer="0" w:header="0"/>
        </w:sectPr>
      </w:pPr>
    </w:p>
    <w:p>
      <w:pPr>
        <w:spacing w:after="0" w:line="200" w:lineRule="exact"/>
        <w:rPr>
          <w:sz w:val="24"/>
          <w:szCs w:val="24"/>
          <w:color w:val="auto"/>
        </w:rPr>
      </w:pPr>
    </w:p>
    <w:p>
      <w:pPr>
        <w:spacing w:after="0" w:line="305"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38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54" w:lineRule="exact"/>
        <w:rPr>
          <w:sz w:val="24"/>
          <w:szCs w:val="24"/>
          <w:color w:val="auto"/>
        </w:rPr>
      </w:pPr>
    </w:p>
    <w:p>
      <w:pPr>
        <w:sectPr>
          <w:pgSz w:w="11900" w:h="16838" w:orient="portrait"/>
          <w:cols w:equalWidth="0" w:num="3">
            <w:col w:w="3800" w:space="720"/>
            <w:col w:w="2960" w:space="720"/>
            <w:col w:w="1039"/>
          </w:cols>
          <w:pgMar w:left="1220" w:top="353" w:right="1440" w:bottom="1440" w:gutter="0" w:footer="0" w:header="0"/>
          <w:type w:val="continuous"/>
        </w:sectPr>
      </w:pPr>
    </w:p>
    <w:p>
      <w:pPr>
        <w:jc w:val="center"/>
        <w:ind w:right="1460"/>
        <w:spacing w:after="0"/>
        <w:rPr>
          <w:sz w:val="20"/>
          <w:szCs w:val="20"/>
          <w:color w:val="auto"/>
        </w:rPr>
      </w:pPr>
      <w:r>
        <w:rPr>
          <w:rFonts w:ascii="Arial" w:cs="Arial" w:eastAsia="Arial" w:hAnsi="Arial"/>
          <w:sz w:val="12"/>
          <w:szCs w:val="12"/>
          <w:b w:val="1"/>
          <w:bCs w:val="1"/>
          <w:color w:val="auto"/>
        </w:rPr>
        <w:t>(State or other jurisdiction</w:t>
      </w:r>
    </w:p>
    <w:p>
      <w:pPr>
        <w:spacing w:after="0" w:line="12" w:lineRule="exact"/>
        <w:rPr>
          <w:sz w:val="24"/>
          <w:szCs w:val="24"/>
          <w:color w:val="auto"/>
        </w:rPr>
      </w:pPr>
    </w:p>
    <w:p>
      <w:pPr>
        <w:jc w:val="center"/>
        <w:ind w:right="146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0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9"/>
        <w:spacing w:after="0"/>
        <w:rPr>
          <w:sz w:val="20"/>
          <w:szCs w:val="20"/>
          <w:color w:val="auto"/>
        </w:rPr>
      </w:pPr>
      <w:r>
        <w:rPr>
          <w:rFonts w:ascii="Arial" w:cs="Arial" w:eastAsia="Arial" w:hAnsi="Arial"/>
          <w:sz w:val="13"/>
          <w:szCs w:val="13"/>
          <w:b w:val="1"/>
          <w:bCs w:val="1"/>
          <w:color w:val="auto"/>
        </w:rPr>
        <w:t>(IRS Employer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Identification No.)</w:t>
      </w:r>
    </w:p>
    <w:p>
      <w:pPr>
        <w:spacing w:after="0" w:line="154" w:lineRule="exact"/>
        <w:rPr>
          <w:sz w:val="24"/>
          <w:szCs w:val="24"/>
          <w:color w:val="auto"/>
        </w:rPr>
      </w:pPr>
    </w:p>
    <w:p>
      <w:pPr>
        <w:sectPr>
          <w:pgSz w:w="11900" w:h="16838" w:orient="portrait"/>
          <w:cols w:equalWidth="0" w:num="3">
            <w:col w:w="3300" w:space="720"/>
            <w:col w:w="3360" w:space="720"/>
            <w:col w:w="1139"/>
          </w:cols>
          <w:pgMar w:left="1220" w:top="353" w:right="1440"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5" w:lineRule="exact"/>
        <w:rPr>
          <w:sz w:val="24"/>
          <w:szCs w:val="24"/>
          <w:color w:val="auto"/>
        </w:rPr>
      </w:pPr>
    </w:p>
    <w:p>
      <w:pPr>
        <w:sectPr>
          <w:pgSz w:w="11900" w:h="16838" w:orient="portrait"/>
          <w:cols w:equalWidth="0" w:num="2">
            <w:col w:w="6620" w:space="720"/>
            <w:col w:w="1899"/>
          </w:cols>
          <w:pgMar w:left="1220" w:top="353" w:right="1440" w:bottom="1440" w:gutter="0" w:footer="0" w:header="0"/>
          <w:type w:val="continuous"/>
        </w:sectPr>
      </w:pPr>
    </w:p>
    <w:p>
      <w:pPr>
        <w:ind w:left="6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4" w:lineRule="exact"/>
        <w:rPr>
          <w:sz w:val="24"/>
          <w:szCs w:val="24"/>
          <w:color w:val="auto"/>
        </w:rPr>
      </w:pPr>
    </w:p>
    <w:p>
      <w:pPr>
        <w:sectPr>
          <w:pgSz w:w="11900" w:h="16838" w:orient="portrait"/>
          <w:cols w:equalWidth="0" w:num="2">
            <w:col w:w="6740" w:space="720"/>
            <w:col w:w="1779"/>
          </w:cols>
          <w:pgMar w:left="1220" w:top="353" w:right="1440" w:bottom="1440" w:gutter="0" w:footer="0" w:header="0"/>
          <w:type w:val="continuous"/>
        </w:sectPr>
      </w:pPr>
    </w:p>
    <w:p>
      <w:pPr>
        <w:ind w:left="2300"/>
        <w:spacing w:after="0"/>
        <w:rPr>
          <w:sz w:val="20"/>
          <w:szCs w:val="20"/>
          <w:color w:val="auto"/>
        </w:rPr>
      </w:pPr>
      <w:r>
        <w:rPr>
          <w:rFonts w:ascii="Arial" w:cs="Arial" w:eastAsia="Arial" w:hAnsi="Arial"/>
          <w:sz w:val="15"/>
          <w:szCs w:val="15"/>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-619125</wp:posOffset>
            </wp:positionH>
            <wp:positionV relativeFrom="paragraph">
              <wp:posOffset>144145</wp:posOffset>
            </wp:positionV>
            <wp:extent cx="7251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700" cy="29845"/>
                    </a:xfrm>
                    <a:prstGeom prst="rect">
                      <a:avLst/>
                    </a:prstGeom>
                    <a:noFill/>
                  </pic:spPr>
                </pic:pic>
              </a:graphicData>
            </a:graphic>
          </wp:anchor>
        </w:drawing>
      </w:r>
    </w:p>
    <w:p>
      <w:pPr>
        <w:sectPr>
          <w:pgSz w:w="11900" w:h="16838" w:orient="portrait"/>
          <w:cols w:equalWidth="0" w:num="1">
            <w:col w:w="9239"/>
          </w:cols>
          <w:pgMar w:left="1220" w:top="353"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845" cy="27305"/>
                    </a:xfrm>
                    <a:prstGeom prst="rect">
                      <a:avLst/>
                    </a:prstGeom>
                    <a:noFill/>
                  </pic:spPr>
                </pic:pic>
              </a:graphicData>
            </a:graphic>
          </wp:anchor>
        </w:drawing>
        <w:t>Item 7. Financial Statements and Exhibits.</w:t>
      </w:r>
    </w:p>
    <w:p>
      <w:pPr>
        <w:spacing w:after="0" w:line="92" w:lineRule="exact"/>
        <w:rPr>
          <w:sz w:val="20"/>
          <w:szCs w:val="20"/>
          <w:color w:val="auto"/>
        </w:rPr>
      </w:pPr>
    </w:p>
    <w:p>
      <w:pPr>
        <w:ind w:left="840" w:hanging="545"/>
        <w:spacing w:after="0"/>
        <w:tabs>
          <w:tab w:leader="none" w:pos="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Exhibits</w:t>
      </w:r>
    </w:p>
    <w:p>
      <w:pPr>
        <w:spacing w:after="0" w:line="126" w:lineRule="exact"/>
        <w:rPr>
          <w:sz w:val="20"/>
          <w:szCs w:val="20"/>
          <w:color w:val="auto"/>
        </w:rPr>
      </w:pPr>
    </w:p>
    <w:p>
      <w:pPr>
        <w:ind w:left="300"/>
        <w:spacing w:after="0"/>
        <w:tabs>
          <w:tab w:leader="none" w:pos="82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portfolio information at June 30, 2004 (including press release dated July 28, 2004)</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Results of Operations and Financial Condition.</w:t>
      </w:r>
    </w:p>
    <w:p>
      <w:pPr>
        <w:spacing w:after="0" w:line="92"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00" w:lineRule="exact"/>
        <w:rPr>
          <w:sz w:val="20"/>
          <w:szCs w:val="20"/>
          <w:color w:val="auto"/>
        </w:rPr>
      </w:pPr>
    </w:p>
    <w:p>
      <w:pPr>
        <w:ind w:right="380" w:firstLine="456"/>
        <w:spacing w:after="0" w:line="294" w:lineRule="auto"/>
        <w:rPr>
          <w:sz w:val="20"/>
          <w:szCs w:val="20"/>
          <w:color w:val="auto"/>
        </w:rPr>
      </w:pPr>
      <w:r>
        <w:rPr>
          <w:rFonts w:ascii="Arial" w:cs="Arial" w:eastAsia="Arial" w:hAnsi="Arial"/>
          <w:sz w:val="17"/>
          <w:szCs w:val="17"/>
          <w:color w:val="auto"/>
        </w:rPr>
        <w:t>On July 28, 2004, Federal Realty Investment Trust issued supplemental data pertaining to its operations, as well as a press release, to report its financial results for the quarter ended June 30, 2004. The supplemental data and press release are furnished as Exhibit 99.1 hereto.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7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91"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FEDERAL REALTY INVESTMENT TRUST</w:t>
      </w:r>
    </w:p>
    <w:p>
      <w:pPr>
        <w:spacing w:after="0" w:line="239"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July 28, 2004</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85090</wp:posOffset>
            </wp:positionV>
            <wp:extent cx="3547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47110" cy="8255"/>
                    </a:xfrm>
                    <a:prstGeom prst="rect">
                      <a:avLst/>
                    </a:prstGeom>
                    <a:noFill/>
                  </pic:spPr>
                </pic:pic>
              </a:graphicData>
            </a:graphic>
          </wp:anchor>
        </w:drawing>
      </w:r>
    </w:p>
    <w:p>
      <w:pPr>
        <w:spacing w:after="0" w:line="22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Larry E. Finger</w:t>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Senior Vice President,</w:t>
      </w:r>
    </w:p>
    <w:p>
      <w:pPr>
        <w:spacing w:after="0" w:line="1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Chief Financial Officer and Treasurer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1"/>
        </w:trPr>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860" w:type="dxa"/>
            <w:vAlign w:val="bottom"/>
            <w:gridSpan w:val="2"/>
          </w:tcPr>
          <w:p>
            <w:pPr>
              <w:jc w:val="center"/>
              <w:ind w:right="4473"/>
              <w:spacing w:after="0"/>
              <w:rPr>
                <w:sz w:val="20"/>
                <w:szCs w:val="20"/>
                <w:color w:val="auto"/>
              </w:rPr>
            </w:pPr>
            <w:r>
              <w:rPr>
                <w:rFonts w:ascii="Arial" w:cs="Arial" w:eastAsia="Arial" w:hAnsi="Arial"/>
                <w:sz w:val="17"/>
                <w:szCs w:val="17"/>
                <w:color w:val="auto"/>
              </w:rPr>
              <w:t>EXHIBIT INDEX</w:t>
            </w:r>
          </w:p>
        </w:tc>
      </w:tr>
      <w:tr>
        <w:trPr>
          <w:trHeight w:val="310"/>
        </w:trPr>
        <w:tc>
          <w:tcPr>
            <w:tcW w:w="620" w:type="dxa"/>
            <w:vAlign w:val="bottom"/>
          </w:tcPr>
          <w:p>
            <w:pPr>
              <w:jc w:val="right"/>
              <w:ind w:right="83"/>
              <w:spacing w:after="0"/>
              <w:rPr>
                <w:sz w:val="20"/>
                <w:szCs w:val="20"/>
                <w:color w:val="auto"/>
              </w:rPr>
            </w:pPr>
            <w:r>
              <w:rPr>
                <w:rFonts w:ascii="Arial" w:cs="Arial" w:eastAsia="Arial" w:hAnsi="Arial"/>
                <w:sz w:val="13"/>
                <w:szCs w:val="13"/>
                <w:b w:val="1"/>
                <w:bCs w:val="1"/>
                <w:color w:val="auto"/>
                <w:w w:val="90"/>
              </w:rPr>
              <w:t>Exh No.</w:t>
            </w:r>
          </w:p>
        </w:tc>
        <w:tc>
          <w:tcPr>
            <w:tcW w:w="3940" w:type="dxa"/>
            <w:vAlign w:val="bottom"/>
            <w:gridSpan w:val="3"/>
          </w:tcPr>
          <w:p>
            <w:pPr>
              <w:ind w:left="400"/>
              <w:spacing w:after="0"/>
              <w:rPr>
                <w:sz w:val="20"/>
                <w:szCs w:val="20"/>
                <w:color w:val="auto"/>
              </w:rPr>
            </w:pPr>
            <w:r>
              <w:rPr>
                <w:rFonts w:ascii="Arial" w:cs="Arial" w:eastAsia="Arial" w:hAnsi="Arial"/>
                <w:sz w:val="13"/>
                <w:szCs w:val="13"/>
                <w:b w:val="1"/>
                <w:bCs w:val="1"/>
                <w:color w:val="auto"/>
              </w:rPr>
              <w:t>Exhibit</w:t>
            </w:r>
          </w:p>
        </w:tc>
        <w:tc>
          <w:tcPr>
            <w:tcW w:w="6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6"/>
              </w:rPr>
              <w:t>Page No.</w:t>
            </w:r>
          </w:p>
        </w:tc>
      </w:tr>
      <w:tr>
        <w:trPr>
          <w:trHeight w:val="94"/>
        </w:trPr>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313"/>
        </w:trPr>
        <w:tc>
          <w:tcPr>
            <w:tcW w:w="620" w:type="dxa"/>
            <w:vAlign w:val="bottom"/>
          </w:tcPr>
          <w:p>
            <w:pPr>
              <w:jc w:val="right"/>
              <w:ind w:right="83"/>
              <w:spacing w:after="0"/>
              <w:rPr>
                <w:sz w:val="20"/>
                <w:szCs w:val="20"/>
                <w:color w:val="auto"/>
              </w:rPr>
            </w:pPr>
            <w:r>
              <w:rPr>
                <w:rFonts w:ascii="Arial" w:cs="Arial" w:eastAsia="Arial" w:hAnsi="Arial"/>
                <w:sz w:val="17"/>
                <w:szCs w:val="17"/>
                <w:color w:val="auto"/>
              </w:rPr>
              <w:t>99.1</w:t>
            </w:r>
          </w:p>
        </w:tc>
        <w:tc>
          <w:tcPr>
            <w:tcW w:w="3940" w:type="dxa"/>
            <w:vAlign w:val="bottom"/>
            <w:gridSpan w:val="3"/>
          </w:tcPr>
          <w:p>
            <w:pPr>
              <w:ind w:left="400"/>
              <w:spacing w:after="0"/>
              <w:rPr>
                <w:sz w:val="20"/>
                <w:szCs w:val="20"/>
                <w:color w:val="auto"/>
              </w:rPr>
            </w:pPr>
            <w:r>
              <w:rPr>
                <w:rFonts w:ascii="Arial" w:cs="Arial" w:eastAsia="Arial" w:hAnsi="Arial"/>
                <w:sz w:val="17"/>
                <w:szCs w:val="17"/>
                <w:color w:val="auto"/>
              </w:rPr>
              <w:t>Supplemental Information at June 30, 2004</w:t>
            </w:r>
          </w:p>
        </w:tc>
        <w:tc>
          <w:tcPr>
            <w:tcW w:w="686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362"/>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360" w:type="dxa"/>
            <w:vAlign w:val="bottom"/>
          </w:tcPr>
          <w:p>
            <w:pPr>
              <w:jc w:val="right"/>
              <w:ind w:right="5013"/>
              <w:spacing w:after="0"/>
              <w:rPr>
                <w:sz w:val="20"/>
                <w:szCs w:val="20"/>
                <w:color w:val="auto"/>
              </w:rPr>
            </w:pPr>
            <w:r>
              <w:rPr>
                <w:rFonts w:ascii="Arial" w:cs="Arial" w:eastAsia="Arial" w:hAnsi="Arial"/>
                <w:sz w:val="17"/>
                <w:szCs w:val="17"/>
                <w:color w:val="auto"/>
              </w:rPr>
              <w:t>-3-</w:t>
            </w:r>
          </w:p>
        </w:tc>
        <w:tc>
          <w:tcPr>
            <w:tcW w:w="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8" w:right="239" w:bottom="1440" w:gutter="0" w:footer="0" w:header="0"/>
        </w:sect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 w:type="dxa"/>
            <w:vAlign w:val="bottom"/>
          </w:tcPr>
          <w:p>
            <w:pPr>
              <w:spacing w:after="0"/>
              <w:rPr>
                <w:sz w:val="19"/>
                <w:szCs w:val="19"/>
                <w:color w:val="auto"/>
              </w:rPr>
            </w:pPr>
          </w:p>
        </w:tc>
        <w:tc>
          <w:tcPr>
            <w:tcW w:w="10800" w:type="dxa"/>
            <w:vAlign w:val="bottom"/>
          </w:tcPr>
          <w:p>
            <w:pPr>
              <w:jc w:val="center"/>
              <w:spacing w:after="0"/>
              <w:rPr>
                <w:sz w:val="20"/>
                <w:szCs w:val="20"/>
                <w:color w:val="auto"/>
              </w:rPr>
            </w:pPr>
            <w:r>
              <w:rPr>
                <w:rFonts w:ascii="Arial" w:cs="Arial" w:eastAsia="Arial" w:hAnsi="Arial"/>
                <w:sz w:val="17"/>
                <w:szCs w:val="17"/>
                <w:b w:val="1"/>
                <w:bCs w:val="1"/>
                <w:color w:val="auto"/>
              </w:rPr>
              <w:t>FEDERAL REALTY INVESTMENT TRUST</w:t>
            </w:r>
          </w:p>
        </w:tc>
        <w:tc>
          <w:tcPr>
            <w:tcW w:w="280" w:type="dxa"/>
            <w:vAlign w:val="bottom"/>
          </w:tcPr>
          <w:p>
            <w:pPr>
              <w:spacing w:after="0"/>
              <w:rPr>
                <w:sz w:val="19"/>
                <w:szCs w:val="19"/>
                <w:color w:val="auto"/>
              </w:rPr>
            </w:pPr>
          </w:p>
        </w:tc>
      </w:tr>
      <w:tr>
        <w:trPr>
          <w:trHeight w:val="355"/>
        </w:trPr>
        <w:tc>
          <w:tcPr>
            <w:tcW w:w="340" w:type="dxa"/>
            <w:vAlign w:val="bottom"/>
          </w:tcPr>
          <w:p>
            <w:pPr>
              <w:spacing w:after="0"/>
              <w:rPr>
                <w:sz w:val="24"/>
                <w:szCs w:val="24"/>
                <w:color w:val="auto"/>
              </w:rPr>
            </w:pPr>
          </w:p>
        </w:tc>
        <w:tc>
          <w:tcPr>
            <w:tcW w:w="10800" w:type="dxa"/>
            <w:vAlign w:val="bottom"/>
          </w:tcPr>
          <w:p>
            <w:pPr>
              <w:jc w:val="center"/>
              <w:spacing w:after="0"/>
              <w:rPr>
                <w:sz w:val="20"/>
                <w:szCs w:val="20"/>
                <w:color w:val="auto"/>
              </w:rPr>
            </w:pPr>
            <w:r>
              <w:rPr>
                <w:rFonts w:ascii="Arial" w:cs="Arial" w:eastAsia="Arial" w:hAnsi="Arial"/>
                <w:sz w:val="17"/>
                <w:szCs w:val="17"/>
                <w:color w:val="auto"/>
                <w:w w:val="94"/>
              </w:rPr>
              <w:t>Supplemental Information</w:t>
            </w:r>
          </w:p>
        </w:tc>
        <w:tc>
          <w:tcPr>
            <w:tcW w:w="280" w:type="dxa"/>
            <w:vAlign w:val="bottom"/>
          </w:tcPr>
          <w:p>
            <w:pPr>
              <w:spacing w:after="0"/>
              <w:rPr>
                <w:sz w:val="24"/>
                <w:szCs w:val="24"/>
                <w:color w:val="auto"/>
              </w:rPr>
            </w:pPr>
          </w:p>
        </w:tc>
      </w:tr>
      <w:tr>
        <w:trPr>
          <w:trHeight w:val="221"/>
        </w:trPr>
        <w:tc>
          <w:tcPr>
            <w:tcW w:w="340" w:type="dxa"/>
            <w:vAlign w:val="bottom"/>
          </w:tcPr>
          <w:p>
            <w:pPr>
              <w:spacing w:after="0"/>
              <w:rPr>
                <w:sz w:val="19"/>
                <w:szCs w:val="19"/>
                <w:color w:val="auto"/>
              </w:rPr>
            </w:pPr>
          </w:p>
        </w:tc>
        <w:tc>
          <w:tcPr>
            <w:tcW w:w="10800" w:type="dxa"/>
            <w:vAlign w:val="bottom"/>
          </w:tcPr>
          <w:p>
            <w:pPr>
              <w:jc w:val="center"/>
              <w:spacing w:after="0"/>
              <w:rPr>
                <w:sz w:val="20"/>
                <w:szCs w:val="20"/>
                <w:color w:val="auto"/>
              </w:rPr>
            </w:pPr>
            <w:r>
              <w:rPr>
                <w:rFonts w:ascii="Arial" w:cs="Arial" w:eastAsia="Arial" w:hAnsi="Arial"/>
                <w:sz w:val="17"/>
                <w:szCs w:val="17"/>
                <w:color w:val="auto"/>
                <w:w w:val="90"/>
              </w:rPr>
              <w:t>June 30, 2004</w:t>
            </w:r>
          </w:p>
        </w:tc>
        <w:tc>
          <w:tcPr>
            <w:tcW w:w="280" w:type="dxa"/>
            <w:vAlign w:val="bottom"/>
          </w:tcPr>
          <w:p>
            <w:pPr>
              <w:spacing w:after="0"/>
              <w:rPr>
                <w:sz w:val="19"/>
                <w:szCs w:val="19"/>
                <w:color w:val="auto"/>
              </w:rPr>
            </w:pPr>
          </w:p>
        </w:tc>
      </w:tr>
      <w:tr>
        <w:trPr>
          <w:trHeight w:val="362"/>
        </w:trPr>
        <w:tc>
          <w:tcPr>
            <w:tcW w:w="340" w:type="dxa"/>
            <w:vAlign w:val="bottom"/>
          </w:tcPr>
          <w:p>
            <w:pPr>
              <w:spacing w:after="0"/>
              <w:rPr>
                <w:sz w:val="24"/>
                <w:szCs w:val="24"/>
                <w:color w:val="auto"/>
              </w:rPr>
            </w:pPr>
          </w:p>
        </w:tc>
        <w:tc>
          <w:tcPr>
            <w:tcW w:w="10800" w:type="dxa"/>
            <w:vAlign w:val="bottom"/>
          </w:tcPr>
          <w:p>
            <w:pPr>
              <w:jc w:val="center"/>
              <w:spacing w:after="0"/>
              <w:rPr>
                <w:sz w:val="20"/>
                <w:szCs w:val="20"/>
                <w:color w:val="auto"/>
              </w:rPr>
            </w:pPr>
            <w:r>
              <w:rPr>
                <w:rFonts w:ascii="Arial" w:cs="Arial" w:eastAsia="Arial" w:hAnsi="Arial"/>
                <w:sz w:val="17"/>
                <w:szCs w:val="17"/>
                <w:b w:val="1"/>
                <w:bCs w:val="1"/>
                <w:color w:val="auto"/>
              </w:rPr>
              <w:t>TABLE OF CONTENTS</w:t>
            </w:r>
          </w:p>
        </w:tc>
        <w:tc>
          <w:tcPr>
            <w:tcW w:w="28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108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83"/>
              </w:rPr>
              <w:t>Page</w:t>
            </w:r>
          </w:p>
        </w:tc>
      </w:tr>
      <w:tr>
        <w:trPr>
          <w:trHeight w:val="94"/>
        </w:trPr>
        <w:tc>
          <w:tcPr>
            <w:tcW w:w="340" w:type="dxa"/>
            <w:vAlign w:val="bottom"/>
          </w:tcPr>
          <w:p>
            <w:pPr>
              <w:spacing w:after="0"/>
              <w:rPr>
                <w:sz w:val="8"/>
                <w:szCs w:val="8"/>
                <w:color w:val="auto"/>
              </w:rPr>
            </w:pPr>
          </w:p>
        </w:tc>
        <w:tc>
          <w:tcPr>
            <w:tcW w:w="108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3"/>
        </w:trPr>
        <w:tc>
          <w:tcPr>
            <w:tcW w:w="340" w:type="dxa"/>
            <w:vAlign w:val="bottom"/>
          </w:tcPr>
          <w:p>
            <w:pPr>
              <w:jc w:val="right"/>
              <w:ind w:right="113"/>
              <w:spacing w:after="0"/>
              <w:rPr>
                <w:sz w:val="20"/>
                <w:szCs w:val="20"/>
                <w:color w:val="auto"/>
              </w:rPr>
            </w:pPr>
            <w:r>
              <w:rPr>
                <w:rFonts w:ascii="Arial" w:cs="Arial" w:eastAsia="Arial" w:hAnsi="Arial"/>
                <w:sz w:val="17"/>
                <w:szCs w:val="17"/>
                <w:color w:val="auto"/>
                <w:w w:val="84"/>
              </w:rPr>
              <w:t>1.</w:t>
            </w:r>
          </w:p>
        </w:tc>
        <w:tc>
          <w:tcPr>
            <w:tcW w:w="10800" w:type="dxa"/>
            <w:vAlign w:val="bottom"/>
          </w:tcPr>
          <w:p>
            <w:pPr>
              <w:ind w:left="220"/>
              <w:spacing w:after="0"/>
              <w:rPr>
                <w:sz w:val="20"/>
                <w:szCs w:val="20"/>
                <w:color w:val="auto"/>
              </w:rPr>
            </w:pPr>
            <w:r>
              <w:rPr>
                <w:rFonts w:ascii="Arial" w:cs="Arial" w:eastAsia="Arial" w:hAnsi="Arial"/>
                <w:sz w:val="17"/>
                <w:szCs w:val="17"/>
                <w:color w:val="auto"/>
              </w:rPr>
              <w:t>Second Quarter 2004 Earnings Press Release</w:t>
            </w:r>
          </w:p>
        </w:tc>
        <w:tc>
          <w:tcPr>
            <w:tcW w:w="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15"/>
        </w:trPr>
        <w:tc>
          <w:tcPr>
            <w:tcW w:w="340" w:type="dxa"/>
            <w:vAlign w:val="bottom"/>
          </w:tcPr>
          <w:p>
            <w:pPr>
              <w:jc w:val="right"/>
              <w:ind w:right="113"/>
              <w:spacing w:after="0"/>
              <w:rPr>
                <w:sz w:val="20"/>
                <w:szCs w:val="20"/>
                <w:color w:val="auto"/>
              </w:rPr>
            </w:pPr>
            <w:r>
              <w:rPr>
                <w:rFonts w:ascii="Arial" w:cs="Arial" w:eastAsia="Arial" w:hAnsi="Arial"/>
                <w:sz w:val="17"/>
                <w:szCs w:val="17"/>
                <w:color w:val="auto"/>
                <w:w w:val="84"/>
              </w:rPr>
              <w:t>2.</w:t>
            </w:r>
          </w:p>
        </w:tc>
        <w:tc>
          <w:tcPr>
            <w:tcW w:w="10800" w:type="dxa"/>
            <w:vAlign w:val="bottom"/>
          </w:tcPr>
          <w:p>
            <w:pPr>
              <w:ind w:left="220"/>
              <w:spacing w:after="0"/>
              <w:rPr>
                <w:sz w:val="20"/>
                <w:szCs w:val="20"/>
                <w:color w:val="auto"/>
              </w:rPr>
            </w:pPr>
            <w:r>
              <w:rPr>
                <w:rFonts w:ascii="Arial" w:cs="Arial" w:eastAsia="Arial" w:hAnsi="Arial"/>
                <w:sz w:val="17"/>
                <w:szCs w:val="17"/>
                <w:color w:val="auto"/>
              </w:rPr>
              <w:t>Financial Highlights</w:t>
            </w:r>
          </w:p>
        </w:tc>
        <w:tc>
          <w:tcPr>
            <w:tcW w:w="280" w:type="dxa"/>
            <w:vAlign w:val="bottom"/>
          </w:tcPr>
          <w:p>
            <w:pPr>
              <w:spacing w:after="0"/>
              <w:rPr>
                <w:sz w:val="24"/>
                <w:szCs w:val="24"/>
                <w:color w:val="auto"/>
              </w:rPr>
            </w:pPr>
          </w:p>
        </w:tc>
      </w:tr>
      <w:tr>
        <w:trPr>
          <w:trHeight w:val="214"/>
        </w:trPr>
        <w:tc>
          <w:tcPr>
            <w:tcW w:w="340" w:type="dxa"/>
            <w:vAlign w:val="bottom"/>
          </w:tcPr>
          <w:p>
            <w:pPr>
              <w:spacing w:after="0"/>
              <w:rPr>
                <w:sz w:val="18"/>
                <w:szCs w:val="18"/>
                <w:color w:val="auto"/>
              </w:rPr>
            </w:pPr>
          </w:p>
        </w:tc>
        <w:tc>
          <w:tcPr>
            <w:tcW w:w="10800" w:type="dxa"/>
            <w:vAlign w:val="bottom"/>
          </w:tcPr>
          <w:p>
            <w:pPr>
              <w:ind w:left="960"/>
              <w:spacing w:after="0"/>
              <w:rPr>
                <w:sz w:val="20"/>
                <w:szCs w:val="20"/>
                <w:color w:val="auto"/>
              </w:rPr>
            </w:pPr>
            <w:r>
              <w:rPr>
                <w:rFonts w:ascii="Arial" w:cs="Arial" w:eastAsia="Arial" w:hAnsi="Arial"/>
                <w:sz w:val="17"/>
                <w:szCs w:val="17"/>
                <w:color w:val="auto"/>
              </w:rPr>
              <w:t>Summarized Operating Results</w:t>
            </w:r>
          </w:p>
        </w:tc>
        <w:tc>
          <w:tcPr>
            <w:tcW w:w="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4"/>
        </w:trPr>
        <w:tc>
          <w:tcPr>
            <w:tcW w:w="340" w:type="dxa"/>
            <w:vAlign w:val="bottom"/>
          </w:tcPr>
          <w:p>
            <w:pPr>
              <w:spacing w:after="0"/>
              <w:rPr>
                <w:sz w:val="18"/>
                <w:szCs w:val="18"/>
                <w:color w:val="auto"/>
              </w:rPr>
            </w:pPr>
          </w:p>
        </w:tc>
        <w:tc>
          <w:tcPr>
            <w:tcW w:w="10800" w:type="dxa"/>
            <w:vAlign w:val="bottom"/>
          </w:tcPr>
          <w:p>
            <w:pPr>
              <w:ind w:left="960"/>
              <w:spacing w:after="0"/>
              <w:rPr>
                <w:sz w:val="20"/>
                <w:szCs w:val="20"/>
                <w:color w:val="auto"/>
              </w:rPr>
            </w:pPr>
            <w:r>
              <w:rPr>
                <w:rFonts w:ascii="Arial" w:cs="Arial" w:eastAsia="Arial" w:hAnsi="Arial"/>
                <w:sz w:val="17"/>
                <w:szCs w:val="17"/>
                <w:color w:val="auto"/>
              </w:rPr>
              <w:t>Summarized Balance Sheet</w:t>
            </w:r>
          </w:p>
        </w:tc>
        <w:tc>
          <w:tcPr>
            <w:tcW w:w="2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4"/>
        </w:trPr>
        <w:tc>
          <w:tcPr>
            <w:tcW w:w="340" w:type="dxa"/>
            <w:vAlign w:val="bottom"/>
          </w:tcPr>
          <w:p>
            <w:pPr>
              <w:spacing w:after="0"/>
              <w:rPr>
                <w:sz w:val="18"/>
                <w:szCs w:val="18"/>
                <w:color w:val="auto"/>
              </w:rPr>
            </w:pPr>
          </w:p>
        </w:tc>
        <w:tc>
          <w:tcPr>
            <w:tcW w:w="10800" w:type="dxa"/>
            <w:vAlign w:val="bottom"/>
          </w:tcPr>
          <w:p>
            <w:pPr>
              <w:ind w:left="960"/>
              <w:spacing w:after="0"/>
              <w:rPr>
                <w:sz w:val="20"/>
                <w:szCs w:val="20"/>
                <w:color w:val="auto"/>
              </w:rPr>
            </w:pPr>
            <w:r>
              <w:rPr>
                <w:rFonts w:ascii="Arial" w:cs="Arial" w:eastAsia="Arial" w:hAnsi="Arial"/>
                <w:sz w:val="17"/>
                <w:szCs w:val="17"/>
                <w:color w:val="auto"/>
              </w:rPr>
              <w:t>Funds From Operations / Summary of Capital Expenditures</w:t>
            </w:r>
          </w:p>
        </w:tc>
        <w:tc>
          <w:tcPr>
            <w:tcW w:w="2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4"/>
        </w:trPr>
        <w:tc>
          <w:tcPr>
            <w:tcW w:w="340" w:type="dxa"/>
            <w:vAlign w:val="bottom"/>
          </w:tcPr>
          <w:p>
            <w:pPr>
              <w:spacing w:after="0"/>
              <w:rPr>
                <w:sz w:val="18"/>
                <w:szCs w:val="18"/>
                <w:color w:val="auto"/>
              </w:rPr>
            </w:pPr>
          </w:p>
        </w:tc>
        <w:tc>
          <w:tcPr>
            <w:tcW w:w="10800" w:type="dxa"/>
            <w:vAlign w:val="bottom"/>
          </w:tcPr>
          <w:p>
            <w:pPr>
              <w:ind w:left="960"/>
              <w:spacing w:after="0"/>
              <w:rPr>
                <w:sz w:val="20"/>
                <w:szCs w:val="20"/>
                <w:color w:val="auto"/>
              </w:rPr>
            </w:pPr>
            <w:r>
              <w:rPr>
                <w:rFonts w:ascii="Arial" w:cs="Arial" w:eastAsia="Arial" w:hAnsi="Arial"/>
                <w:sz w:val="17"/>
                <w:szCs w:val="17"/>
                <w:color w:val="auto"/>
              </w:rPr>
              <w:t>Market Data / Capital Availability</w:t>
            </w:r>
          </w:p>
        </w:tc>
        <w:tc>
          <w:tcPr>
            <w:tcW w:w="2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1"/>
        </w:trPr>
        <w:tc>
          <w:tcPr>
            <w:tcW w:w="340" w:type="dxa"/>
            <w:vAlign w:val="bottom"/>
          </w:tcPr>
          <w:p>
            <w:pPr>
              <w:spacing w:after="0"/>
              <w:rPr>
                <w:sz w:val="19"/>
                <w:szCs w:val="19"/>
                <w:color w:val="auto"/>
              </w:rPr>
            </w:pPr>
          </w:p>
        </w:tc>
        <w:tc>
          <w:tcPr>
            <w:tcW w:w="10800" w:type="dxa"/>
            <w:vAlign w:val="bottom"/>
          </w:tcPr>
          <w:p>
            <w:pPr>
              <w:ind w:left="960"/>
              <w:spacing w:after="0"/>
              <w:rPr>
                <w:sz w:val="20"/>
                <w:szCs w:val="20"/>
                <w:color w:val="auto"/>
              </w:rPr>
            </w:pPr>
            <w:r>
              <w:rPr>
                <w:rFonts w:ascii="Arial" w:cs="Arial" w:eastAsia="Arial" w:hAnsi="Arial"/>
                <w:sz w:val="17"/>
                <w:szCs w:val="17"/>
                <w:color w:val="auto"/>
              </w:rPr>
              <w:t>Operational Statistics</w:t>
            </w:r>
          </w:p>
        </w:tc>
        <w:tc>
          <w:tcPr>
            <w:tcW w:w="28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100" w:lineRule="exact"/>
        <w:rPr>
          <w:sz w:val="20"/>
          <w:szCs w:val="20"/>
          <w:color w:val="auto"/>
        </w:rPr>
      </w:pPr>
    </w:p>
    <w:p>
      <w:pPr>
        <w:ind w:left="560" w:hanging="553"/>
        <w:spacing w:after="0"/>
        <w:tabs>
          <w:tab w:leader="none" w:pos="5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 w:type="dxa"/>
            <w:vAlign w:val="bottom"/>
          </w:tcPr>
          <w:p>
            <w:pPr>
              <w:spacing w:after="0"/>
              <w:rPr>
                <w:sz w:val="18"/>
                <w:szCs w:val="18"/>
                <w:color w:val="auto"/>
              </w:rPr>
            </w:pPr>
          </w:p>
        </w:tc>
        <w:tc>
          <w:tcPr>
            <w:tcW w:w="7700" w:type="dxa"/>
            <w:vAlign w:val="bottom"/>
          </w:tcPr>
          <w:p>
            <w:pPr>
              <w:ind w:left="960"/>
              <w:spacing w:after="0"/>
              <w:rPr>
                <w:sz w:val="20"/>
                <w:szCs w:val="20"/>
                <w:color w:val="auto"/>
              </w:rPr>
            </w:pPr>
            <w:r>
              <w:rPr>
                <w:rFonts w:ascii="Arial" w:cs="Arial" w:eastAsia="Arial" w:hAnsi="Arial"/>
                <w:sz w:val="17"/>
                <w:szCs w:val="17"/>
                <w:color w:val="auto"/>
              </w:rPr>
              <w:t>Summary of Outstanding Debt</w:t>
            </w:r>
          </w:p>
        </w:tc>
        <w:tc>
          <w:tcPr>
            <w:tcW w:w="33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1"/>
        </w:trPr>
        <w:tc>
          <w:tcPr>
            <w:tcW w:w="340" w:type="dxa"/>
            <w:vAlign w:val="bottom"/>
          </w:tcPr>
          <w:p>
            <w:pPr>
              <w:spacing w:after="0"/>
              <w:rPr>
                <w:sz w:val="19"/>
                <w:szCs w:val="19"/>
                <w:color w:val="auto"/>
              </w:rPr>
            </w:pPr>
          </w:p>
        </w:tc>
        <w:tc>
          <w:tcPr>
            <w:tcW w:w="7700" w:type="dxa"/>
            <w:vAlign w:val="bottom"/>
          </w:tcPr>
          <w:p>
            <w:pPr>
              <w:ind w:left="960"/>
              <w:spacing w:after="0"/>
              <w:rPr>
                <w:sz w:val="20"/>
                <w:szCs w:val="20"/>
                <w:color w:val="auto"/>
              </w:rPr>
            </w:pPr>
            <w:r>
              <w:rPr>
                <w:rFonts w:ascii="Arial" w:cs="Arial" w:eastAsia="Arial" w:hAnsi="Arial"/>
                <w:sz w:val="17"/>
                <w:szCs w:val="17"/>
                <w:color w:val="auto"/>
              </w:rPr>
              <w:t>Summary of Debt Maturities</w:t>
            </w:r>
          </w:p>
        </w:tc>
        <w:tc>
          <w:tcPr>
            <w:tcW w:w="33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22"/>
        </w:trPr>
        <w:tc>
          <w:tcPr>
            <w:tcW w:w="340" w:type="dxa"/>
            <w:vAlign w:val="bottom"/>
          </w:tcPr>
          <w:p>
            <w:pPr>
              <w:jc w:val="right"/>
              <w:ind w:right="113"/>
              <w:spacing w:after="0"/>
              <w:rPr>
                <w:sz w:val="20"/>
                <w:szCs w:val="20"/>
                <w:color w:val="auto"/>
              </w:rPr>
            </w:pPr>
            <w:r>
              <w:rPr>
                <w:rFonts w:ascii="Arial" w:cs="Arial" w:eastAsia="Arial" w:hAnsi="Arial"/>
                <w:sz w:val="17"/>
                <w:szCs w:val="17"/>
                <w:color w:val="auto"/>
                <w:w w:val="84"/>
              </w:rPr>
              <w:t>4.</w:t>
            </w:r>
          </w:p>
        </w:tc>
        <w:tc>
          <w:tcPr>
            <w:tcW w:w="7700" w:type="dxa"/>
            <w:vAlign w:val="bottom"/>
          </w:tcPr>
          <w:p>
            <w:pPr>
              <w:ind w:left="220"/>
              <w:spacing w:after="0"/>
              <w:rPr>
                <w:sz w:val="20"/>
                <w:szCs w:val="20"/>
                <w:color w:val="auto"/>
              </w:rPr>
            </w:pPr>
            <w:r>
              <w:rPr>
                <w:rFonts w:ascii="Arial" w:cs="Arial" w:eastAsia="Arial" w:hAnsi="Arial"/>
                <w:sz w:val="17"/>
                <w:szCs w:val="17"/>
                <w:color w:val="auto"/>
              </w:rPr>
              <w:t>Summary of Redevelopment Opportunities and Santana Row</w:t>
            </w:r>
          </w:p>
        </w:tc>
        <w:tc>
          <w:tcPr>
            <w:tcW w:w="33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22"/>
        </w:trPr>
        <w:tc>
          <w:tcPr>
            <w:tcW w:w="340" w:type="dxa"/>
            <w:vAlign w:val="bottom"/>
          </w:tcPr>
          <w:p>
            <w:pPr>
              <w:jc w:val="right"/>
              <w:ind w:right="113"/>
              <w:spacing w:after="0"/>
              <w:rPr>
                <w:sz w:val="20"/>
                <w:szCs w:val="20"/>
                <w:color w:val="auto"/>
              </w:rPr>
            </w:pPr>
            <w:r>
              <w:rPr>
                <w:rFonts w:ascii="Arial" w:cs="Arial" w:eastAsia="Arial" w:hAnsi="Arial"/>
                <w:sz w:val="17"/>
                <w:szCs w:val="17"/>
                <w:color w:val="auto"/>
                <w:w w:val="84"/>
              </w:rPr>
              <w:t>5.</w:t>
            </w:r>
          </w:p>
        </w:tc>
        <w:tc>
          <w:tcPr>
            <w:tcW w:w="7700" w:type="dxa"/>
            <w:vAlign w:val="bottom"/>
          </w:tcPr>
          <w:p>
            <w:pPr>
              <w:ind w:left="220"/>
              <w:spacing w:after="0"/>
              <w:rPr>
                <w:sz w:val="20"/>
                <w:szCs w:val="20"/>
                <w:color w:val="auto"/>
              </w:rPr>
            </w:pPr>
            <w:r>
              <w:rPr>
                <w:rFonts w:ascii="Arial" w:cs="Arial" w:eastAsia="Arial" w:hAnsi="Arial"/>
                <w:sz w:val="17"/>
                <w:szCs w:val="17"/>
                <w:color w:val="auto"/>
              </w:rPr>
              <w:t>2004 Acquisitions and Dispositions</w:t>
            </w:r>
          </w:p>
        </w:tc>
        <w:tc>
          <w:tcPr>
            <w:tcW w:w="33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22"/>
        </w:trPr>
        <w:tc>
          <w:tcPr>
            <w:tcW w:w="340" w:type="dxa"/>
            <w:vAlign w:val="bottom"/>
          </w:tcPr>
          <w:p>
            <w:pPr>
              <w:jc w:val="right"/>
              <w:ind w:right="113"/>
              <w:spacing w:after="0"/>
              <w:rPr>
                <w:sz w:val="20"/>
                <w:szCs w:val="20"/>
                <w:color w:val="auto"/>
              </w:rPr>
            </w:pPr>
            <w:r>
              <w:rPr>
                <w:rFonts w:ascii="Arial" w:cs="Arial" w:eastAsia="Arial" w:hAnsi="Arial"/>
                <w:sz w:val="17"/>
                <w:szCs w:val="17"/>
                <w:color w:val="auto"/>
                <w:w w:val="84"/>
              </w:rPr>
              <w:t>6.</w:t>
            </w:r>
          </w:p>
        </w:tc>
        <w:tc>
          <w:tcPr>
            <w:tcW w:w="7700" w:type="dxa"/>
            <w:vAlign w:val="bottom"/>
          </w:tcPr>
          <w:p>
            <w:pPr>
              <w:ind w:left="220"/>
              <w:spacing w:after="0"/>
              <w:rPr>
                <w:sz w:val="20"/>
                <w:szCs w:val="20"/>
                <w:color w:val="auto"/>
              </w:rPr>
            </w:pPr>
            <w:r>
              <w:rPr>
                <w:rFonts w:ascii="Arial" w:cs="Arial" w:eastAsia="Arial" w:hAnsi="Arial"/>
                <w:sz w:val="17"/>
                <w:szCs w:val="17"/>
                <w:color w:val="auto"/>
              </w:rPr>
              <w:t>Real Estate Status Report</w:t>
            </w:r>
          </w:p>
        </w:tc>
        <w:tc>
          <w:tcPr>
            <w:tcW w:w="33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22"/>
        </w:trPr>
        <w:tc>
          <w:tcPr>
            <w:tcW w:w="340" w:type="dxa"/>
            <w:vAlign w:val="bottom"/>
          </w:tcPr>
          <w:p>
            <w:pPr>
              <w:jc w:val="right"/>
              <w:ind w:right="113"/>
              <w:spacing w:after="0"/>
              <w:rPr>
                <w:sz w:val="20"/>
                <w:szCs w:val="20"/>
                <w:color w:val="auto"/>
              </w:rPr>
            </w:pPr>
            <w:r>
              <w:rPr>
                <w:rFonts w:ascii="Arial" w:cs="Arial" w:eastAsia="Arial" w:hAnsi="Arial"/>
                <w:sz w:val="17"/>
                <w:szCs w:val="17"/>
                <w:color w:val="auto"/>
                <w:w w:val="84"/>
              </w:rPr>
              <w:t>7.</w:t>
            </w:r>
          </w:p>
        </w:tc>
        <w:tc>
          <w:tcPr>
            <w:tcW w:w="7700" w:type="dxa"/>
            <w:vAlign w:val="bottom"/>
          </w:tcPr>
          <w:p>
            <w:pPr>
              <w:ind w:left="220"/>
              <w:spacing w:after="0"/>
              <w:rPr>
                <w:sz w:val="20"/>
                <w:szCs w:val="20"/>
                <w:color w:val="auto"/>
              </w:rPr>
            </w:pPr>
            <w:r>
              <w:rPr>
                <w:rFonts w:ascii="Arial" w:cs="Arial" w:eastAsia="Arial" w:hAnsi="Arial"/>
                <w:sz w:val="17"/>
                <w:szCs w:val="17"/>
                <w:color w:val="auto"/>
              </w:rPr>
              <w:t>Shopping Center / Street Retail Summary</w:t>
            </w:r>
          </w:p>
        </w:tc>
        <w:tc>
          <w:tcPr>
            <w:tcW w:w="3380" w:type="dxa"/>
            <w:vAlign w:val="bottom"/>
          </w:tcPr>
          <w:p>
            <w:pPr>
              <w:jc w:val="right"/>
              <w:spacing w:after="0"/>
              <w:rPr>
                <w:sz w:val="20"/>
                <w:szCs w:val="20"/>
                <w:color w:val="auto"/>
              </w:rPr>
            </w:pPr>
            <w:r>
              <w:rPr>
                <w:rFonts w:ascii="Arial" w:cs="Arial" w:eastAsia="Arial" w:hAnsi="Arial"/>
                <w:sz w:val="17"/>
                <w:szCs w:val="17"/>
                <w:color w:val="auto"/>
              </w:rPr>
              <w:t>18</w:t>
            </w:r>
          </w:p>
        </w:tc>
      </w:tr>
    </w:tbl>
    <w:p>
      <w:pPr>
        <w:spacing w:after="0" w:line="100" w:lineRule="exact"/>
        <w:rPr>
          <w:sz w:val="20"/>
          <w:szCs w:val="20"/>
          <w:color w:val="auto"/>
        </w:rPr>
      </w:pPr>
    </w:p>
    <w:p>
      <w:pPr>
        <w:ind w:left="560" w:hanging="553"/>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Leasing Summary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 w:type="dxa"/>
            <w:vAlign w:val="bottom"/>
          </w:tcPr>
          <w:p>
            <w:pPr>
              <w:spacing w:after="0"/>
              <w:rPr>
                <w:sz w:val="18"/>
                <w:szCs w:val="18"/>
                <w:color w:val="auto"/>
              </w:rPr>
            </w:pPr>
          </w:p>
        </w:tc>
        <w:tc>
          <w:tcPr>
            <w:tcW w:w="7400" w:type="dxa"/>
            <w:vAlign w:val="bottom"/>
          </w:tcPr>
          <w:p>
            <w:pPr>
              <w:ind w:left="900"/>
              <w:spacing w:after="0"/>
              <w:rPr>
                <w:sz w:val="20"/>
                <w:szCs w:val="20"/>
                <w:color w:val="auto"/>
              </w:rPr>
            </w:pPr>
            <w:r>
              <w:rPr>
                <w:rFonts w:ascii="Arial" w:cs="Arial" w:eastAsia="Arial" w:hAnsi="Arial"/>
                <w:sz w:val="17"/>
                <w:szCs w:val="17"/>
                <w:color w:val="auto"/>
              </w:rPr>
              <w:t>Retail Leasing Summary – Comparable</w:t>
            </w:r>
          </w:p>
        </w:tc>
        <w:tc>
          <w:tcPr>
            <w:tcW w:w="36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1"/>
        </w:trPr>
        <w:tc>
          <w:tcPr>
            <w:tcW w:w="400" w:type="dxa"/>
            <w:vAlign w:val="bottom"/>
          </w:tcPr>
          <w:p>
            <w:pPr>
              <w:spacing w:after="0"/>
              <w:rPr>
                <w:sz w:val="19"/>
                <w:szCs w:val="19"/>
                <w:color w:val="auto"/>
              </w:rPr>
            </w:pPr>
          </w:p>
        </w:tc>
        <w:tc>
          <w:tcPr>
            <w:tcW w:w="7400" w:type="dxa"/>
            <w:vAlign w:val="bottom"/>
          </w:tcPr>
          <w:p>
            <w:pPr>
              <w:ind w:left="900"/>
              <w:spacing w:after="0"/>
              <w:rPr>
                <w:sz w:val="20"/>
                <w:szCs w:val="20"/>
                <w:color w:val="auto"/>
              </w:rPr>
            </w:pPr>
            <w:r>
              <w:rPr>
                <w:rFonts w:ascii="Arial" w:cs="Arial" w:eastAsia="Arial" w:hAnsi="Arial"/>
                <w:sz w:val="17"/>
                <w:szCs w:val="17"/>
                <w:color w:val="auto"/>
              </w:rPr>
              <w:t>Retail Leasing Summary – Non-comparable</w:t>
            </w:r>
          </w:p>
        </w:tc>
        <w:tc>
          <w:tcPr>
            <w:tcW w:w="36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22"/>
        </w:trPr>
        <w:tc>
          <w:tcPr>
            <w:tcW w:w="400" w:type="dxa"/>
            <w:vAlign w:val="bottom"/>
          </w:tcPr>
          <w:p>
            <w:pPr>
              <w:spacing w:after="0"/>
              <w:rPr>
                <w:sz w:val="20"/>
                <w:szCs w:val="20"/>
                <w:color w:val="auto"/>
              </w:rPr>
            </w:pPr>
            <w:r>
              <w:rPr>
                <w:rFonts w:ascii="Arial" w:cs="Arial" w:eastAsia="Arial" w:hAnsi="Arial"/>
                <w:sz w:val="17"/>
                <w:szCs w:val="17"/>
                <w:color w:val="auto"/>
              </w:rPr>
              <w:t>9.</w:t>
            </w:r>
          </w:p>
        </w:tc>
        <w:tc>
          <w:tcPr>
            <w:tcW w:w="7400" w:type="dxa"/>
            <w:vAlign w:val="bottom"/>
          </w:tcPr>
          <w:p>
            <w:pPr>
              <w:ind w:left="160"/>
              <w:spacing w:after="0"/>
              <w:rPr>
                <w:sz w:val="20"/>
                <w:szCs w:val="20"/>
                <w:color w:val="auto"/>
              </w:rPr>
            </w:pPr>
            <w:r>
              <w:rPr>
                <w:rFonts w:ascii="Arial" w:cs="Arial" w:eastAsia="Arial" w:hAnsi="Arial"/>
                <w:sz w:val="17"/>
                <w:szCs w:val="17"/>
                <w:color w:val="auto"/>
              </w:rPr>
              <w:t>Lease Expirations</w:t>
            </w:r>
          </w:p>
        </w:tc>
        <w:tc>
          <w:tcPr>
            <w:tcW w:w="36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22"/>
        </w:trPr>
        <w:tc>
          <w:tcPr>
            <w:tcW w:w="400" w:type="dxa"/>
            <w:vAlign w:val="bottom"/>
          </w:tcPr>
          <w:p>
            <w:pPr>
              <w:spacing w:after="0"/>
              <w:rPr>
                <w:sz w:val="20"/>
                <w:szCs w:val="20"/>
                <w:color w:val="auto"/>
              </w:rPr>
            </w:pPr>
            <w:r>
              <w:rPr>
                <w:rFonts w:ascii="Arial" w:cs="Arial" w:eastAsia="Arial" w:hAnsi="Arial"/>
                <w:sz w:val="17"/>
                <w:szCs w:val="17"/>
                <w:color w:val="auto"/>
              </w:rPr>
              <w:t>10.</w:t>
            </w:r>
          </w:p>
        </w:tc>
        <w:tc>
          <w:tcPr>
            <w:tcW w:w="7400" w:type="dxa"/>
            <w:vAlign w:val="bottom"/>
          </w:tcPr>
          <w:p>
            <w:pPr>
              <w:ind w:left="160"/>
              <w:spacing w:after="0"/>
              <w:rPr>
                <w:sz w:val="20"/>
                <w:szCs w:val="20"/>
                <w:color w:val="auto"/>
              </w:rPr>
            </w:pPr>
            <w:r>
              <w:rPr>
                <w:rFonts w:ascii="Arial" w:cs="Arial" w:eastAsia="Arial" w:hAnsi="Arial"/>
                <w:sz w:val="17"/>
                <w:szCs w:val="17"/>
                <w:color w:val="auto"/>
              </w:rPr>
              <w:t>Portfolio Leasing Statistics</w:t>
            </w:r>
          </w:p>
        </w:tc>
        <w:tc>
          <w:tcPr>
            <w:tcW w:w="36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22"/>
        </w:trPr>
        <w:tc>
          <w:tcPr>
            <w:tcW w:w="400" w:type="dxa"/>
            <w:vAlign w:val="bottom"/>
          </w:tcPr>
          <w:p>
            <w:pPr>
              <w:spacing w:after="0"/>
              <w:rPr>
                <w:sz w:val="20"/>
                <w:szCs w:val="20"/>
                <w:color w:val="auto"/>
              </w:rPr>
            </w:pPr>
            <w:r>
              <w:rPr>
                <w:rFonts w:ascii="Arial" w:cs="Arial" w:eastAsia="Arial" w:hAnsi="Arial"/>
                <w:sz w:val="17"/>
                <w:szCs w:val="17"/>
                <w:color w:val="auto"/>
              </w:rPr>
              <w:t>11.</w:t>
            </w:r>
          </w:p>
        </w:tc>
        <w:tc>
          <w:tcPr>
            <w:tcW w:w="7400" w:type="dxa"/>
            <w:vAlign w:val="bottom"/>
          </w:tcPr>
          <w:p>
            <w:pPr>
              <w:ind w:left="160"/>
              <w:spacing w:after="0"/>
              <w:rPr>
                <w:sz w:val="20"/>
                <w:szCs w:val="20"/>
                <w:color w:val="auto"/>
              </w:rPr>
            </w:pPr>
            <w:r>
              <w:rPr>
                <w:rFonts w:ascii="Arial" w:cs="Arial" w:eastAsia="Arial" w:hAnsi="Arial"/>
                <w:sz w:val="17"/>
                <w:szCs w:val="17"/>
                <w:color w:val="auto"/>
              </w:rPr>
              <w:t>Summary of Top 25 Tenants</w:t>
            </w:r>
          </w:p>
        </w:tc>
        <w:tc>
          <w:tcPr>
            <w:tcW w:w="36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22"/>
        </w:trPr>
        <w:tc>
          <w:tcPr>
            <w:tcW w:w="400" w:type="dxa"/>
            <w:vAlign w:val="bottom"/>
          </w:tcPr>
          <w:p>
            <w:pPr>
              <w:spacing w:after="0"/>
              <w:rPr>
                <w:sz w:val="20"/>
                <w:szCs w:val="20"/>
                <w:color w:val="auto"/>
              </w:rPr>
            </w:pPr>
            <w:r>
              <w:rPr>
                <w:rFonts w:ascii="Arial" w:cs="Arial" w:eastAsia="Arial" w:hAnsi="Arial"/>
                <w:sz w:val="17"/>
                <w:szCs w:val="17"/>
                <w:color w:val="auto"/>
              </w:rPr>
              <w:t>12.</w:t>
            </w:r>
          </w:p>
        </w:tc>
        <w:tc>
          <w:tcPr>
            <w:tcW w:w="7400" w:type="dxa"/>
            <w:vAlign w:val="bottom"/>
          </w:tcPr>
          <w:p>
            <w:pPr>
              <w:ind w:left="160"/>
              <w:spacing w:after="0"/>
              <w:rPr>
                <w:sz w:val="20"/>
                <w:szCs w:val="20"/>
                <w:color w:val="auto"/>
              </w:rPr>
            </w:pPr>
            <w:r>
              <w:rPr>
                <w:rFonts w:ascii="Arial" w:cs="Arial" w:eastAsia="Arial" w:hAnsi="Arial"/>
                <w:sz w:val="17"/>
                <w:szCs w:val="17"/>
                <w:color w:val="auto"/>
              </w:rPr>
              <w:t>2003 Sales/Occupancy Costs</w:t>
            </w:r>
          </w:p>
        </w:tc>
        <w:tc>
          <w:tcPr>
            <w:tcW w:w="36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22"/>
        </w:trPr>
        <w:tc>
          <w:tcPr>
            <w:tcW w:w="400" w:type="dxa"/>
            <w:vAlign w:val="bottom"/>
          </w:tcPr>
          <w:p>
            <w:pPr>
              <w:spacing w:after="0"/>
              <w:rPr>
                <w:sz w:val="20"/>
                <w:szCs w:val="20"/>
                <w:color w:val="auto"/>
              </w:rPr>
            </w:pPr>
            <w:r>
              <w:rPr>
                <w:rFonts w:ascii="Arial" w:cs="Arial" w:eastAsia="Arial" w:hAnsi="Arial"/>
                <w:sz w:val="17"/>
                <w:szCs w:val="17"/>
                <w:color w:val="auto"/>
              </w:rPr>
              <w:t>13.</w:t>
            </w:r>
          </w:p>
        </w:tc>
        <w:tc>
          <w:tcPr>
            <w:tcW w:w="7400" w:type="dxa"/>
            <w:vAlign w:val="bottom"/>
          </w:tcPr>
          <w:p>
            <w:pPr>
              <w:ind w:left="160"/>
              <w:spacing w:after="0"/>
              <w:rPr>
                <w:sz w:val="20"/>
                <w:szCs w:val="20"/>
                <w:color w:val="auto"/>
              </w:rPr>
            </w:pPr>
            <w:r>
              <w:rPr>
                <w:rFonts w:ascii="Arial" w:cs="Arial" w:eastAsia="Arial" w:hAnsi="Arial"/>
                <w:sz w:val="17"/>
                <w:szCs w:val="17"/>
                <w:color w:val="auto"/>
              </w:rPr>
              <w:t>Reconciliation of 2004 EPS to 2004 FFO Guidance</w:t>
            </w:r>
          </w:p>
        </w:tc>
        <w:tc>
          <w:tcPr>
            <w:tcW w:w="36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22"/>
        </w:trPr>
        <w:tc>
          <w:tcPr>
            <w:tcW w:w="400" w:type="dxa"/>
            <w:vAlign w:val="bottom"/>
          </w:tcPr>
          <w:p>
            <w:pPr>
              <w:spacing w:after="0"/>
              <w:rPr>
                <w:sz w:val="20"/>
                <w:szCs w:val="20"/>
                <w:color w:val="auto"/>
              </w:rPr>
            </w:pPr>
            <w:r>
              <w:rPr>
                <w:rFonts w:ascii="Arial" w:cs="Arial" w:eastAsia="Arial" w:hAnsi="Arial"/>
                <w:sz w:val="17"/>
                <w:szCs w:val="17"/>
                <w:color w:val="auto"/>
              </w:rPr>
              <w:t>14.</w:t>
            </w:r>
          </w:p>
        </w:tc>
        <w:tc>
          <w:tcPr>
            <w:tcW w:w="7400" w:type="dxa"/>
            <w:vAlign w:val="bottom"/>
          </w:tcPr>
          <w:p>
            <w:pPr>
              <w:ind w:left="160"/>
              <w:spacing w:after="0"/>
              <w:rPr>
                <w:sz w:val="20"/>
                <w:szCs w:val="20"/>
                <w:color w:val="auto"/>
              </w:rPr>
            </w:pPr>
            <w:r>
              <w:rPr>
                <w:rFonts w:ascii="Arial" w:cs="Arial" w:eastAsia="Arial" w:hAnsi="Arial"/>
                <w:sz w:val="17"/>
                <w:szCs w:val="17"/>
                <w:color w:val="auto"/>
              </w:rPr>
              <w:t>Glossary of Terms</w:t>
            </w:r>
          </w:p>
        </w:tc>
        <w:tc>
          <w:tcPr>
            <w:tcW w:w="3620" w:type="dxa"/>
            <w:vAlign w:val="bottom"/>
          </w:tcPr>
          <w:p>
            <w:pPr>
              <w:jc w:val="right"/>
              <w:spacing w:after="0"/>
              <w:rPr>
                <w:sz w:val="20"/>
                <w:szCs w:val="20"/>
                <w:color w:val="auto"/>
              </w:rPr>
            </w:pPr>
            <w:r>
              <w:rPr>
                <w:rFonts w:ascii="Arial" w:cs="Arial" w:eastAsia="Arial" w:hAnsi="Arial"/>
                <w:sz w:val="17"/>
                <w:szCs w:val="17"/>
                <w:color w:val="auto"/>
              </w:rPr>
              <w:t>26</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pacing w:after="0" w:line="159"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 looking statements within the meaning of the federal securities laws. Although we believe the expectations reflected in the forward looking statements are based on reasonable assumptions, we can give no assurance that our expectations will be attained. The factors that may impact these expectations include:</w:t>
      </w:r>
    </w:p>
    <w:p>
      <w:pPr>
        <w:spacing w:after="0" w:line="31" w:lineRule="exact"/>
        <w:rPr>
          <w:sz w:val="20"/>
          <w:szCs w:val="20"/>
          <w:color w:val="auto"/>
        </w:rPr>
      </w:pPr>
    </w:p>
    <w:p>
      <w:pPr>
        <w:ind w:left="800" w:hanging="337"/>
        <w:spacing w:after="0"/>
        <w:tabs>
          <w:tab w:leader="none" w:pos="8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growth will be limited if additional capital cannot be obtained;</w:t>
      </w:r>
    </w:p>
    <w:p>
      <w:pPr>
        <w:spacing w:after="0" w:line="85" w:lineRule="exact"/>
        <w:rPr>
          <w:rFonts w:ascii="Arial" w:cs="Arial" w:eastAsia="Arial" w:hAnsi="Arial"/>
          <w:sz w:val="17"/>
          <w:szCs w:val="17"/>
          <w:i w:val="1"/>
          <w:iCs w:val="1"/>
          <w:color w:val="auto"/>
        </w:rPr>
      </w:pPr>
    </w:p>
    <w:p>
      <w:pPr>
        <w:ind w:left="800" w:right="240" w:hanging="337"/>
        <w:spacing w:after="0" w:line="323" w:lineRule="auto"/>
        <w:tabs>
          <w:tab w:leader="none" w:pos="8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of financing, such as our ability to consummate additional financings or obtain replacement financing on terms which are acceptable to us, our ability to meet existing financial covenants and the possibility of increases in interest rates that would result in increased interest expense;</w:t>
      </w:r>
    </w:p>
    <w:p>
      <w:pPr>
        <w:ind w:left="800" w:right="180" w:hanging="337"/>
        <w:spacing w:after="0" w:line="273" w:lineRule="auto"/>
        <w:tabs>
          <w:tab w:leader="none" w:pos="8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tenants will not pay rent or that we may be unable to renew leases or relet space at favorable rents as leases expire, that new acquisitions or development, construction and renovation projects may fail to perform as expected, that competition for acquisitions could result in increased prices, that there may be environmental risks at our properties, and, because real estate is illiquid, that we may not be able to sell properties when appropriate;</w:t>
      </w:r>
    </w:p>
    <w:p>
      <w:pPr>
        <w:spacing w:after="0" w:line="34" w:lineRule="exact"/>
        <w:rPr>
          <w:rFonts w:ascii="Arial" w:cs="Arial" w:eastAsia="Arial" w:hAnsi="Arial"/>
          <w:sz w:val="17"/>
          <w:szCs w:val="17"/>
          <w:i w:val="1"/>
          <w:iCs w:val="1"/>
          <w:color w:val="auto"/>
        </w:rPr>
      </w:pPr>
    </w:p>
    <w:p>
      <w:pPr>
        <w:ind w:left="800" w:right="140" w:hanging="337"/>
        <w:spacing w:after="0" w:line="344" w:lineRule="auto"/>
        <w:tabs>
          <w:tab w:leader="none" w:pos="80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risks related to our status as a REIT for federal income tax purposes, such as the existence of complex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5"/>
          <w:szCs w:val="15"/>
          <w:i w:val="1"/>
          <w:iCs w:val="1"/>
          <w:color w:val="auto"/>
        </w:rPr>
      </w:pPr>
    </w:p>
    <w:p>
      <w:pPr>
        <w:ind w:left="800" w:right="380" w:hanging="337"/>
        <w:spacing w:after="0" w:line="294" w:lineRule="auto"/>
        <w:tabs>
          <w:tab w:leader="none" w:pos="8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those risks detailed from time to time in our SEC reports, including our current report on Form 8-K filed with the SEC on March 11, 2004, and our annual report on Form 10-K filed with the SEC on March 15, 2004, as amended.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Federal Realty assumes no obligation to update or supplement forward-looking statements that become untrue because of subsequent events.</w:t>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7"/>
        </w:trPr>
        <w:tc>
          <w:tcPr>
            <w:tcW w:w="5840" w:type="dxa"/>
            <w:vAlign w:val="bottom"/>
            <w:gridSpan w:val="3"/>
          </w:tcPr>
          <w:p>
            <w:pPr>
              <w:spacing w:after="0"/>
              <w:rPr>
                <w:sz w:val="20"/>
                <w:szCs w:val="20"/>
                <w:color w:val="auto"/>
              </w:rPr>
            </w:pPr>
            <w:r>
              <w:rPr>
                <w:rFonts w:ascii="Arial" w:cs="Arial" w:eastAsia="Arial" w:hAnsi="Arial"/>
                <w:sz w:val="17"/>
                <w:szCs w:val="17"/>
                <w:b w:val="1"/>
                <w:bCs w:val="1"/>
                <w:color w:val="auto"/>
              </w:rPr>
              <w:t>FOR IMMEDIATE RELEASE</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23"/>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5"/>
              </w:rPr>
              <w:t>Investor Inquiries</w:t>
            </w:r>
          </w:p>
        </w:tc>
        <w:tc>
          <w:tcPr>
            <w:tcW w:w="4580" w:type="dxa"/>
            <w:vAlign w:val="bottom"/>
            <w:gridSpan w:val="2"/>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5"/>
              </w:rPr>
              <w:t>Media Inquiries</w:t>
            </w:r>
          </w:p>
        </w:tc>
        <w:tc>
          <w:tcPr>
            <w:tcW w:w="1460" w:type="dxa"/>
            <w:vAlign w:val="bottom"/>
            <w:gridSpan w:val="2"/>
          </w:tcPr>
          <w:p>
            <w:pPr>
              <w:spacing w:after="0"/>
              <w:rPr>
                <w:sz w:val="24"/>
                <w:szCs w:val="24"/>
                <w:color w:val="auto"/>
              </w:rPr>
            </w:pPr>
          </w:p>
        </w:tc>
      </w:tr>
      <w:tr>
        <w:trPr>
          <w:trHeight w:val="226"/>
        </w:trPr>
        <w:tc>
          <w:tcPr>
            <w:tcW w:w="5840" w:type="dxa"/>
            <w:vAlign w:val="bottom"/>
            <w:gridSpan w:val="3"/>
          </w:tcPr>
          <w:p>
            <w:pPr>
              <w:spacing w:after="0"/>
              <w:rPr>
                <w:sz w:val="20"/>
                <w:szCs w:val="20"/>
                <w:color w:val="auto"/>
              </w:rPr>
            </w:pPr>
            <w:r>
              <w:rPr>
                <w:rFonts w:ascii="Arial" w:cs="Arial" w:eastAsia="Arial" w:hAnsi="Arial"/>
                <w:sz w:val="17"/>
                <w:szCs w:val="17"/>
                <w:color w:val="auto"/>
              </w:rPr>
              <w:t>Andrew Blocher</w:t>
            </w:r>
          </w:p>
        </w:tc>
        <w:tc>
          <w:tcPr>
            <w:tcW w:w="2580" w:type="dxa"/>
            <w:vAlign w:val="bottom"/>
            <w:gridSpan w:val="3"/>
          </w:tcPr>
          <w:p>
            <w:pPr>
              <w:spacing w:after="0"/>
              <w:rPr>
                <w:sz w:val="20"/>
                <w:szCs w:val="20"/>
                <w:color w:val="auto"/>
              </w:rPr>
            </w:pPr>
            <w:r>
              <w:rPr>
                <w:rFonts w:ascii="Arial" w:cs="Arial" w:eastAsia="Arial" w:hAnsi="Arial"/>
                <w:sz w:val="17"/>
                <w:szCs w:val="17"/>
                <w:color w:val="auto"/>
              </w:rPr>
              <w:t>Kristine Warner</w:t>
            </w:r>
          </w:p>
        </w:tc>
      </w:tr>
      <w:tr>
        <w:trPr>
          <w:trHeight w:val="214"/>
        </w:trPr>
        <w:tc>
          <w:tcPr>
            <w:tcW w:w="5840" w:type="dxa"/>
            <w:vAlign w:val="bottom"/>
            <w:gridSpan w:val="3"/>
          </w:tcPr>
          <w:p>
            <w:pPr>
              <w:spacing w:after="0"/>
              <w:rPr>
                <w:sz w:val="20"/>
                <w:szCs w:val="20"/>
                <w:color w:val="auto"/>
              </w:rPr>
            </w:pPr>
            <w:r>
              <w:rPr>
                <w:rFonts w:ascii="Arial" w:cs="Arial" w:eastAsia="Arial" w:hAnsi="Arial"/>
                <w:sz w:val="17"/>
                <w:szCs w:val="17"/>
                <w:color w:val="auto"/>
              </w:rPr>
              <w:t>Vice President, Capital Markets &amp; Investor Relations</w:t>
            </w:r>
          </w:p>
        </w:tc>
        <w:tc>
          <w:tcPr>
            <w:tcW w:w="2580" w:type="dxa"/>
            <w:vAlign w:val="bottom"/>
            <w:gridSpan w:val="3"/>
          </w:tcPr>
          <w:p>
            <w:pPr>
              <w:spacing w:after="0"/>
              <w:rPr>
                <w:sz w:val="20"/>
                <w:szCs w:val="20"/>
                <w:color w:val="auto"/>
              </w:rPr>
            </w:pPr>
            <w:r>
              <w:rPr>
                <w:rFonts w:ascii="Arial" w:cs="Arial" w:eastAsia="Arial" w:hAnsi="Arial"/>
                <w:sz w:val="17"/>
                <w:szCs w:val="17"/>
                <w:color w:val="auto"/>
                <w:w w:val="92"/>
              </w:rPr>
              <w:t>Director, Corporate Communications</w:t>
            </w:r>
          </w:p>
        </w:tc>
      </w:tr>
      <w:tr>
        <w:trPr>
          <w:trHeight w:val="214"/>
        </w:trPr>
        <w:tc>
          <w:tcPr>
            <w:tcW w:w="1260" w:type="dxa"/>
            <w:vAlign w:val="bottom"/>
          </w:tcPr>
          <w:p>
            <w:pPr>
              <w:spacing w:after="0"/>
              <w:rPr>
                <w:sz w:val="20"/>
                <w:szCs w:val="20"/>
                <w:color w:val="auto"/>
              </w:rPr>
            </w:pPr>
            <w:r>
              <w:rPr>
                <w:rFonts w:ascii="Arial" w:cs="Arial" w:eastAsia="Arial" w:hAnsi="Arial"/>
                <w:sz w:val="17"/>
                <w:szCs w:val="17"/>
                <w:color w:val="auto"/>
              </w:rPr>
              <w:t>301/998-8166</w:t>
            </w:r>
          </w:p>
        </w:tc>
        <w:tc>
          <w:tcPr>
            <w:tcW w:w="7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301/998-8212</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83"/>
        </w:trPr>
        <w:tc>
          <w:tcPr>
            <w:tcW w:w="5840" w:type="dxa"/>
            <w:vAlign w:val="bottom"/>
            <w:gridSpan w:val="3"/>
          </w:tcPr>
          <w:p>
            <w:pPr>
              <w:spacing w:after="0" w:line="183" w:lineRule="exact"/>
              <w:rPr>
                <w:sz w:val="20"/>
                <w:szCs w:val="20"/>
                <w:color w:val="auto"/>
              </w:rPr>
            </w:pPr>
            <w:r>
              <w:rPr>
                <w:rFonts w:ascii="Arial" w:cs="Arial" w:eastAsia="Arial" w:hAnsi="Arial"/>
                <w:sz w:val="17"/>
                <w:szCs w:val="17"/>
                <w:i w:val="1"/>
                <w:iCs w:val="1"/>
                <w:color w:val="auto"/>
              </w:rPr>
              <w:t>ablocher@federalrealty.com</w:t>
            </w:r>
          </w:p>
        </w:tc>
        <w:tc>
          <w:tcPr>
            <w:tcW w:w="2580" w:type="dxa"/>
            <w:vAlign w:val="bottom"/>
            <w:gridSpan w:val="3"/>
          </w:tcPr>
          <w:p>
            <w:pPr>
              <w:spacing w:after="0" w:line="183" w:lineRule="exact"/>
              <w:rPr>
                <w:sz w:val="20"/>
                <w:szCs w:val="20"/>
                <w:color w:val="auto"/>
              </w:rPr>
            </w:pPr>
            <w:r>
              <w:rPr>
                <w:rFonts w:ascii="Arial" w:cs="Arial" w:eastAsia="Arial" w:hAnsi="Arial"/>
                <w:sz w:val="17"/>
                <w:szCs w:val="17"/>
                <w:i w:val="1"/>
                <w:iCs w:val="1"/>
                <w:color w:val="auto"/>
              </w:rPr>
              <w:t>kwarner@federalrealty.com</w:t>
            </w:r>
          </w:p>
        </w:tc>
      </w:tr>
      <w:tr>
        <w:trPr>
          <w:trHeight w:val="20"/>
        </w:trPr>
        <w:tc>
          <w:tcPr>
            <w:tcW w:w="1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b w:val="1"/>
          <w:bCs w:val="1"/>
          <w:color w:val="auto"/>
        </w:rPr>
        <w:t>FEDERAL REALTY INVESTMENT TRUST ANNOUNCES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SECOND QUARTER 2004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ROCKVILLE, Md. (July 28, 2004) – Federal Realty Investment Trust (NYSE:FRT) today reported operating results for its second quarter ended June 30, 2004.</w:t>
      </w:r>
    </w:p>
    <w:p>
      <w:pPr>
        <w:spacing w:after="0" w:line="91" w:lineRule="exact"/>
        <w:rPr>
          <w:sz w:val="20"/>
          <w:szCs w:val="20"/>
          <w:color w:val="auto"/>
        </w:rPr>
      </w:pPr>
    </w:p>
    <w:p>
      <w:pPr>
        <w:ind w:left="800" w:hanging="337"/>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For the second quarter 2004, Funds from Operations (FFO) per diluted share was $0.73 and earnings per diluted share was $0.45.</w:t>
      </w:r>
    </w:p>
    <w:p>
      <w:pPr>
        <w:spacing w:after="0" w:line="85" w:lineRule="exact"/>
        <w:rPr>
          <w:rFonts w:ascii="Arial" w:cs="Arial" w:eastAsia="Arial" w:hAnsi="Arial"/>
          <w:sz w:val="17"/>
          <w:szCs w:val="17"/>
          <w:color w:val="auto"/>
        </w:rPr>
      </w:pPr>
    </w:p>
    <w:p>
      <w:pPr>
        <w:ind w:left="800" w:right="440" w:hanging="337"/>
        <w:spacing w:after="0" w:line="302"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When compared to second quarter 2003, same-center property operating income increased 4.4% excluding redevelopment and expansion properties.</w:t>
      </w:r>
    </w:p>
    <w:p>
      <w:pPr>
        <w:spacing w:after="0" w:line="3" w:lineRule="exact"/>
        <w:rPr>
          <w:rFonts w:ascii="Arial" w:cs="Arial" w:eastAsia="Arial" w:hAnsi="Arial"/>
          <w:sz w:val="17"/>
          <w:szCs w:val="17"/>
          <w:color w:val="auto"/>
        </w:rPr>
      </w:pPr>
    </w:p>
    <w:p>
      <w:pPr>
        <w:ind w:left="800" w:hanging="337"/>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Contractual rent increases on lease rollovers were 14% for the second quarter on a record 481,000 square feet of comparable retail space.</w:t>
      </w:r>
    </w:p>
    <w:p>
      <w:pPr>
        <w:spacing w:after="0" w:line="97" w:lineRule="exact"/>
        <w:rPr>
          <w:rFonts w:ascii="Arial" w:cs="Arial" w:eastAsia="Arial" w:hAnsi="Arial"/>
          <w:sz w:val="16"/>
          <w:szCs w:val="16"/>
          <w:color w:val="auto"/>
        </w:rPr>
      </w:pPr>
    </w:p>
    <w:p>
      <w:pPr>
        <w:ind w:left="800" w:hanging="337"/>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The Trust’s portfolio was 94.2% leased at June 30, 2004, an improvement of 90 basis points versus the end of first quarter 2004.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Federal Realty reported FFO per diluted share of $0.73 in second quarter 2004, a 14.1% increase over the $0.64 of FFO per diluted share reported in second quarter</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2003, and a 28.1% increase over the $0.57 of FFO per diluted share for second quarter 2003, after taking into account a $3.4 million ($0.07 per diluted share)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charge relating to the redemption of the Trust’s 7.95% Series A Cumulative Redeemable Preferred Shares. Total FFO available for common shareholders was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$38.6 million for the second quarter of 2004 compared to $27.7 million (taking into account the preferred share redemption charge) for last year’s second quarter.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FFO is a supplemental earnings measure which the Trust considers meaningful in measuring its operating performance. Net income available for common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shareholders was $23.5 million, and earnings per diluted share was $0.45 for the quarter ended June 30, 2004, versus $10.2 million and $0.22 (including the impact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of the preferred share redemption charge), respectively, for the second quarter of 2003. A reconciliation 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20"/>
          </w:cols>
          <w:pgMar w:left="240" w:top="272" w:right="239" w:bottom="1440" w:gutter="0" w:footer="0" w:header="0"/>
        </w:sectPr>
      </w:pPr>
    </w:p>
    <w:bookmarkStart w:id="5" w:name="page6"/>
    <w:bookmarkEnd w:id="5"/>
    <w:p>
      <w:pPr>
        <w:ind w:lef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 ANNOUNCES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2004 OPERATING RESULTS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July 28, 2004</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Page 2</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FFO available for common shareholders and FFO per diluted share to net income and earnings per diluted share, respectively, is attached to this press release.</w:t>
      </w:r>
    </w:p>
    <w:p>
      <w:pPr>
        <w:spacing w:after="0" w:line="178"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“This quarter’s operating results reflect our ability to lease, operate, and redevelop our core portfolio, as well as continuing improvement at Santana Row,” commented Donald Wood, Federal Realty’s President and Chief Executive Officer. “Occupancy gains, continued strong rent increases on lease rollovers, record comparable space leasing productivity, and robust same-center property operating income growth reflect the effective execution of our business plan, and an improving retail operating environment. In addition, our recent joint venture with Clarion Lion Properties Fund should allow the Trust to further exploit our operating advantages and efficiencies in our strategic East Coast and California markets.”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On a same-center basis, excluding redevelopment and expansion properties, property operating income increased 4.4% over second quarter 2003.</w:t>
      </w:r>
    </w:p>
    <w:p>
      <w:pPr>
        <w:spacing w:after="0" w:line="166"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As of June 30, 2004, Federal Realty’s same-center portfolio was 96.6% leased compared to 96.2% on March 31, 2004, and 95.8% on June 30, 2003. Overall, the Trust’s portfolio was 94.2% leased as of June 30, 2004, compared to 93.3% on March 31, 2004, and 93.1% on June 30, 2003.</w:t>
      </w:r>
    </w:p>
    <w:p>
      <w:pPr>
        <w:spacing w:after="0" w:line="97"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During the second quarter, the Trust signed 87 leases for 496,000 square feet of retail space. On a comparable space basis (</w:t>
      </w:r>
      <w:r>
        <w:rPr>
          <w:rFonts w:ascii="Arial" w:cs="Arial" w:eastAsia="Arial" w:hAnsi="Arial"/>
          <w:sz w:val="15"/>
          <w:szCs w:val="15"/>
          <w:i w:val="1"/>
          <w:iCs w:val="1"/>
          <w:color w:val="auto"/>
        </w:rPr>
        <w:t>i.e.</w:t>
      </w:r>
      <w:r>
        <w:rPr>
          <w:rFonts w:ascii="Arial" w:cs="Arial" w:eastAsia="Arial" w:hAnsi="Arial"/>
          <w:sz w:val="15"/>
          <w:szCs w:val="15"/>
          <w:color w:val="auto"/>
        </w:rPr>
        <w:t xml:space="preserve"> spaces for which there was a former tenant), the Trust leased a record 481,000 square feet at a weighted-average cash-basis contractual rent increase per square foot (</w:t>
      </w:r>
      <w:r>
        <w:rPr>
          <w:rFonts w:ascii="Arial" w:cs="Arial" w:eastAsia="Arial" w:hAnsi="Arial"/>
          <w:sz w:val="15"/>
          <w:szCs w:val="15"/>
          <w:i w:val="1"/>
          <w:iCs w:val="1"/>
          <w:color w:val="auto"/>
        </w:rPr>
        <w:t>i.e.</w:t>
      </w:r>
      <w:r>
        <w:rPr>
          <w:rFonts w:ascii="Arial" w:cs="Arial" w:eastAsia="Arial" w:hAnsi="Arial"/>
          <w:sz w:val="15"/>
          <w:szCs w:val="15"/>
          <w:color w:val="auto"/>
        </w:rPr>
        <w:t xml:space="preserve"> excluding the impact of straight-line rents) of 14%. The weighted-average contractual rent on this comparable space for the first year of the new leases is $19.89 per square foot compared to the weighted-average contractual rent of $17.47 per square foot for the last year of the prior leases. The weighted-average contractual rent for the last year of the prior leases is calculated by including both the minimum rent and the percentage rent actually paid during the last year of those leases. On a GAAP basis (</w:t>
      </w:r>
      <w:r>
        <w:rPr>
          <w:rFonts w:ascii="Arial" w:cs="Arial" w:eastAsia="Arial" w:hAnsi="Arial"/>
          <w:sz w:val="15"/>
          <w:szCs w:val="15"/>
          <w:i w:val="1"/>
          <w:iCs w:val="1"/>
          <w:color w:val="auto"/>
        </w:rPr>
        <w:t>i.e.</w:t>
      </w:r>
      <w:r>
        <w:rPr>
          <w:rFonts w:ascii="Arial" w:cs="Arial" w:eastAsia="Arial" w:hAnsi="Arial"/>
          <w:sz w:val="15"/>
          <w:szCs w:val="15"/>
          <w:color w:val="auto"/>
        </w:rPr>
        <w:t xml:space="preserve"> including the impact of straight-line rents), weighted-average rent increases per square foot for comparable retail space were 21% for the second quarter of 2004. As of June 30, 2004, Federal Realty’s weighted-average contractual rent for retail and commercial space in its portfolio was $18.25 per square foot.</w:t>
      </w:r>
    </w:p>
    <w:p>
      <w:pPr>
        <w:spacing w:after="0" w:line="93"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At Santana Row, Federal Realty’s mixed-use community in San Jose, Calif., 90.4% of the retail space was leased to 104 tenants, with nearly 100 stores open and operating as of June 30, 2004. Phase III (CinéArts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380"/>
          </w:cols>
          <w:pgMar w:left="240" w:top="278" w:right="279" w:bottom="1440" w:gutter="0" w:footer="0" w:header="0"/>
        </w:sectPr>
      </w:pPr>
    </w:p>
    <w:bookmarkStart w:id="6" w:name="page7"/>
    <w:bookmarkEnd w:id="6"/>
    <w:p>
      <w:pPr>
        <w:ind w:lef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 ANNOUNCES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2004 OPERATING RESULTS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July 28, 2004</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Page 3</w:t>
      </w:r>
    </w:p>
    <w:p>
      <w:pPr>
        <w:spacing w:after="0" w:line="159"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Theatre) is expected to open as planned during third quarter 2004, within projected costs. The 255 existing residential units at Santana Row were 98.8% leased as of June 30, 2004, and the development of the 256 Phase IV residential units remains on schedule and on budget.</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92" w:lineRule="exact"/>
        <w:rPr>
          <w:sz w:val="20"/>
          <w:szCs w:val="20"/>
          <w:color w:val="auto"/>
        </w:rPr>
      </w:pPr>
    </w:p>
    <w:p>
      <w:pPr>
        <w:ind w:right="300"/>
        <w:spacing w:after="0" w:line="294" w:lineRule="auto"/>
        <w:rPr>
          <w:sz w:val="20"/>
          <w:szCs w:val="20"/>
          <w:color w:val="auto"/>
        </w:rPr>
      </w:pPr>
      <w:r>
        <w:rPr>
          <w:rFonts w:ascii="Arial" w:cs="Arial" w:eastAsia="Arial" w:hAnsi="Arial"/>
          <w:sz w:val="17"/>
          <w:szCs w:val="17"/>
          <w:color w:val="auto"/>
        </w:rPr>
        <w:t>Federal Realty today reaffirmed previous guidance for 2004 FFO per diluted share at a range of $2.81 to $2.84, and increased guidance for earnings per diluted share to $1.48 to $1.51 because of gain on sale of properties.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92" w:lineRule="exact"/>
        <w:rPr>
          <w:sz w:val="20"/>
          <w:szCs w:val="20"/>
          <w:color w:val="auto"/>
        </w:rPr>
      </w:pPr>
    </w:p>
    <w:p>
      <w:pPr>
        <w:ind w:left="800" w:right="60" w:hanging="337"/>
        <w:spacing w:after="0" w:line="273"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July 12, 2004 – Federal Realty announced that it formed a joint venture with Clarion Lion Properties Fund, a discretionary fund created and advised by ING Clarion Partners. The joint venture intends to acquire up to $350 million of stabilized, supermarket-anchored shopping centers in the Trust’s strategic East Coast and California markets. Federal Realty and Clarion Lion Properties Fund have committed to contribute to the joint venture up to $42 million and $98 million, respectively, of equity capital to acquire properties over the next 24 months.</w:t>
      </w:r>
    </w:p>
    <w:p>
      <w:pPr>
        <w:spacing w:after="0" w:line="34" w:lineRule="exact"/>
        <w:rPr>
          <w:rFonts w:ascii="Arial" w:cs="Arial" w:eastAsia="Arial" w:hAnsi="Arial"/>
          <w:sz w:val="17"/>
          <w:szCs w:val="17"/>
          <w:color w:val="auto"/>
        </w:rPr>
      </w:pPr>
    </w:p>
    <w:p>
      <w:pPr>
        <w:ind w:left="800" w:right="120" w:hanging="337"/>
        <w:spacing w:after="0" w:line="294"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June 10, 2004 – Federal Realty’s Board of Trustees declared a regular quarterly cash dividend of $0.49 per share on its common shares, resulting in an indicated annual rate of $1.96 per share.</w:t>
      </w:r>
    </w:p>
    <w:p>
      <w:pPr>
        <w:spacing w:after="0" w:line="16" w:lineRule="exact"/>
        <w:rPr>
          <w:rFonts w:ascii="Arial" w:cs="Arial" w:eastAsia="Arial" w:hAnsi="Arial"/>
          <w:sz w:val="17"/>
          <w:szCs w:val="17"/>
          <w:color w:val="auto"/>
        </w:rPr>
      </w:pPr>
    </w:p>
    <w:p>
      <w:pPr>
        <w:ind w:left="800" w:right="120" w:hanging="337"/>
        <w:spacing w:after="0" w:line="295"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April 2, 2004 – Federal Realty announced it agreed to sell 2,186,749 common shares of beneficial interest in a public offering. The shares were sold at approximately $45.33 per share, representing a 3.00% discount from the New York Stock Exchange closing price on April 1, 2004 of $46.73, and generated net proceeds to Federal Realty of approximately $99.1 million. The Trust used the net proceeds from the sale primarily to repay amounts outstanding under its revolving credit facility that had been drawn to fund the acquisition of Westgate Mall in San Jose, Calif., on March 31, 2004.</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second quarter earnings conference call, which is scheduled for Thursday, July 29, 2004, at 1 p.m. EDT.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00"/>
          </w:cols>
          <w:pgMar w:left="240" w:top="278" w:right="259" w:bottom="1440" w:gutter="0" w:footer="0" w:header="0"/>
        </w:sectPr>
      </w:pPr>
    </w:p>
    <w:bookmarkStart w:id="7" w:name="page8"/>
    <w:bookmarkEnd w:id="7"/>
    <w:p>
      <w:pPr>
        <w:ind w:lef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 ANNOUNCES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2004 OPERATING RESULTS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July 28, 2004</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Page 4</w:t>
      </w:r>
    </w:p>
    <w:p>
      <w:pPr>
        <w:spacing w:after="0" w:line="159" w:lineRule="exact"/>
        <w:rPr>
          <w:sz w:val="20"/>
          <w:szCs w:val="20"/>
          <w:color w:val="auto"/>
        </w:rPr>
      </w:pPr>
    </w:p>
    <w:p>
      <w:pPr>
        <w:ind w:right="2020"/>
        <w:spacing w:after="0" w:line="394" w:lineRule="auto"/>
        <w:rPr>
          <w:sz w:val="20"/>
          <w:szCs w:val="20"/>
          <w:color w:val="auto"/>
        </w:rPr>
      </w:pPr>
      <w:r>
        <w:rPr>
          <w:rFonts w:ascii="Arial" w:cs="Arial" w:eastAsia="Arial" w:hAnsi="Arial"/>
          <w:sz w:val="17"/>
          <w:szCs w:val="17"/>
          <w:color w:val="auto"/>
        </w:rPr>
        <w:t xml:space="preserve">available for 30 days following the call. A telephone recording of the call will also be available for 30 days by dialing (800) 679-9654. </w:t>
      </w:r>
      <w:r>
        <w:rPr>
          <w:rFonts w:ascii="Arial" w:cs="Arial" w:eastAsia="Arial" w:hAnsi="Arial"/>
          <w:sz w:val="17"/>
          <w:szCs w:val="17"/>
          <w:b w:val="1"/>
          <w:bCs w:val="1"/>
          <w:u w:val="single" w:color="auto"/>
          <w:color w:val="auto"/>
        </w:rPr>
        <w:t>About Federal Realty</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Federal Realty Investment Trust is an equity real estate investment trust specializing in the ownership, management, development, and redevelopment of shopping centers and Street Retail properties. Federal Realty’s portfolio contains approximately 16.9 million square feet located primarily in strategic metropolitan markets in the Northeast, Mid-Atlantic, and California. The operating portfolio was 94.2% leased to approximately 2,200 national, regional, and local retailers as of June 30, 2004, with no single tenant accounting for more than 2.4% of rental revenue. Federal Realty has paid quarterly dividends to its shareholders continuously since its founding in 1962, and has increased its dividend rate for 36 consecutive years, the longest consecutive record in the REIT industry. Shares of Federal Realty are traded on the NYSE under the symbol FRT.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92"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 factors include, but are not limited to, the risk factors described in our Current Report on Form 8-K filed on March 11, 2004, and include the following:</w:t>
      </w:r>
    </w:p>
    <w:p>
      <w:pPr>
        <w:spacing w:after="0" w:line="35" w:lineRule="exact"/>
        <w:rPr>
          <w:sz w:val="20"/>
          <w:szCs w:val="20"/>
          <w:color w:val="auto"/>
        </w:rPr>
      </w:pPr>
    </w:p>
    <w:p>
      <w:pPr>
        <w:ind w:left="800" w:hanging="337"/>
        <w:spacing w:after="0"/>
        <w:tabs>
          <w:tab w:leader="none" w:pos="80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85" w:lineRule="exact"/>
        <w:rPr>
          <w:rFonts w:ascii="Arial" w:cs="Arial" w:eastAsia="Arial" w:hAnsi="Arial"/>
          <w:sz w:val="17"/>
          <w:szCs w:val="17"/>
          <w:i w:val="1"/>
          <w:iCs w:val="1"/>
          <w:color w:val="auto"/>
        </w:rPr>
      </w:pPr>
    </w:p>
    <w:p>
      <w:pPr>
        <w:ind w:left="800" w:right="160" w:hanging="337"/>
        <w:spacing w:after="0" w:line="294" w:lineRule="auto"/>
        <w:tabs>
          <w:tab w:leader="none" w:pos="80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16" w:lineRule="exact"/>
        <w:rPr>
          <w:rFonts w:ascii="Arial" w:cs="Arial" w:eastAsia="Arial" w:hAnsi="Arial"/>
          <w:sz w:val="17"/>
          <w:szCs w:val="17"/>
          <w:i w:val="1"/>
          <w:iCs w:val="1"/>
          <w:color w:val="auto"/>
        </w:rPr>
      </w:pPr>
    </w:p>
    <w:p>
      <w:pPr>
        <w:ind w:left="800" w:hanging="337"/>
        <w:spacing w:after="0" w:line="273" w:lineRule="auto"/>
        <w:tabs>
          <w:tab w:leader="none" w:pos="80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34" w:lineRule="exact"/>
        <w:rPr>
          <w:rFonts w:ascii="Arial" w:cs="Arial" w:eastAsia="Arial" w:hAnsi="Arial"/>
          <w:sz w:val="17"/>
          <w:szCs w:val="17"/>
          <w:i w:val="1"/>
          <w:iCs w:val="1"/>
          <w:color w:val="auto"/>
        </w:rPr>
      </w:pPr>
    </w:p>
    <w:p>
      <w:pPr>
        <w:ind w:left="800" w:hanging="337"/>
        <w:spacing w:after="0"/>
        <w:tabs>
          <w:tab w:leader="none" w:pos="80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85" w:lineRule="exact"/>
        <w:rPr>
          <w:rFonts w:ascii="Arial" w:cs="Arial" w:eastAsia="Arial" w:hAnsi="Arial"/>
          <w:sz w:val="17"/>
          <w:szCs w:val="17"/>
          <w:i w:val="1"/>
          <w:iCs w:val="1"/>
          <w:color w:val="auto"/>
        </w:rPr>
      </w:pPr>
    </w:p>
    <w:p>
      <w:pPr>
        <w:ind w:left="800" w:right="20" w:hanging="337"/>
        <w:spacing w:after="0" w:line="278" w:lineRule="auto"/>
        <w:tabs>
          <w:tab w:leader="none" w:pos="80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0" w:lineRule="exact"/>
        <w:rPr>
          <w:rFonts w:ascii="Arial" w:cs="Arial" w:eastAsia="Arial" w:hAnsi="Arial"/>
          <w:sz w:val="17"/>
          <w:szCs w:val="17"/>
          <w:i w:val="1"/>
          <w:iCs w:val="1"/>
          <w:color w:val="auto"/>
        </w:rPr>
      </w:pPr>
    </w:p>
    <w:p>
      <w:pPr>
        <w:ind w:left="800" w:right="240" w:hanging="337"/>
        <w:spacing w:after="0" w:line="278" w:lineRule="auto"/>
        <w:tabs>
          <w:tab w:leader="none" w:pos="80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(as amended), our quarterly reports on Form 10-Q, and the risks contained in our Current Report on Form 8-K filed with the Securities and Exchange Commission on March 11, 2004.</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00"/>
          </w:cols>
          <w:pgMar w:left="240" w:top="278" w:right="259" w:bottom="1440" w:gutter="0" w:footer="0" w:header="0"/>
        </w:sectPr>
      </w:pPr>
    </w:p>
    <w:bookmarkStart w:id="8" w:name="page9"/>
    <w:bookmarkEnd w:id="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6"/>
          </w:tcPr>
          <w:p>
            <w:pPr>
              <w:ind w:left="24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90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Six months ended</w:t>
            </w:r>
          </w:p>
        </w:tc>
      </w:tr>
      <w:tr>
        <w:trPr>
          <w:trHeight w:val="173"/>
        </w:trPr>
        <w:tc>
          <w:tcPr>
            <w:tcW w:w="1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2"/>
              </w:rPr>
              <w:t>June 30,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2"/>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4"/>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1"/>
        </w:trPr>
        <w:tc>
          <w:tcPr>
            <w:tcW w:w="17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b w:val="1"/>
                <w:bCs w:val="1"/>
                <w:color w:val="auto"/>
              </w:rPr>
              <w:t>2004</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3"/>
                <w:szCs w:val="13"/>
                <w:b w:val="1"/>
                <w:bCs w:val="1"/>
                <w:color w:val="auto"/>
              </w:rPr>
              <w:t>2003</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b w:val="1"/>
                <w:bCs w:val="1"/>
                <w:color w:val="auto"/>
              </w:rPr>
              <w:t>2004</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3"/>
                <w:szCs w:val="13"/>
                <w:b w:val="1"/>
                <w:bCs w:val="1"/>
                <w:color w:val="auto"/>
              </w:rPr>
              <w:t>2003</w:t>
            </w:r>
          </w:p>
        </w:tc>
        <w:tc>
          <w:tcPr>
            <w:tcW w:w="100" w:type="dxa"/>
            <w:vAlign w:val="bottom"/>
          </w:tcPr>
          <w:p>
            <w:pPr>
              <w:spacing w:after="0"/>
              <w:rPr>
                <w:sz w:val="22"/>
                <w:szCs w:val="22"/>
                <w:color w:val="auto"/>
              </w:rPr>
            </w:pPr>
          </w:p>
        </w:tc>
      </w:tr>
      <w:tr>
        <w:trPr>
          <w:trHeight w:val="94"/>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94"/>
        </w:trPr>
        <w:tc>
          <w:tcPr>
            <w:tcW w:w="1760" w:type="dxa"/>
            <w:vAlign w:val="bottom"/>
            <w:tcBorders>
              <w:bottom w:val="single" w:sz="8" w:color="auto"/>
            </w:tcBorders>
            <w:shd w:val="clear" w:color="auto" w:fill="CCEEFF"/>
          </w:tcPr>
          <w:p>
            <w:pPr>
              <w:spacing w:after="0" w:line="174" w:lineRule="exact"/>
              <w:rPr>
                <w:sz w:val="20"/>
                <w:szCs w:val="20"/>
                <w:color w:val="auto"/>
              </w:rPr>
            </w:pPr>
            <w:r>
              <w:rPr>
                <w:rFonts w:ascii="Arial" w:cs="Arial" w:eastAsia="Arial" w:hAnsi="Arial"/>
                <w:sz w:val="17"/>
                <w:szCs w:val="17"/>
                <w:color w:val="auto"/>
                <w:w w:val="94"/>
              </w:rPr>
              <w:t>OPERATING RESULTS</w:t>
            </w:r>
          </w:p>
        </w:tc>
        <w:tc>
          <w:tcPr>
            <w:tcW w:w="5280" w:type="dxa"/>
            <w:vAlign w:val="bottom"/>
            <w:tcBorders>
              <w:bottom w:val="single" w:sz="8" w:color="CCEEFF"/>
            </w:tcBorders>
            <w:gridSpan w:val="4"/>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4"/>
        </w:trPr>
        <w:tc>
          <w:tcPr>
            <w:tcW w:w="7040" w:type="dxa"/>
            <w:vAlign w:val="bottom"/>
            <w:gridSpan w:val="5"/>
          </w:tcPr>
          <w:p>
            <w:pPr>
              <w:spacing w:after="0"/>
              <w:rPr>
                <w:sz w:val="20"/>
                <w:szCs w:val="20"/>
                <w:color w:val="auto"/>
              </w:rPr>
            </w:pPr>
            <w:r>
              <w:rPr>
                <w:rFonts w:ascii="Arial" w:cs="Arial" w:eastAsia="Arial" w:hAnsi="Arial"/>
                <w:sz w:val="17"/>
                <w:szCs w:val="17"/>
                <w:color w:val="auto"/>
              </w:rPr>
              <w:t>Revenues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7040" w:type="dxa"/>
            <w:vAlign w:val="bottom"/>
            <w:gridSpan w:val="5"/>
            <w:shd w:val="clear" w:color="auto" w:fill="CCEEFF"/>
          </w:tcPr>
          <w:p>
            <w:pPr>
              <w:ind w:left="440"/>
              <w:spacing w:after="0"/>
              <w:rPr>
                <w:sz w:val="20"/>
                <w:szCs w:val="20"/>
                <w:color w:val="auto"/>
              </w:rPr>
            </w:pPr>
            <w:r>
              <w:rPr>
                <w:rFonts w:ascii="Arial" w:cs="Arial" w:eastAsia="Arial" w:hAnsi="Arial"/>
                <w:sz w:val="17"/>
                <w:szCs w:val="17"/>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79,304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181,423</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158,137</w:t>
            </w:r>
          </w:p>
        </w:tc>
        <w:tc>
          <w:tcPr>
            <w:tcW w:w="100" w:type="dxa"/>
            <w:vAlign w:val="bottom"/>
            <w:shd w:val="clear" w:color="auto" w:fill="CCEEFF"/>
          </w:tcPr>
          <w:p>
            <w:pPr>
              <w:spacing w:after="0"/>
              <w:rPr>
                <w:sz w:val="18"/>
                <w:szCs w:val="18"/>
                <w:color w:val="auto"/>
              </w:rPr>
            </w:pPr>
          </w:p>
        </w:tc>
      </w:tr>
      <w:tr>
        <w:trPr>
          <w:trHeight w:val="214"/>
        </w:trPr>
        <w:tc>
          <w:tcPr>
            <w:tcW w:w="7040" w:type="dxa"/>
            <w:vAlign w:val="bottom"/>
            <w:gridSpan w:val="5"/>
          </w:tcPr>
          <w:p>
            <w:pPr>
              <w:ind w:left="440"/>
              <w:spacing w:after="0"/>
              <w:rPr>
                <w:sz w:val="20"/>
                <w:szCs w:val="20"/>
                <w:color w:val="auto"/>
              </w:rPr>
            </w:pPr>
            <w:r>
              <w:rPr>
                <w:rFonts w:ascii="Arial" w:cs="Arial" w:eastAsia="Arial" w:hAnsi="Arial"/>
                <w:sz w:val="17"/>
                <w:szCs w:val="17"/>
                <w:color w:val="auto"/>
              </w:rPr>
              <w:t>Other property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6,519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4,186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11,619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8,280</w:t>
            </w:r>
          </w:p>
        </w:tc>
        <w:tc>
          <w:tcPr>
            <w:tcW w:w="100" w:type="dxa"/>
            <w:vAlign w:val="bottom"/>
          </w:tcPr>
          <w:p>
            <w:pPr>
              <w:spacing w:after="0"/>
              <w:rPr>
                <w:sz w:val="18"/>
                <w:szCs w:val="18"/>
                <w:color w:val="auto"/>
              </w:rPr>
            </w:pPr>
          </w:p>
        </w:tc>
      </w:tr>
      <w:tr>
        <w:trPr>
          <w:trHeight w:val="214"/>
        </w:trPr>
        <w:tc>
          <w:tcPr>
            <w:tcW w:w="7040" w:type="dxa"/>
            <w:vAlign w:val="bottom"/>
            <w:gridSpan w:val="5"/>
            <w:shd w:val="clear" w:color="auto" w:fill="CCEEFF"/>
          </w:tcPr>
          <w:p>
            <w:pPr>
              <w:ind w:left="440"/>
              <w:spacing w:after="0"/>
              <w:rPr>
                <w:sz w:val="20"/>
                <w:szCs w:val="20"/>
                <w:color w:val="auto"/>
              </w:rPr>
            </w:pPr>
            <w:r>
              <w:rPr>
                <w:rFonts w:ascii="Arial" w:cs="Arial" w:eastAsia="Arial" w:hAnsi="Arial"/>
                <w:sz w:val="17"/>
                <w:szCs w:val="17"/>
                <w:color w:val="auto"/>
              </w:rPr>
              <w:t>Mortgage interest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1,861</w:t>
            </w:r>
          </w:p>
        </w:tc>
        <w:tc>
          <w:tcPr>
            <w:tcW w:w="100" w:type="dxa"/>
            <w:vAlign w:val="bottom"/>
            <w:shd w:val="clear" w:color="auto" w:fill="CCEEFF"/>
          </w:tcPr>
          <w:p>
            <w:pPr>
              <w:spacing w:after="0"/>
              <w:rPr>
                <w:sz w:val="18"/>
                <w:szCs w:val="18"/>
                <w:color w:val="auto"/>
              </w:rPr>
            </w:pPr>
          </w:p>
        </w:tc>
      </w:tr>
      <w:tr>
        <w:trPr>
          <w:trHeight w:val="107"/>
        </w:trPr>
        <w:tc>
          <w:tcPr>
            <w:tcW w:w="17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84,514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195,285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168,278</w:t>
            </w:r>
          </w:p>
        </w:tc>
        <w:tc>
          <w:tcPr>
            <w:tcW w:w="100" w:type="dxa"/>
            <w:vAlign w:val="bottom"/>
            <w:shd w:val="clear" w:color="auto" w:fill="CCEEFF"/>
          </w:tcPr>
          <w:p>
            <w:pPr>
              <w:spacing w:after="0"/>
              <w:rPr>
                <w:sz w:val="18"/>
                <w:szCs w:val="18"/>
                <w:color w:val="auto"/>
              </w:rPr>
            </w:pPr>
          </w:p>
        </w:tc>
      </w:tr>
      <w:tr>
        <w:trPr>
          <w:trHeight w:val="321"/>
        </w:trPr>
        <w:tc>
          <w:tcPr>
            <w:tcW w:w="7040" w:type="dxa"/>
            <w:vAlign w:val="bottom"/>
            <w:gridSpan w:val="5"/>
          </w:tcPr>
          <w:p>
            <w:pPr>
              <w:spacing w:after="0"/>
              <w:rPr>
                <w:sz w:val="20"/>
                <w:szCs w:val="20"/>
                <w:color w:val="auto"/>
              </w:rPr>
            </w:pPr>
            <w:r>
              <w:rPr>
                <w:rFonts w:ascii="Arial" w:cs="Arial" w:eastAsia="Arial" w:hAnsi="Arial"/>
                <w:sz w:val="17"/>
                <w:szCs w:val="17"/>
                <w:color w:val="auto"/>
              </w:rPr>
              <w:t>Expenses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7040" w:type="dxa"/>
            <w:vAlign w:val="bottom"/>
            <w:gridSpan w:val="5"/>
            <w:shd w:val="clear" w:color="auto" w:fill="CCEEFF"/>
          </w:tcPr>
          <w:p>
            <w:pPr>
              <w:ind w:left="440"/>
              <w:spacing w:after="0"/>
              <w:rPr>
                <w:sz w:val="20"/>
                <w:szCs w:val="20"/>
                <w:color w:val="auto"/>
              </w:rPr>
            </w:pPr>
            <w:r>
              <w:rPr>
                <w:rFonts w:ascii="Arial" w:cs="Arial" w:eastAsia="Arial" w:hAnsi="Arial"/>
                <w:sz w:val="17"/>
                <w:szCs w:val="17"/>
                <w:color w:val="auto"/>
              </w:rPr>
              <w:t>Rental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44,787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40,415</w:t>
            </w:r>
          </w:p>
        </w:tc>
        <w:tc>
          <w:tcPr>
            <w:tcW w:w="100" w:type="dxa"/>
            <w:vAlign w:val="bottom"/>
            <w:shd w:val="clear" w:color="auto" w:fill="CCEEFF"/>
          </w:tcPr>
          <w:p>
            <w:pPr>
              <w:spacing w:after="0"/>
              <w:rPr>
                <w:sz w:val="18"/>
                <w:szCs w:val="18"/>
                <w:color w:val="auto"/>
              </w:rPr>
            </w:pPr>
          </w:p>
        </w:tc>
      </w:tr>
      <w:tr>
        <w:trPr>
          <w:trHeight w:val="214"/>
        </w:trPr>
        <w:tc>
          <w:tcPr>
            <w:tcW w:w="7040" w:type="dxa"/>
            <w:vAlign w:val="bottom"/>
            <w:gridSpan w:val="5"/>
          </w:tcPr>
          <w:p>
            <w:pPr>
              <w:ind w:left="440"/>
              <w:spacing w:after="0"/>
              <w:rPr>
                <w:sz w:val="20"/>
                <w:szCs w:val="20"/>
                <w:color w:val="auto"/>
              </w:rPr>
            </w:pPr>
            <w:r>
              <w:rPr>
                <w:rFonts w:ascii="Arial" w:cs="Arial" w:eastAsia="Arial" w:hAnsi="Arial"/>
                <w:sz w:val="17"/>
                <w:szCs w:val="17"/>
                <w:color w:val="auto"/>
              </w:rPr>
              <w:t>Real estate taxes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9,526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8,723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18,703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16,415</w:t>
            </w:r>
          </w:p>
        </w:tc>
        <w:tc>
          <w:tcPr>
            <w:tcW w:w="100" w:type="dxa"/>
            <w:vAlign w:val="bottom"/>
          </w:tcPr>
          <w:p>
            <w:pPr>
              <w:spacing w:after="0"/>
              <w:rPr>
                <w:sz w:val="18"/>
                <w:szCs w:val="18"/>
                <w:color w:val="auto"/>
              </w:rPr>
            </w:pPr>
          </w:p>
        </w:tc>
      </w:tr>
      <w:tr>
        <w:trPr>
          <w:trHeight w:val="214"/>
        </w:trPr>
        <w:tc>
          <w:tcPr>
            <w:tcW w:w="7040" w:type="dxa"/>
            <w:vAlign w:val="bottom"/>
            <w:gridSpan w:val="5"/>
            <w:shd w:val="clear" w:color="auto" w:fill="CCEEFF"/>
          </w:tcPr>
          <w:p>
            <w:pPr>
              <w:ind w:left="440"/>
              <w:spacing w:after="0"/>
              <w:rPr>
                <w:sz w:val="20"/>
                <w:szCs w:val="20"/>
                <w:color w:val="auto"/>
              </w:rPr>
            </w:pPr>
            <w:r>
              <w:rPr>
                <w:rFonts w:ascii="Arial" w:cs="Arial" w:eastAsia="Arial" w:hAnsi="Arial"/>
                <w:sz w:val="17"/>
                <w:szCs w:val="17"/>
                <w:color w:val="auto"/>
              </w:rPr>
              <w:t>Administrative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6,421</w:t>
            </w:r>
          </w:p>
        </w:tc>
        <w:tc>
          <w:tcPr>
            <w:tcW w:w="100" w:type="dxa"/>
            <w:vAlign w:val="bottom"/>
            <w:shd w:val="clear" w:color="auto" w:fill="CCEEFF"/>
          </w:tcPr>
          <w:p>
            <w:pPr>
              <w:spacing w:after="0"/>
              <w:rPr>
                <w:sz w:val="18"/>
                <w:szCs w:val="18"/>
                <w:color w:val="auto"/>
              </w:rPr>
            </w:pPr>
          </w:p>
        </w:tc>
      </w:tr>
      <w:tr>
        <w:trPr>
          <w:trHeight w:val="221"/>
        </w:trPr>
        <w:tc>
          <w:tcPr>
            <w:tcW w:w="7040" w:type="dxa"/>
            <w:vAlign w:val="bottom"/>
            <w:gridSpan w:val="5"/>
          </w:tcPr>
          <w:p>
            <w:pPr>
              <w:ind w:left="4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23,235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18,126</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43,858</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35,575</w:t>
            </w:r>
          </w:p>
        </w:tc>
        <w:tc>
          <w:tcPr>
            <w:tcW w:w="100" w:type="dxa"/>
            <w:vAlign w:val="bottom"/>
          </w:tcPr>
          <w:p>
            <w:pPr>
              <w:spacing w:after="0"/>
              <w:rPr>
                <w:sz w:val="19"/>
                <w:szCs w:val="19"/>
                <w:color w:val="auto"/>
              </w:rPr>
            </w:pPr>
          </w:p>
        </w:tc>
      </w:tr>
      <w:tr>
        <w:trPr>
          <w:trHeight w:val="100"/>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49,015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116,117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98,826</w:t>
            </w:r>
          </w:p>
        </w:tc>
        <w:tc>
          <w:tcPr>
            <w:tcW w:w="100" w:type="dxa"/>
            <w:vAlign w:val="bottom"/>
            <w:shd w:val="clear" w:color="auto" w:fill="CCEEFF"/>
          </w:tcPr>
          <w:p>
            <w:pPr>
              <w:spacing w:after="0"/>
              <w:rPr>
                <w:sz w:val="18"/>
                <w:szCs w:val="18"/>
                <w:color w:val="auto"/>
              </w:rPr>
            </w:pPr>
          </w:p>
        </w:tc>
      </w:tr>
      <w:tr>
        <w:trPr>
          <w:trHeight w:val="107"/>
        </w:trPr>
        <w:tc>
          <w:tcPr>
            <w:tcW w:w="17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7040" w:type="dxa"/>
            <w:vAlign w:val="bottom"/>
            <w:gridSpan w:val="5"/>
            <w:shd w:val="clear" w:color="auto" w:fill="CCEEFF"/>
          </w:tcPr>
          <w:p>
            <w:pPr>
              <w:ind w:left="440"/>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35,499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79,167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69,452</w:t>
            </w:r>
          </w:p>
        </w:tc>
        <w:tc>
          <w:tcPr>
            <w:tcW w:w="100" w:type="dxa"/>
            <w:vAlign w:val="bottom"/>
            <w:shd w:val="clear" w:color="auto" w:fill="CCEEFF"/>
          </w:tcPr>
          <w:p>
            <w:pPr>
              <w:spacing w:after="0"/>
              <w:rPr>
                <w:sz w:val="18"/>
                <w:szCs w:val="18"/>
                <w:color w:val="auto"/>
              </w:rPr>
            </w:pPr>
          </w:p>
        </w:tc>
      </w:tr>
      <w:tr>
        <w:trPr>
          <w:trHeight w:val="321"/>
        </w:trPr>
        <w:tc>
          <w:tcPr>
            <w:tcW w:w="7040" w:type="dxa"/>
            <w:vAlign w:val="bottom"/>
            <w:gridSpan w:val="5"/>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629</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802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24"/>
                <w:szCs w:val="24"/>
                <w:color w:val="auto"/>
              </w:rPr>
            </w:pPr>
          </w:p>
        </w:tc>
      </w:tr>
      <w:tr>
        <w:trPr>
          <w:trHeight w:val="215"/>
        </w:trPr>
        <w:tc>
          <w:tcPr>
            <w:tcW w:w="70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w w:val="94"/>
              </w:rPr>
              <w:t>(21,391)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4"/>
              </w:rPr>
              <w:t>(18,252)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w w:val="97"/>
              </w:rPr>
              <w:t>(42,710)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(35,831)</w:t>
            </w:r>
          </w:p>
        </w:tc>
      </w:tr>
      <w:tr>
        <w:trPr>
          <w:trHeight w:val="221"/>
        </w:trPr>
        <w:tc>
          <w:tcPr>
            <w:tcW w:w="7040" w:type="dxa"/>
            <w:vAlign w:val="bottom"/>
            <w:gridSpan w:val="5"/>
          </w:tcPr>
          <w:p>
            <w:pPr>
              <w:spacing w:after="0"/>
              <w:rPr>
                <w:sz w:val="20"/>
                <w:szCs w:val="20"/>
                <w:color w:val="auto"/>
              </w:rPr>
            </w:pPr>
            <w:r>
              <w:rPr>
                <w:rFonts w:ascii="Arial" w:cs="Arial" w:eastAsia="Arial" w:hAnsi="Arial"/>
                <w:sz w:val="17"/>
                <w:szCs w:val="17"/>
                <w:color w:val="auto"/>
              </w:rPr>
              <w:t>Minority interests</w:t>
            </w:r>
          </w:p>
        </w:tc>
        <w:tc>
          <w:tcPr>
            <w:tcW w:w="100" w:type="dxa"/>
            <w:vAlign w:val="bottom"/>
          </w:tcPr>
          <w:p>
            <w:pPr>
              <w:spacing w:after="0"/>
              <w:rPr>
                <w:sz w:val="19"/>
                <w:szCs w:val="19"/>
                <w:color w:val="auto"/>
              </w:rPr>
            </w:pPr>
          </w:p>
        </w:tc>
        <w:tc>
          <w:tcPr>
            <w:tcW w:w="1080" w:type="dxa"/>
            <w:vAlign w:val="bottom"/>
            <w:gridSpan w:val="2"/>
          </w:tcPr>
          <w:p>
            <w:pPr>
              <w:jc w:val="right"/>
              <w:ind w:right="393"/>
              <w:spacing w:after="0"/>
              <w:rPr>
                <w:sz w:val="20"/>
                <w:szCs w:val="20"/>
                <w:color w:val="auto"/>
              </w:rPr>
            </w:pPr>
            <w:r>
              <w:rPr>
                <w:rFonts w:ascii="Arial" w:cs="Arial" w:eastAsia="Arial" w:hAnsi="Arial"/>
                <w:sz w:val="17"/>
                <w:szCs w:val="17"/>
                <w:color w:val="auto"/>
              </w:rPr>
              <w:t>(1,192)</w:t>
            </w: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(1,134)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93"/>
              <w:spacing w:after="0"/>
              <w:rPr>
                <w:sz w:val="20"/>
                <w:szCs w:val="20"/>
                <w:color w:val="auto"/>
              </w:rPr>
            </w:pPr>
            <w:r>
              <w:rPr>
                <w:rFonts w:ascii="Arial" w:cs="Arial" w:eastAsia="Arial" w:hAnsi="Arial"/>
                <w:sz w:val="17"/>
                <w:szCs w:val="17"/>
                <w:color w:val="auto"/>
              </w:rPr>
              <w:t>(2,381)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(2,204)</w:t>
            </w:r>
          </w:p>
        </w:tc>
      </w:tr>
      <w:tr>
        <w:trPr>
          <w:trHeight w:val="100"/>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70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34,878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32,408</w:t>
            </w:r>
          </w:p>
        </w:tc>
        <w:tc>
          <w:tcPr>
            <w:tcW w:w="100" w:type="dxa"/>
            <w:vAlign w:val="bottom"/>
            <w:shd w:val="clear" w:color="auto" w:fill="CCEEFF"/>
          </w:tcPr>
          <w:p>
            <w:pPr>
              <w:spacing w:after="0"/>
              <w:rPr>
                <w:sz w:val="18"/>
                <w:szCs w:val="18"/>
                <w:color w:val="auto"/>
              </w:rPr>
            </w:pPr>
          </w:p>
        </w:tc>
      </w:tr>
      <w:tr>
        <w:trPr>
          <w:trHeight w:val="321"/>
        </w:trPr>
        <w:tc>
          <w:tcPr>
            <w:tcW w:w="7040" w:type="dxa"/>
            <w:vAlign w:val="bottom"/>
            <w:gridSpan w:val="5"/>
          </w:tcPr>
          <w:p>
            <w:pPr>
              <w:spacing w:after="0"/>
              <w:rPr>
                <w:sz w:val="20"/>
                <w:szCs w:val="20"/>
                <w:color w:val="auto"/>
              </w:rPr>
            </w:pPr>
            <w:r>
              <w:rPr>
                <w:rFonts w:ascii="Arial" w:cs="Arial" w:eastAsia="Arial" w:hAnsi="Arial"/>
                <w:sz w:val="17"/>
                <w:szCs w:val="17"/>
                <w:color w:val="auto"/>
              </w:rPr>
              <w:t>Discontinued operations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7040" w:type="dxa"/>
            <w:vAlign w:val="bottom"/>
            <w:gridSpan w:val="5"/>
            <w:shd w:val="clear" w:color="auto" w:fill="CCEEFF"/>
          </w:tcPr>
          <w:p>
            <w:pPr>
              <w:ind w:left="440"/>
              <w:spacing w:after="0"/>
              <w:rPr>
                <w:sz w:val="20"/>
                <w:szCs w:val="20"/>
                <w:color w:val="auto"/>
              </w:rPr>
            </w:pPr>
            <w:r>
              <w:rPr>
                <w:rFonts w:ascii="Arial" w:cs="Arial" w:eastAsia="Arial" w:hAnsi="Arial"/>
                <w:sz w:val="17"/>
                <w:szCs w:val="17"/>
                <w:color w:val="auto"/>
              </w:rPr>
              <w:t>Operating income from discontinued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w:t>
            </w:r>
          </w:p>
        </w:tc>
        <w:tc>
          <w:tcPr>
            <w:tcW w:w="100" w:type="dxa"/>
            <w:vAlign w:val="bottom"/>
            <w:shd w:val="clear" w:color="auto" w:fill="CCEEFF"/>
          </w:tcPr>
          <w:p>
            <w:pPr>
              <w:spacing w:after="0"/>
              <w:rPr>
                <w:sz w:val="18"/>
                <w:szCs w:val="18"/>
                <w:color w:val="auto"/>
              </w:rPr>
            </w:pPr>
          </w:p>
        </w:tc>
      </w:tr>
      <w:tr>
        <w:trPr>
          <w:trHeight w:val="221"/>
        </w:trPr>
        <w:tc>
          <w:tcPr>
            <w:tcW w:w="7040" w:type="dxa"/>
            <w:vAlign w:val="bottom"/>
            <w:gridSpan w:val="5"/>
          </w:tcPr>
          <w:p>
            <w:pPr>
              <w:ind w:left="440"/>
              <w:spacing w:after="0"/>
              <w:rPr>
                <w:sz w:val="20"/>
                <w:szCs w:val="20"/>
                <w:color w:val="auto"/>
              </w:rPr>
            </w:pPr>
            <w:r>
              <w:rPr>
                <w:rFonts w:ascii="Arial" w:cs="Arial" w:eastAsia="Arial" w:hAnsi="Arial"/>
                <w:sz w:val="17"/>
                <w:szCs w:val="17"/>
                <w:color w:val="auto"/>
              </w:rPr>
              <w:t>Gain on sale of real estate</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8,276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551</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8,334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551</w:t>
            </w:r>
          </w:p>
        </w:tc>
        <w:tc>
          <w:tcPr>
            <w:tcW w:w="100" w:type="dxa"/>
            <w:vAlign w:val="bottom"/>
          </w:tcPr>
          <w:p>
            <w:pPr>
              <w:spacing w:after="0"/>
              <w:rPr>
                <w:sz w:val="19"/>
                <w:szCs w:val="19"/>
                <w:color w:val="auto"/>
              </w:rPr>
            </w:pPr>
          </w:p>
        </w:tc>
      </w:tr>
      <w:tr>
        <w:trPr>
          <w:trHeight w:val="100"/>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70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Results from operations of discontinued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2,094</w:t>
            </w:r>
          </w:p>
        </w:tc>
        <w:tc>
          <w:tcPr>
            <w:tcW w:w="100" w:type="dxa"/>
            <w:vAlign w:val="bottom"/>
            <w:shd w:val="clear" w:color="auto" w:fill="CCEEFF"/>
          </w:tcPr>
          <w:p>
            <w:pPr>
              <w:spacing w:after="0"/>
              <w:rPr>
                <w:sz w:val="18"/>
                <w:szCs w:val="18"/>
                <w:color w:val="auto"/>
              </w:rPr>
            </w:pPr>
          </w:p>
        </w:tc>
      </w:tr>
      <w:tr>
        <w:trPr>
          <w:trHeight w:val="107"/>
        </w:trPr>
        <w:tc>
          <w:tcPr>
            <w:tcW w:w="17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704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26,332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18,126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43,578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34,502</w:t>
            </w:r>
          </w:p>
        </w:tc>
        <w:tc>
          <w:tcPr>
            <w:tcW w:w="100" w:type="dxa"/>
            <w:vAlign w:val="bottom"/>
            <w:shd w:val="clear" w:color="auto" w:fill="CCEEFF"/>
          </w:tcPr>
          <w:p>
            <w:pPr>
              <w:spacing w:after="0"/>
              <w:rPr>
                <w:sz w:val="18"/>
                <w:szCs w:val="18"/>
                <w:color w:val="auto"/>
              </w:rPr>
            </w:pPr>
          </w:p>
        </w:tc>
      </w:tr>
      <w:tr>
        <w:trPr>
          <w:trHeight w:val="321"/>
        </w:trPr>
        <w:tc>
          <w:tcPr>
            <w:tcW w:w="7040" w:type="dxa"/>
            <w:vAlign w:val="bottom"/>
            <w:gridSpan w:val="5"/>
          </w:tcPr>
          <w:p>
            <w:pPr>
              <w:ind w:left="440"/>
              <w:spacing w:after="0"/>
              <w:rPr>
                <w:sz w:val="20"/>
                <w:szCs w:val="20"/>
                <w:color w:val="auto"/>
              </w:rPr>
            </w:pPr>
            <w:r>
              <w:rPr>
                <w:rFonts w:ascii="Arial" w:cs="Arial" w:eastAsia="Arial" w:hAnsi="Arial"/>
                <w:sz w:val="17"/>
                <w:szCs w:val="17"/>
                <w:color w:val="auto"/>
              </w:rPr>
              <w:t>Dividends on preferred stock</w:t>
            </w:r>
          </w:p>
        </w:tc>
        <w:tc>
          <w:tcPr>
            <w:tcW w:w="100" w:type="dxa"/>
            <w:vAlign w:val="bottom"/>
          </w:tcPr>
          <w:p>
            <w:pPr>
              <w:spacing w:after="0"/>
              <w:rPr>
                <w:sz w:val="24"/>
                <w:szCs w:val="24"/>
                <w:color w:val="auto"/>
              </w:rPr>
            </w:pPr>
          </w:p>
        </w:tc>
        <w:tc>
          <w:tcPr>
            <w:tcW w:w="1080" w:type="dxa"/>
            <w:vAlign w:val="bottom"/>
            <w:gridSpan w:val="2"/>
          </w:tcPr>
          <w:p>
            <w:pPr>
              <w:jc w:val="right"/>
              <w:ind w:right="393"/>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(4,490)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93"/>
              <w:spacing w:after="0"/>
              <w:rPr>
                <w:sz w:val="20"/>
                <w:szCs w:val="20"/>
                <w:color w:val="auto"/>
              </w:rPr>
            </w:pPr>
            <w:r>
              <w:rPr>
                <w:rFonts w:ascii="Arial" w:cs="Arial" w:eastAsia="Arial" w:hAnsi="Arial"/>
                <w:sz w:val="17"/>
                <w:szCs w:val="17"/>
                <w:color w:val="auto"/>
              </w:rPr>
              <w:t>(5,738)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(9,346)</w:t>
            </w:r>
          </w:p>
        </w:tc>
      </w:tr>
      <w:tr>
        <w:trPr>
          <w:trHeight w:val="215"/>
        </w:trPr>
        <w:tc>
          <w:tcPr>
            <w:tcW w:w="7040" w:type="dxa"/>
            <w:vAlign w:val="bottom"/>
            <w:gridSpan w:val="5"/>
            <w:shd w:val="clear" w:color="auto" w:fill="CCEEFF"/>
          </w:tcPr>
          <w:p>
            <w:pPr>
              <w:ind w:left="440"/>
              <w:spacing w:after="0"/>
              <w:rPr>
                <w:sz w:val="20"/>
                <w:szCs w:val="20"/>
                <w:color w:val="auto"/>
              </w:rPr>
            </w:pPr>
            <w:r>
              <w:rPr>
                <w:rFonts w:ascii="Arial" w:cs="Arial" w:eastAsia="Arial" w:hAnsi="Arial"/>
                <w:sz w:val="17"/>
                <w:szCs w:val="17"/>
                <w:color w:val="auto"/>
              </w:rPr>
              <w:t>Preferred stock redemption fee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(3,423)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(3,423)</w:t>
            </w:r>
          </w:p>
        </w:tc>
      </w:tr>
      <w:tr>
        <w:trPr>
          <w:trHeight w:val="107"/>
        </w:trPr>
        <w:tc>
          <w:tcPr>
            <w:tcW w:w="17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7040" w:type="dxa"/>
            <w:vAlign w:val="bottom"/>
            <w:gridSpan w:val="5"/>
            <w:shd w:val="clear" w:color="auto" w:fill="CCEEFF"/>
          </w:tcPr>
          <w:p>
            <w:pPr>
              <w:ind w:left="1300"/>
              <w:spacing w:after="0"/>
              <w:rPr>
                <w:sz w:val="20"/>
                <w:szCs w:val="20"/>
                <w:color w:val="auto"/>
              </w:rPr>
            </w:pPr>
            <w:r>
              <w:rPr>
                <w:rFonts w:ascii="Arial" w:cs="Arial" w:eastAsia="Arial" w:hAnsi="Arial"/>
                <w:sz w:val="17"/>
                <w:szCs w:val="17"/>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37,840</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21,733</w:t>
            </w:r>
          </w:p>
        </w:tc>
        <w:tc>
          <w:tcPr>
            <w:tcW w:w="100" w:type="dxa"/>
            <w:vAlign w:val="bottom"/>
            <w:shd w:val="clear" w:color="auto" w:fill="CCEEFF"/>
          </w:tcPr>
          <w:p>
            <w:pPr>
              <w:spacing w:after="0"/>
              <w:rPr>
                <w:sz w:val="18"/>
                <w:szCs w:val="18"/>
                <w:color w:val="auto"/>
              </w:rPr>
            </w:pPr>
          </w:p>
        </w:tc>
      </w:tr>
      <w:tr>
        <w:trPr>
          <w:trHeight w:val="131"/>
        </w:trPr>
        <w:tc>
          <w:tcPr>
            <w:tcW w:w="17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4"/>
        </w:trPr>
        <w:tc>
          <w:tcPr>
            <w:tcW w:w="17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94"/>
        </w:trPr>
        <w:tc>
          <w:tcPr>
            <w:tcW w:w="7040" w:type="dxa"/>
            <w:vAlign w:val="bottom"/>
            <w:gridSpan w:val="5"/>
            <w:shd w:val="clear" w:color="auto" w:fill="CCEEFF"/>
          </w:tcPr>
          <w:p>
            <w:pPr>
              <w:spacing w:after="0" w:line="174" w:lineRule="exact"/>
              <w:rPr>
                <w:sz w:val="20"/>
                <w:szCs w:val="20"/>
                <w:color w:val="auto"/>
              </w:rPr>
            </w:pPr>
            <w:r>
              <w:rPr>
                <w:rFonts w:ascii="Arial" w:cs="Arial" w:eastAsia="Arial" w:hAnsi="Arial"/>
                <w:sz w:val="17"/>
                <w:szCs w:val="17"/>
                <w:color w:val="auto"/>
              </w:rPr>
              <w:t>FUNDS FROM OPERATIONS AVAILABLE FOR COMMON SHAREHOLDERS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5860" w:type="dxa"/>
            <w:vAlign w:val="bottom"/>
            <w:tcBorders>
              <w:top w:val="single" w:sz="8" w:color="auto"/>
            </w:tcBorders>
            <w:gridSpan w:val="4"/>
          </w:tcPr>
          <w:p>
            <w:pPr>
              <w:ind w:left="1300"/>
              <w:spacing w:after="0"/>
              <w:rPr>
                <w:sz w:val="20"/>
                <w:szCs w:val="20"/>
                <w:color w:val="auto"/>
              </w:rPr>
            </w:pPr>
            <w:r>
              <w:rPr>
                <w:rFonts w:ascii="Arial" w:cs="Arial" w:eastAsia="Arial" w:hAnsi="Arial"/>
                <w:sz w:val="17"/>
                <w:szCs w:val="17"/>
                <w:color w:val="auto"/>
              </w:rPr>
              <w:t>Net income</w:t>
            </w: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26,332</w:t>
            </w: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18,126</w:t>
            </w: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43,578</w:t>
            </w: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34,502</w:t>
            </w:r>
          </w:p>
        </w:tc>
        <w:tc>
          <w:tcPr>
            <w:tcW w:w="100" w:type="dxa"/>
            <w:vAlign w:val="bottom"/>
            <w:tcBorders>
              <w:top w:val="single" w:sz="8" w:color="CCEEFF"/>
            </w:tcBorders>
          </w:tcPr>
          <w:p>
            <w:pPr>
              <w:spacing w:after="0"/>
              <w:rPr>
                <w:sz w:val="18"/>
                <w:szCs w:val="18"/>
                <w:color w:val="auto"/>
              </w:rPr>
            </w:pPr>
          </w:p>
        </w:tc>
      </w:tr>
      <w:tr>
        <w:trPr>
          <w:trHeight w:val="214"/>
        </w:trPr>
        <w:tc>
          <w:tcPr>
            <w:tcW w:w="7040" w:type="dxa"/>
            <w:vAlign w:val="bottom"/>
            <w:gridSpan w:val="5"/>
            <w:shd w:val="clear" w:color="auto" w:fill="CCEEFF"/>
          </w:tcPr>
          <w:p>
            <w:pPr>
              <w:ind w:left="1300"/>
              <w:spacing w:after="0"/>
              <w:rPr>
                <w:sz w:val="20"/>
                <w:szCs w:val="20"/>
                <w:color w:val="auto"/>
              </w:rPr>
            </w:pPr>
            <w:r>
              <w:rPr>
                <w:rFonts w:ascii="Arial" w:cs="Arial" w:eastAsia="Arial" w:hAnsi="Arial"/>
                <w:sz w:val="17"/>
                <w:szCs w:val="17"/>
                <w:color w:val="auto"/>
              </w:rPr>
              <w:t>Gain on sale of real estate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rPr>
              <w:t>(8,276)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color w:val="auto"/>
              </w:rPr>
              <w:t>(8,334)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(551)</w:t>
            </w:r>
          </w:p>
        </w:tc>
      </w:tr>
      <w:tr>
        <w:trPr>
          <w:trHeight w:val="214"/>
        </w:trPr>
        <w:tc>
          <w:tcPr>
            <w:tcW w:w="7040" w:type="dxa"/>
            <w:vAlign w:val="bottom"/>
            <w:gridSpan w:val="5"/>
          </w:tcPr>
          <w:p>
            <w:pPr>
              <w:ind w:left="1300"/>
              <w:spacing w:after="0"/>
              <w:rPr>
                <w:sz w:val="20"/>
                <w:szCs w:val="20"/>
                <w:color w:val="auto"/>
              </w:rPr>
            </w:pPr>
            <w:r>
              <w:rPr>
                <w:rFonts w:ascii="Arial" w:cs="Arial" w:eastAsia="Arial" w:hAnsi="Arial"/>
                <w:sz w:val="17"/>
                <w:szCs w:val="17"/>
                <w:color w:val="auto"/>
              </w:rPr>
              <w:t>Depreciation and amortization of real estate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21,261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16,363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39,987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32,161</w:t>
            </w:r>
          </w:p>
        </w:tc>
        <w:tc>
          <w:tcPr>
            <w:tcW w:w="100" w:type="dxa"/>
            <w:vAlign w:val="bottom"/>
          </w:tcPr>
          <w:p>
            <w:pPr>
              <w:spacing w:after="0"/>
              <w:rPr>
                <w:sz w:val="18"/>
                <w:szCs w:val="18"/>
                <w:color w:val="auto"/>
              </w:rPr>
            </w:pPr>
          </w:p>
        </w:tc>
      </w:tr>
      <w:tr>
        <w:trPr>
          <w:trHeight w:val="214"/>
        </w:trPr>
        <w:tc>
          <w:tcPr>
            <w:tcW w:w="7040" w:type="dxa"/>
            <w:vAlign w:val="bottom"/>
            <w:gridSpan w:val="5"/>
            <w:shd w:val="clear" w:color="auto" w:fill="CCEEFF"/>
          </w:tcPr>
          <w:p>
            <w:pPr>
              <w:ind w:left="1300"/>
              <w:spacing w:after="0"/>
              <w:rPr>
                <w:sz w:val="20"/>
                <w:szCs w:val="20"/>
                <w:color w:val="auto"/>
              </w:rPr>
            </w:pPr>
            <w:r>
              <w:rPr>
                <w:rFonts w:ascii="Arial" w:cs="Arial" w:eastAsia="Arial" w:hAnsi="Arial"/>
                <w:sz w:val="17"/>
                <w:szCs w:val="17"/>
                <w:color w:val="auto"/>
              </w:rPr>
              <w:t>Amortization of initial direct costs of leases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2,746</w:t>
            </w:r>
          </w:p>
        </w:tc>
        <w:tc>
          <w:tcPr>
            <w:tcW w:w="100" w:type="dxa"/>
            <w:vAlign w:val="bottom"/>
            <w:shd w:val="clear" w:color="auto" w:fill="CCEEFF"/>
          </w:tcPr>
          <w:p>
            <w:pPr>
              <w:spacing w:after="0"/>
              <w:rPr>
                <w:sz w:val="18"/>
                <w:szCs w:val="18"/>
                <w:color w:val="auto"/>
              </w:rPr>
            </w:pPr>
          </w:p>
        </w:tc>
      </w:tr>
      <w:tr>
        <w:trPr>
          <w:trHeight w:val="221"/>
        </w:trPr>
        <w:tc>
          <w:tcPr>
            <w:tcW w:w="7040" w:type="dxa"/>
            <w:vAlign w:val="bottom"/>
            <w:gridSpan w:val="5"/>
          </w:tcPr>
          <w:p>
            <w:pPr>
              <w:ind w:left="1300"/>
              <w:spacing w:after="0"/>
              <w:rPr>
                <w:sz w:val="20"/>
                <w:szCs w:val="20"/>
                <w:color w:val="auto"/>
              </w:rPr>
            </w:pPr>
            <w:r>
              <w:rPr>
                <w:rFonts w:ascii="Arial" w:cs="Arial" w:eastAsia="Arial" w:hAnsi="Arial"/>
                <w:sz w:val="17"/>
                <w:szCs w:val="17"/>
                <w:color w:val="auto"/>
              </w:rPr>
              <w:t>Income attributable to operating partnership units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638</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9"/>
                <w:szCs w:val="19"/>
                <w:color w:val="auto"/>
              </w:rPr>
            </w:pPr>
          </w:p>
        </w:tc>
      </w:tr>
      <w:tr>
        <w:trPr>
          <w:trHeight w:val="100"/>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7040" w:type="dxa"/>
            <w:vAlign w:val="bottom"/>
            <w:gridSpan w:val="5"/>
            <w:shd w:val="clear" w:color="auto" w:fill="CCEEFF"/>
          </w:tcPr>
          <w:p>
            <w:pPr>
              <w:ind w:left="1300"/>
              <w:spacing w:after="0"/>
              <w:rPr>
                <w:sz w:val="20"/>
                <w:szCs w:val="20"/>
                <w:color w:val="auto"/>
              </w:rPr>
            </w:pPr>
            <w:r>
              <w:rPr>
                <w:rFonts w:ascii="Arial" w:cs="Arial" w:eastAsia="Arial" w:hAnsi="Arial"/>
                <w:sz w:val="17"/>
                <w:szCs w:val="17"/>
                <w:color w:val="auto"/>
              </w:rPr>
              <w:t>Funds from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35,565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69,299</w:t>
            </w:r>
          </w:p>
        </w:tc>
        <w:tc>
          <w:tcPr>
            <w:tcW w:w="100" w:type="dxa"/>
            <w:vAlign w:val="bottom"/>
            <w:shd w:val="clear" w:color="auto" w:fill="CCEEFF"/>
          </w:tcPr>
          <w:p>
            <w:pPr>
              <w:spacing w:after="0"/>
              <w:rPr>
                <w:sz w:val="18"/>
                <w:szCs w:val="18"/>
                <w:color w:val="auto"/>
              </w:rPr>
            </w:pPr>
          </w:p>
        </w:tc>
      </w:tr>
      <w:tr>
        <w:trPr>
          <w:trHeight w:val="214"/>
        </w:trPr>
        <w:tc>
          <w:tcPr>
            <w:tcW w:w="7040" w:type="dxa"/>
            <w:vAlign w:val="bottom"/>
            <w:gridSpan w:val="5"/>
          </w:tcPr>
          <w:p>
            <w:pPr>
              <w:ind w:left="1300"/>
              <w:spacing w:after="0"/>
              <w:rPr>
                <w:sz w:val="20"/>
                <w:szCs w:val="20"/>
                <w:color w:val="auto"/>
              </w:rPr>
            </w:pPr>
            <w:r>
              <w:rPr>
                <w:rFonts w:ascii="Arial" w:cs="Arial" w:eastAsia="Arial" w:hAnsi="Arial"/>
                <w:sz w:val="17"/>
                <w:szCs w:val="17"/>
                <w:color w:val="auto"/>
              </w:rPr>
              <w:t>Dividends on preferred stock</w:t>
            </w:r>
          </w:p>
        </w:tc>
        <w:tc>
          <w:tcPr>
            <w:tcW w:w="100" w:type="dxa"/>
            <w:vAlign w:val="bottom"/>
          </w:tcPr>
          <w:p>
            <w:pPr>
              <w:spacing w:after="0"/>
              <w:rPr>
                <w:sz w:val="18"/>
                <w:szCs w:val="18"/>
                <w:color w:val="auto"/>
              </w:rPr>
            </w:pPr>
          </w:p>
        </w:tc>
        <w:tc>
          <w:tcPr>
            <w:tcW w:w="1080" w:type="dxa"/>
            <w:vAlign w:val="bottom"/>
            <w:gridSpan w:val="2"/>
          </w:tcPr>
          <w:p>
            <w:pPr>
              <w:jc w:val="right"/>
              <w:ind w:right="393"/>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(4,490)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93"/>
              <w:spacing w:after="0"/>
              <w:rPr>
                <w:sz w:val="20"/>
                <w:szCs w:val="20"/>
                <w:color w:val="auto"/>
              </w:rPr>
            </w:pPr>
            <w:r>
              <w:rPr>
                <w:rFonts w:ascii="Arial" w:cs="Arial" w:eastAsia="Arial" w:hAnsi="Arial"/>
                <w:sz w:val="17"/>
                <w:szCs w:val="17"/>
                <w:color w:val="auto"/>
              </w:rPr>
              <w:t>(5,738)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(9,346)</w:t>
            </w:r>
          </w:p>
        </w:tc>
      </w:tr>
      <w:tr>
        <w:trPr>
          <w:trHeight w:val="214"/>
        </w:trPr>
        <w:tc>
          <w:tcPr>
            <w:tcW w:w="7040" w:type="dxa"/>
            <w:vAlign w:val="bottom"/>
            <w:gridSpan w:val="5"/>
            <w:shd w:val="clear" w:color="auto" w:fill="CCEEFF"/>
          </w:tcPr>
          <w:p>
            <w:pPr>
              <w:ind w:left="1300"/>
              <w:spacing w:after="0"/>
              <w:rPr>
                <w:sz w:val="20"/>
                <w:szCs w:val="20"/>
                <w:color w:val="auto"/>
              </w:rPr>
            </w:pPr>
            <w:r>
              <w:rPr>
                <w:rFonts w:ascii="Arial" w:cs="Arial" w:eastAsia="Arial" w:hAnsi="Arial"/>
                <w:sz w:val="17"/>
                <w:szCs w:val="17"/>
                <w:color w:val="auto"/>
              </w:rPr>
              <w:t>Preferred stock redemption fee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(3,423)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(3,423)</w:t>
            </w:r>
          </w:p>
        </w:tc>
      </w:tr>
      <w:tr>
        <w:trPr>
          <w:trHeight w:val="107"/>
        </w:trPr>
        <w:tc>
          <w:tcPr>
            <w:tcW w:w="17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7040" w:type="dxa"/>
            <w:vAlign w:val="bottom"/>
            <w:gridSpan w:val="5"/>
            <w:shd w:val="clear" w:color="auto" w:fill="CCEEFF"/>
          </w:tcPr>
          <w:p>
            <w:pPr>
              <w:ind w:left="1300"/>
              <w:spacing w:after="0"/>
              <w:rPr>
                <w:sz w:val="20"/>
                <w:szCs w:val="20"/>
                <w:color w:val="auto"/>
              </w:rPr>
            </w:pPr>
            <w:r>
              <w:rPr>
                <w:rFonts w:ascii="Arial" w:cs="Arial" w:eastAsia="Arial" w:hAnsi="Arial"/>
                <w:sz w:val="17"/>
                <w:szCs w:val="17"/>
                <w:color w:val="auto"/>
              </w:rPr>
              <w:t>Funds from operations available for common shareholders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73,416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56,530</w:t>
            </w:r>
          </w:p>
        </w:tc>
        <w:tc>
          <w:tcPr>
            <w:tcW w:w="100" w:type="dxa"/>
            <w:vAlign w:val="bottom"/>
            <w:shd w:val="clear" w:color="auto" w:fill="CCEEFF"/>
          </w:tcPr>
          <w:p>
            <w:pPr>
              <w:spacing w:after="0"/>
              <w:rPr>
                <w:sz w:val="18"/>
                <w:szCs w:val="18"/>
                <w:color w:val="auto"/>
              </w:rPr>
            </w:pPr>
          </w:p>
        </w:tc>
      </w:tr>
      <w:tr>
        <w:trPr>
          <w:trHeight w:val="131"/>
        </w:trPr>
        <w:tc>
          <w:tcPr>
            <w:tcW w:w="17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4"/>
        </w:trPr>
        <w:tc>
          <w:tcPr>
            <w:tcW w:w="17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4"/>
        </w:trPr>
        <w:tc>
          <w:tcPr>
            <w:tcW w:w="7040" w:type="dxa"/>
            <w:vAlign w:val="bottom"/>
            <w:gridSpan w:val="5"/>
            <w:shd w:val="clear" w:color="auto" w:fill="CCEEFF"/>
          </w:tcPr>
          <w:p>
            <w:pPr>
              <w:ind w:left="1300"/>
              <w:spacing w:after="0"/>
              <w:rPr>
                <w:sz w:val="20"/>
                <w:szCs w:val="20"/>
                <w:color w:val="auto"/>
              </w:rPr>
            </w:pPr>
            <w:r>
              <w:rPr>
                <w:rFonts w:ascii="Arial" w:cs="Arial" w:eastAsia="Arial" w:hAnsi="Arial"/>
                <w:sz w:val="17"/>
                <w:szCs w:val="17"/>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52,681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48,376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51,593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46,876</w:t>
            </w:r>
          </w:p>
        </w:tc>
        <w:tc>
          <w:tcPr>
            <w:tcW w:w="100" w:type="dxa"/>
            <w:vAlign w:val="bottom"/>
            <w:shd w:val="clear" w:color="auto" w:fill="CCEEFF"/>
          </w:tcPr>
          <w:p>
            <w:pPr>
              <w:spacing w:after="0"/>
              <w:rPr>
                <w:sz w:val="18"/>
                <w:szCs w:val="18"/>
                <w:color w:val="auto"/>
              </w:rPr>
            </w:pPr>
          </w:p>
        </w:tc>
      </w:tr>
      <w:tr>
        <w:trPr>
          <w:trHeight w:val="107"/>
        </w:trPr>
        <w:tc>
          <w:tcPr>
            <w:tcW w:w="17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7040" w:type="dxa"/>
            <w:vAlign w:val="bottom"/>
            <w:gridSpan w:val="5"/>
            <w:shd w:val="clear" w:color="auto" w:fill="CCEEFF"/>
          </w:tcPr>
          <w:p>
            <w:pPr>
              <w:ind w:left="1300"/>
              <w:spacing w:after="0"/>
              <w:rPr>
                <w:sz w:val="20"/>
                <w:szCs w:val="20"/>
                <w:color w:val="auto"/>
              </w:rPr>
            </w:pPr>
            <w:r>
              <w:rPr>
                <w:rFonts w:ascii="Arial" w:cs="Arial" w:eastAsia="Arial" w:hAnsi="Arial"/>
                <w:sz w:val="17"/>
                <w:szCs w:val="17"/>
                <w:color w:val="auto"/>
              </w:rPr>
              <w:t>Funds from operations per share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8"/>
                <w:szCs w:val="18"/>
                <w:color w:val="auto"/>
              </w:rPr>
            </w:pPr>
          </w:p>
        </w:tc>
      </w:tr>
      <w:tr>
        <w:trPr>
          <w:trHeight w:val="107"/>
        </w:trPr>
        <w:tc>
          <w:tcPr>
            <w:tcW w:w="17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94"/>
        </w:trPr>
        <w:tc>
          <w:tcPr>
            <w:tcW w:w="3320" w:type="dxa"/>
            <w:vAlign w:val="bottom"/>
            <w:tcBorders>
              <w:bottom w:val="single" w:sz="8" w:color="auto"/>
            </w:tcBorders>
            <w:gridSpan w:val="2"/>
            <w:shd w:val="clear" w:color="auto" w:fill="CCEEFF"/>
          </w:tcPr>
          <w:p>
            <w:pPr>
              <w:spacing w:after="0" w:line="174" w:lineRule="exact"/>
              <w:rPr>
                <w:sz w:val="20"/>
                <w:szCs w:val="20"/>
                <w:color w:val="auto"/>
              </w:rPr>
            </w:pPr>
            <w:r>
              <w:rPr>
                <w:rFonts w:ascii="Arial" w:cs="Arial" w:eastAsia="Arial" w:hAnsi="Arial"/>
                <w:sz w:val="17"/>
                <w:szCs w:val="17"/>
                <w:color w:val="auto"/>
                <w:w w:val="98"/>
              </w:rPr>
              <w:t>EARNINGS PER COMMON SHARE, BASIC</w:t>
            </w:r>
          </w:p>
        </w:tc>
        <w:tc>
          <w:tcPr>
            <w:tcW w:w="3720" w:type="dxa"/>
            <w:vAlign w:val="bottom"/>
            <w:tcBorders>
              <w:bottom w:val="single" w:sz="8" w:color="CCEEFF"/>
            </w:tcBorders>
            <w:gridSpan w:val="3"/>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4"/>
        </w:trPr>
        <w:tc>
          <w:tcPr>
            <w:tcW w:w="7040" w:type="dxa"/>
            <w:vAlign w:val="bottom"/>
            <w:gridSpan w:val="5"/>
          </w:tcPr>
          <w:p>
            <w:pPr>
              <w:ind w:left="860"/>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0.29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0.19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0.58</w:t>
            </w:r>
          </w:p>
        </w:tc>
        <w:tc>
          <w:tcPr>
            <w:tcW w:w="5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8"/>
                <w:szCs w:val="18"/>
                <w:color w:val="auto"/>
              </w:rPr>
            </w:pPr>
          </w:p>
        </w:tc>
      </w:tr>
      <w:tr>
        <w:trPr>
          <w:trHeight w:val="214"/>
        </w:trPr>
        <w:tc>
          <w:tcPr>
            <w:tcW w:w="7040" w:type="dxa"/>
            <w:vAlign w:val="bottom"/>
            <w:gridSpan w:val="5"/>
            <w:shd w:val="clear" w:color="auto" w:fill="CCEEFF"/>
          </w:tcPr>
          <w:p>
            <w:pPr>
              <w:ind w:left="860"/>
              <w:spacing w:after="0"/>
              <w:rPr>
                <w:sz w:val="20"/>
                <w:szCs w:val="20"/>
                <w:color w:val="auto"/>
              </w:rPr>
            </w:pPr>
            <w:r>
              <w:rPr>
                <w:rFonts w:ascii="Arial" w:cs="Arial" w:eastAsia="Arial" w:hAnsi="Arial"/>
                <w:sz w:val="17"/>
                <w:szCs w:val="17"/>
                <w:color w:val="auto"/>
              </w:rPr>
              <w:t>Income from discontinued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spacing w:after="0"/>
              <w:rPr>
                <w:sz w:val="18"/>
                <w:szCs w:val="18"/>
                <w:color w:val="auto"/>
              </w:rPr>
            </w:pPr>
          </w:p>
        </w:tc>
      </w:tr>
      <w:tr>
        <w:trPr>
          <w:trHeight w:val="221"/>
        </w:trPr>
        <w:tc>
          <w:tcPr>
            <w:tcW w:w="7040" w:type="dxa"/>
            <w:vAlign w:val="bottom"/>
            <w:gridSpan w:val="5"/>
          </w:tcPr>
          <w:p>
            <w:pPr>
              <w:ind w:left="860"/>
              <w:spacing w:after="0"/>
              <w:rPr>
                <w:sz w:val="20"/>
                <w:szCs w:val="20"/>
                <w:color w:val="auto"/>
              </w:rPr>
            </w:pPr>
            <w:r>
              <w:rPr>
                <w:rFonts w:ascii="Arial" w:cs="Arial" w:eastAsia="Arial" w:hAnsi="Arial"/>
                <w:sz w:val="17"/>
                <w:szCs w:val="17"/>
                <w:color w:val="auto"/>
              </w:rPr>
              <w:t>Gain on sale of real estate</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0.01</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0.16</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r>
      <w:tr>
        <w:trPr>
          <w:trHeight w:val="100"/>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1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00" w:type="dxa"/>
            <w:vAlign w:val="bottom"/>
            <w:shd w:val="clear" w:color="auto" w:fill="CCEEFF"/>
          </w:tcPr>
          <w:p>
            <w:pPr>
              <w:spacing w:after="0"/>
              <w:rPr>
                <w:sz w:val="18"/>
                <w:szCs w:val="18"/>
                <w:color w:val="auto"/>
              </w:rPr>
            </w:pPr>
          </w:p>
        </w:tc>
      </w:tr>
      <w:tr>
        <w:trPr>
          <w:trHeight w:val="131"/>
        </w:trPr>
        <w:tc>
          <w:tcPr>
            <w:tcW w:w="17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4"/>
        </w:trPr>
        <w:tc>
          <w:tcPr>
            <w:tcW w:w="17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4"/>
        </w:trPr>
        <w:tc>
          <w:tcPr>
            <w:tcW w:w="7040" w:type="dxa"/>
            <w:vAlign w:val="bottom"/>
            <w:gridSpan w:val="5"/>
            <w:shd w:val="clear" w:color="auto" w:fill="CCEEFF"/>
          </w:tcPr>
          <w:p>
            <w:pPr>
              <w:ind w:left="1300"/>
              <w:spacing w:after="0"/>
              <w:rPr>
                <w:sz w:val="20"/>
                <w:szCs w:val="20"/>
                <w:color w:val="auto"/>
              </w:rPr>
            </w:pPr>
            <w:r>
              <w:rPr>
                <w:rFonts w:ascii="Arial" w:cs="Arial" w:eastAsia="Arial" w:hAnsi="Arial"/>
                <w:sz w:val="17"/>
                <w:szCs w:val="17"/>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47,161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50,207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45,726</w:t>
            </w:r>
          </w:p>
        </w:tc>
        <w:tc>
          <w:tcPr>
            <w:tcW w:w="100" w:type="dxa"/>
            <w:vAlign w:val="bottom"/>
            <w:shd w:val="clear" w:color="auto" w:fill="CCEEFF"/>
          </w:tcPr>
          <w:p>
            <w:pPr>
              <w:spacing w:after="0"/>
              <w:rPr>
                <w:sz w:val="18"/>
                <w:szCs w:val="18"/>
                <w:color w:val="auto"/>
              </w:rPr>
            </w:pPr>
          </w:p>
        </w:tc>
      </w:tr>
      <w:tr>
        <w:trPr>
          <w:trHeight w:val="131"/>
        </w:trPr>
        <w:tc>
          <w:tcPr>
            <w:tcW w:w="17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4"/>
        </w:trPr>
        <w:tc>
          <w:tcPr>
            <w:tcW w:w="17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94"/>
        </w:trPr>
        <w:tc>
          <w:tcPr>
            <w:tcW w:w="3560" w:type="dxa"/>
            <w:vAlign w:val="bottom"/>
            <w:tcBorders>
              <w:bottom w:val="single" w:sz="8" w:color="auto"/>
            </w:tcBorders>
            <w:gridSpan w:val="3"/>
            <w:shd w:val="clear" w:color="auto" w:fill="CCEEFF"/>
          </w:tcPr>
          <w:p>
            <w:pPr>
              <w:spacing w:after="0" w:line="174" w:lineRule="exact"/>
              <w:rPr>
                <w:sz w:val="20"/>
                <w:szCs w:val="20"/>
                <w:color w:val="auto"/>
              </w:rPr>
            </w:pPr>
            <w:r>
              <w:rPr>
                <w:rFonts w:ascii="Arial" w:cs="Arial" w:eastAsia="Arial" w:hAnsi="Arial"/>
                <w:sz w:val="17"/>
                <w:szCs w:val="17"/>
                <w:color w:val="auto"/>
                <w:w w:val="98"/>
              </w:rPr>
              <w:t>EARNINGS PER COMMON SHARE, DILUTED</w:t>
            </w:r>
          </w:p>
        </w:tc>
        <w:tc>
          <w:tcPr>
            <w:tcW w:w="348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4"/>
        </w:trPr>
        <w:tc>
          <w:tcPr>
            <w:tcW w:w="7040" w:type="dxa"/>
            <w:vAlign w:val="bottom"/>
            <w:gridSpan w:val="5"/>
          </w:tcPr>
          <w:p>
            <w:pPr>
              <w:ind w:left="860"/>
              <w:spacing w:after="0"/>
              <w:rPr>
                <w:sz w:val="20"/>
                <w:szCs w:val="20"/>
                <w:color w:val="auto"/>
              </w:rPr>
            </w:pPr>
            <w:r>
              <w:rPr>
                <w:rFonts w:ascii="Arial" w:cs="Arial" w:eastAsia="Arial" w:hAnsi="Arial"/>
                <w:sz w:val="17"/>
                <w:szCs w:val="17"/>
                <w:color w:val="auto"/>
              </w:rPr>
              <w:t>Income from continuing operations available to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0.29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0.19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0.58</w:t>
            </w:r>
          </w:p>
        </w:tc>
        <w:tc>
          <w:tcPr>
            <w:tcW w:w="5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8"/>
                <w:szCs w:val="18"/>
                <w:color w:val="auto"/>
              </w:rPr>
            </w:pPr>
          </w:p>
        </w:tc>
      </w:tr>
      <w:tr>
        <w:trPr>
          <w:trHeight w:val="109"/>
        </w:trPr>
        <w:tc>
          <w:tcPr>
            <w:tcW w:w="176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4468495</wp:posOffset>
            </wp:positionH>
            <wp:positionV relativeFrom="paragraph">
              <wp:posOffset>-4094480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-4094480</wp:posOffset>
            </wp:positionV>
            <wp:extent cx="2095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-4094480</wp:posOffset>
            </wp:positionV>
            <wp:extent cx="381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-4094480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-4094480</wp:posOffset>
            </wp:positionV>
            <wp:extent cx="2095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-4094480</wp:posOffset>
            </wp:positionV>
            <wp:extent cx="381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-4094480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-4094480</wp:posOffset>
            </wp:positionV>
            <wp:extent cx="2095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-4094480</wp:posOffset>
            </wp:positionV>
            <wp:extent cx="381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6748145</wp:posOffset>
            </wp:positionH>
            <wp:positionV relativeFrom="paragraph">
              <wp:posOffset>-4094480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6807835</wp:posOffset>
            </wp:positionH>
            <wp:positionV relativeFrom="paragraph">
              <wp:posOffset>-4094480</wp:posOffset>
            </wp:positionV>
            <wp:extent cx="2095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7173595</wp:posOffset>
            </wp:positionH>
            <wp:positionV relativeFrom="paragraph">
              <wp:posOffset>-4094480</wp:posOffset>
            </wp:positionV>
            <wp:extent cx="381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-2282825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-2282825</wp:posOffset>
            </wp:positionV>
            <wp:extent cx="2095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-2282825</wp:posOffset>
            </wp:positionV>
            <wp:extent cx="381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-2282825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-2282825</wp:posOffset>
            </wp:positionV>
            <wp:extent cx="2095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-2282825</wp:posOffset>
            </wp:positionV>
            <wp:extent cx="381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-2282825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-2282825</wp:posOffset>
            </wp:positionV>
            <wp:extent cx="2095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-2282825</wp:posOffset>
            </wp:positionV>
            <wp:extent cx="381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6748145</wp:posOffset>
            </wp:positionH>
            <wp:positionV relativeFrom="paragraph">
              <wp:posOffset>-2282825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6807835</wp:posOffset>
            </wp:positionH>
            <wp:positionV relativeFrom="paragraph">
              <wp:posOffset>-2282825</wp:posOffset>
            </wp:positionV>
            <wp:extent cx="2095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7173595</wp:posOffset>
            </wp:positionH>
            <wp:positionV relativeFrom="paragraph">
              <wp:posOffset>-2282825</wp:posOffset>
            </wp:positionV>
            <wp:extent cx="381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-734695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-734695</wp:posOffset>
            </wp:positionV>
            <wp:extent cx="2095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-734695</wp:posOffset>
            </wp:positionV>
            <wp:extent cx="381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-734695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-734695</wp:posOffset>
            </wp:positionV>
            <wp:extent cx="2095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-734695</wp:posOffset>
            </wp:positionV>
            <wp:extent cx="381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-734695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-734695</wp:posOffset>
            </wp:positionV>
            <wp:extent cx="2095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-734695</wp:posOffset>
            </wp:positionV>
            <wp:extent cx="381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6748145</wp:posOffset>
            </wp:positionH>
            <wp:positionV relativeFrom="paragraph">
              <wp:posOffset>-734695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6807835</wp:posOffset>
            </wp:positionH>
            <wp:positionV relativeFrom="paragraph">
              <wp:posOffset>-734695</wp:posOffset>
            </wp:positionV>
            <wp:extent cx="2095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7173595</wp:posOffset>
            </wp:positionH>
            <wp:positionV relativeFrom="paragraph">
              <wp:posOffset>-734695</wp:posOffset>
            </wp:positionV>
            <wp:extent cx="381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-436880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-436880</wp:posOffset>
            </wp:positionV>
            <wp:extent cx="2095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-436880</wp:posOffset>
            </wp:positionV>
            <wp:extent cx="381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-436880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-436880</wp:posOffset>
            </wp:positionV>
            <wp:extent cx="2095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-436880</wp:posOffset>
            </wp:positionV>
            <wp:extent cx="381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-436880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-436880</wp:posOffset>
            </wp:positionV>
            <wp:extent cx="2095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-436880</wp:posOffset>
            </wp:positionV>
            <wp:extent cx="381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6748145</wp:posOffset>
            </wp:positionH>
            <wp:positionV relativeFrom="paragraph">
              <wp:posOffset>-436880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6807835</wp:posOffset>
            </wp:positionH>
            <wp:positionV relativeFrom="paragraph">
              <wp:posOffset>-436880</wp:posOffset>
            </wp:positionV>
            <wp:extent cx="2095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7173595</wp:posOffset>
            </wp:positionH>
            <wp:positionV relativeFrom="paragraph">
              <wp:posOffset>-436880</wp:posOffset>
            </wp:positionV>
            <wp:extent cx="381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900" w:orient="portrait"/>
          <w:cols w:equalWidth="0" w:num="1">
            <w:col w:w="11420"/>
          </w:cols>
          <w:pgMar w:left="240" w:top="272"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4"/>
        </w:trPr>
        <w:tc>
          <w:tcPr>
            <w:tcW w:w="71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Income from discontinued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7140" w:type="dxa"/>
            <w:vAlign w:val="bottom"/>
            <w:gridSpan w:val="2"/>
            <w:vMerge w:val="restart"/>
          </w:tcPr>
          <w:p>
            <w:pPr>
              <w:ind w:left="860"/>
              <w:spacing w:after="0"/>
              <w:rPr>
                <w:sz w:val="20"/>
                <w:szCs w:val="20"/>
                <w:color w:val="auto"/>
              </w:rPr>
            </w:pPr>
            <w:r>
              <w:rPr>
                <w:rFonts w:ascii="Arial" w:cs="Arial" w:eastAsia="Arial" w:hAnsi="Arial"/>
                <w:sz w:val="17"/>
                <w:szCs w:val="17"/>
                <w:color w:val="auto"/>
              </w:rPr>
              <w:t>Gain on sale of real estate</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0.16</w:t>
            </w:r>
          </w:p>
        </w:tc>
        <w:tc>
          <w:tcPr>
            <w:tcW w:w="100" w:type="dxa"/>
            <w:vAlign w:val="bottom"/>
            <w:vMerge w:val="restart"/>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5"/>
                <w:szCs w:val="5"/>
                <w:color w:val="auto"/>
              </w:rPr>
            </w:pPr>
          </w:p>
        </w:tc>
        <w:tc>
          <w:tcPr>
            <w:tcW w:w="1100" w:type="dxa"/>
            <w:vAlign w:val="bottom"/>
            <w:gridSpan w:val="2"/>
            <w:vMerge w:val="restart"/>
          </w:tcPr>
          <w:p>
            <w:pPr>
              <w:jc w:val="right"/>
              <w:ind w:right="520"/>
              <w:spacing w:after="0"/>
              <w:rPr>
                <w:sz w:val="20"/>
                <w:szCs w:val="20"/>
                <w:color w:val="auto"/>
              </w:rPr>
            </w:pPr>
            <w:r>
              <w:rPr>
                <w:rFonts w:ascii="Arial" w:cs="Arial" w:eastAsia="Arial" w:hAnsi="Arial"/>
                <w:sz w:val="17"/>
                <w:szCs w:val="17"/>
                <w:color w:val="auto"/>
              </w:rPr>
              <w:t>0.16</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0.01</w:t>
            </w:r>
          </w:p>
        </w:tc>
        <w:tc>
          <w:tcPr>
            <w:tcW w:w="1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71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7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70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0.75</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7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1300"/>
              <w:spacing w:after="0"/>
              <w:rPr>
                <w:sz w:val="20"/>
                <w:szCs w:val="20"/>
                <w:color w:val="auto"/>
              </w:rPr>
            </w:pPr>
            <w:r>
              <w:rPr>
                <w:rFonts w:ascii="Arial" w:cs="Arial" w:eastAsia="Arial" w:hAnsi="Arial"/>
                <w:sz w:val="17"/>
                <w:szCs w:val="17"/>
                <w:color w:val="auto"/>
              </w:rPr>
              <w:t>Weighted average number of common shares, diluted</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52,681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48,376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51,593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46,876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7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4468495</wp:posOffset>
            </wp:positionH>
            <wp:positionV relativeFrom="paragraph">
              <wp:posOffset>-307975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-307975</wp:posOffset>
            </wp:positionV>
            <wp:extent cx="2095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-307975</wp:posOffset>
            </wp:positionV>
            <wp:extent cx="381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-307975</wp:posOffset>
            </wp:positionV>
            <wp:extent cx="19945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94535"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CONSOLIDATED BALANCE SHEETS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660"/>
              <w:spacing w:after="0"/>
              <w:rPr>
                <w:sz w:val="20"/>
                <w:szCs w:val="20"/>
                <w:color w:val="auto"/>
              </w:rPr>
            </w:pPr>
            <w:r>
              <w:rPr>
                <w:rFonts w:ascii="Arial" w:cs="Arial" w:eastAsia="Arial" w:hAnsi="Arial"/>
                <w:sz w:val="13"/>
                <w:szCs w:val="13"/>
                <w:b w:val="1"/>
                <w:bCs w:val="1"/>
                <w:color w:val="auto"/>
                <w:w w:val="92"/>
              </w:rPr>
              <w:t>June 30,</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9"/>
              </w:rPr>
              <w:t>2004</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3"/>
                <w:szCs w:val="13"/>
                <w:b w:val="1"/>
                <w:bCs w:val="1"/>
                <w:color w:val="auto"/>
              </w:rPr>
              <w:t>2003</w:t>
            </w:r>
          </w:p>
        </w:tc>
        <w:tc>
          <w:tcPr>
            <w:tcW w:w="100" w:type="dxa"/>
            <w:vAlign w:val="bottom"/>
          </w:tcPr>
          <w:p>
            <w:pPr>
              <w:spacing w:after="0"/>
              <w:rPr>
                <w:sz w:val="15"/>
                <w:szCs w:val="15"/>
                <w:color w:val="auto"/>
              </w:rPr>
            </w:pPr>
          </w:p>
        </w:tc>
      </w:tr>
      <w:tr>
        <w:trPr>
          <w:trHeight w:val="94"/>
        </w:trPr>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48"/>
        </w:trPr>
        <w:tc>
          <w:tcPr>
            <w:tcW w:w="9140" w:type="dxa"/>
            <w:vAlign w:val="bottom"/>
          </w:tcPr>
          <w:p>
            <w:pPr>
              <w:spacing w:after="0"/>
              <w:rPr>
                <w:sz w:val="21"/>
                <w:szCs w:val="21"/>
                <w:color w:val="auto"/>
              </w:rPr>
            </w:pPr>
          </w:p>
        </w:tc>
        <w:tc>
          <w:tcPr>
            <w:tcW w:w="1360" w:type="dxa"/>
            <w:vAlign w:val="bottom"/>
            <w:gridSpan w:val="4"/>
          </w:tcPr>
          <w:p>
            <w:pPr>
              <w:jc w:val="center"/>
              <w:ind w:right="540"/>
              <w:spacing w:after="0"/>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4"/>
        </w:trPr>
        <w:tc>
          <w:tcPr>
            <w:tcW w:w="9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1"/>
        </w:trPr>
        <w:tc>
          <w:tcPr>
            <w:tcW w:w="9140" w:type="dxa"/>
            <w:vAlign w:val="bottom"/>
          </w:tcPr>
          <w:p>
            <w:pPr>
              <w:spacing w:after="0"/>
              <w:rPr>
                <w:sz w:val="20"/>
                <w:szCs w:val="20"/>
                <w:color w:val="auto"/>
              </w:rPr>
            </w:pPr>
            <w:r>
              <w:rPr>
                <w:rFonts w:ascii="Arial" w:cs="Arial" w:eastAsia="Arial" w:hAnsi="Arial"/>
                <w:sz w:val="17"/>
                <w:szCs w:val="17"/>
                <w:color w:val="auto"/>
              </w:rPr>
              <w:t>Real estate, at cost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2,624,408</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2,470,149</w:t>
            </w:r>
          </w:p>
        </w:tc>
        <w:tc>
          <w:tcPr>
            <w:tcW w:w="100" w:type="dxa"/>
            <w:vAlign w:val="bottom"/>
          </w:tcPr>
          <w:p>
            <w:pPr>
              <w:spacing w:after="0"/>
              <w:rPr>
                <w:sz w:val="24"/>
                <w:szCs w:val="24"/>
                <w:color w:val="auto"/>
              </w:rPr>
            </w:pPr>
          </w:p>
        </w:tc>
      </w:tr>
      <w:tr>
        <w:trPr>
          <w:trHeight w:val="215"/>
        </w:trPr>
        <w:tc>
          <w:tcPr>
            <w:tcW w:w="9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(552,138)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(514,177)</w:t>
            </w:r>
          </w:p>
        </w:tc>
      </w:tr>
      <w:tr>
        <w:trPr>
          <w:trHeight w:val="107"/>
        </w:trPr>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Net real estate investments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2,072,270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1,955,972</w:t>
            </w:r>
          </w:p>
        </w:tc>
        <w:tc>
          <w:tcPr>
            <w:tcW w:w="100" w:type="dxa"/>
            <w:vAlign w:val="bottom"/>
            <w:shd w:val="clear" w:color="auto" w:fill="CCEEFF"/>
          </w:tcPr>
          <w:p>
            <w:pPr>
              <w:spacing w:after="0"/>
              <w:rPr>
                <w:sz w:val="18"/>
                <w:szCs w:val="18"/>
                <w:color w:val="auto"/>
              </w:rPr>
            </w:pPr>
          </w:p>
        </w:tc>
      </w:tr>
      <w:tr>
        <w:trPr>
          <w:trHeight w:val="321"/>
        </w:trPr>
        <w:tc>
          <w:tcPr>
            <w:tcW w:w="91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45,103</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34,968</w:t>
            </w:r>
          </w:p>
        </w:tc>
        <w:tc>
          <w:tcPr>
            <w:tcW w:w="100" w:type="dxa"/>
            <w:vAlign w:val="bottom"/>
          </w:tcPr>
          <w:p>
            <w:pPr>
              <w:spacing w:after="0"/>
              <w:rPr>
                <w:sz w:val="24"/>
                <w:szCs w:val="24"/>
                <w:color w:val="auto"/>
              </w:rPr>
            </w:pPr>
          </w:p>
        </w:tc>
      </w:tr>
      <w:tr>
        <w:trPr>
          <w:trHeight w:val="215"/>
        </w:trPr>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44,907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41,500</w:t>
            </w:r>
          </w:p>
        </w:tc>
        <w:tc>
          <w:tcPr>
            <w:tcW w:w="100" w:type="dxa"/>
            <w:vAlign w:val="bottom"/>
            <w:shd w:val="clear" w:color="auto" w:fill="CCEEFF"/>
          </w:tcPr>
          <w:p>
            <w:pPr>
              <w:spacing w:after="0"/>
              <w:rPr>
                <w:sz w:val="18"/>
                <w:szCs w:val="18"/>
                <w:color w:val="auto"/>
              </w:rPr>
            </w:pPr>
          </w:p>
        </w:tc>
      </w:tr>
      <w:tr>
        <w:trPr>
          <w:trHeight w:val="214"/>
        </w:trPr>
        <w:tc>
          <w:tcPr>
            <w:tcW w:w="9140" w:type="dxa"/>
            <w:vAlign w:val="bottom"/>
          </w:tcPr>
          <w:p>
            <w:pPr>
              <w:spacing w:after="0"/>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34,494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31,207</w:t>
            </w:r>
          </w:p>
        </w:tc>
        <w:tc>
          <w:tcPr>
            <w:tcW w:w="100" w:type="dxa"/>
            <w:vAlign w:val="bottom"/>
          </w:tcPr>
          <w:p>
            <w:pPr>
              <w:spacing w:after="0"/>
              <w:rPr>
                <w:sz w:val="18"/>
                <w:szCs w:val="18"/>
                <w:color w:val="auto"/>
              </w:rPr>
            </w:pPr>
          </w:p>
        </w:tc>
      </w:tr>
      <w:tr>
        <w:trPr>
          <w:trHeight w:val="214"/>
        </w:trPr>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78,439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79,788</w:t>
            </w:r>
          </w:p>
        </w:tc>
        <w:tc>
          <w:tcPr>
            <w:tcW w:w="100" w:type="dxa"/>
            <w:vAlign w:val="bottom"/>
            <w:shd w:val="clear" w:color="auto" w:fill="CCEEFF"/>
          </w:tcPr>
          <w:p>
            <w:pPr>
              <w:spacing w:after="0"/>
              <w:rPr>
                <w:sz w:val="18"/>
                <w:szCs w:val="18"/>
                <w:color w:val="auto"/>
              </w:rPr>
            </w:pPr>
          </w:p>
        </w:tc>
      </w:tr>
      <w:tr>
        <w:trPr>
          <w:trHeight w:val="107"/>
        </w:trPr>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9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2,275,213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2,143,435</w:t>
            </w:r>
          </w:p>
        </w:tc>
        <w:tc>
          <w:tcPr>
            <w:tcW w:w="100" w:type="dxa"/>
            <w:vAlign w:val="bottom"/>
            <w:shd w:val="clear" w:color="auto" w:fill="CCEEFF"/>
          </w:tcPr>
          <w:p>
            <w:pPr>
              <w:spacing w:after="0"/>
              <w:rPr>
                <w:sz w:val="18"/>
                <w:szCs w:val="18"/>
                <w:color w:val="auto"/>
              </w:rPr>
            </w:pPr>
          </w:p>
        </w:tc>
      </w:tr>
      <w:tr>
        <w:trPr>
          <w:trHeight w:val="131"/>
        </w:trPr>
        <w:tc>
          <w:tcPr>
            <w:tcW w:w="9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4"/>
        </w:trPr>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4"/>
        </w:trPr>
        <w:tc>
          <w:tcPr>
            <w:tcW w:w="9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1"/>
        </w:trPr>
        <w:tc>
          <w:tcPr>
            <w:tcW w:w="9140" w:type="dxa"/>
            <w:vAlign w:val="bottom"/>
          </w:tcPr>
          <w:p>
            <w:pPr>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9140" w:type="dxa"/>
            <w:vAlign w:val="bottom"/>
            <w:shd w:val="clear" w:color="auto" w:fill="CCEEFF"/>
          </w:tcPr>
          <w:p>
            <w:pPr>
              <w:ind w:left="860"/>
              <w:spacing w:after="0"/>
              <w:rPr>
                <w:sz w:val="20"/>
                <w:szCs w:val="20"/>
                <w:color w:val="auto"/>
              </w:rPr>
            </w:pPr>
            <w:r>
              <w:rPr>
                <w:rFonts w:ascii="Arial" w:cs="Arial" w:eastAsia="Arial" w:hAnsi="Arial"/>
                <w:sz w:val="17"/>
                <w:szCs w:val="17"/>
                <w:color w:val="auto"/>
              </w:rPr>
              <w:t>Obligations under capital leases, mortgages and construction loans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412,684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414,357</w:t>
            </w:r>
          </w:p>
        </w:tc>
        <w:tc>
          <w:tcPr>
            <w:tcW w:w="100" w:type="dxa"/>
            <w:vAlign w:val="bottom"/>
            <w:shd w:val="clear" w:color="auto" w:fill="CCEEFF"/>
          </w:tcPr>
          <w:p>
            <w:pPr>
              <w:spacing w:after="0"/>
              <w:rPr>
                <w:sz w:val="18"/>
                <w:szCs w:val="18"/>
                <w:color w:val="auto"/>
              </w:rPr>
            </w:pPr>
          </w:p>
        </w:tc>
      </w:tr>
      <w:tr>
        <w:trPr>
          <w:trHeight w:val="214"/>
        </w:trPr>
        <w:tc>
          <w:tcPr>
            <w:tcW w:w="9140" w:type="dxa"/>
            <w:vAlign w:val="bottom"/>
          </w:tcPr>
          <w:p>
            <w:pPr>
              <w:ind w:left="860"/>
              <w:spacing w:after="0"/>
              <w:rPr>
                <w:sz w:val="20"/>
                <w:szCs w:val="20"/>
                <w:color w:val="auto"/>
              </w:rPr>
            </w:pPr>
            <w:r>
              <w:rPr>
                <w:rFonts w:ascii="Arial" w:cs="Arial" w:eastAsia="Arial" w:hAnsi="Arial"/>
                <w:sz w:val="17"/>
                <w:szCs w:val="17"/>
                <w:color w:val="auto"/>
              </w:rPr>
              <w:t>Notes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338,500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361,323</w:t>
            </w:r>
          </w:p>
        </w:tc>
        <w:tc>
          <w:tcPr>
            <w:tcW w:w="100" w:type="dxa"/>
            <w:vAlign w:val="bottom"/>
          </w:tcPr>
          <w:p>
            <w:pPr>
              <w:spacing w:after="0"/>
              <w:rPr>
                <w:sz w:val="18"/>
                <w:szCs w:val="18"/>
                <w:color w:val="auto"/>
              </w:rPr>
            </w:pPr>
          </w:p>
        </w:tc>
      </w:tr>
      <w:tr>
        <w:trPr>
          <w:trHeight w:val="214"/>
        </w:trPr>
        <w:tc>
          <w:tcPr>
            <w:tcW w:w="9140" w:type="dxa"/>
            <w:vAlign w:val="bottom"/>
            <w:shd w:val="clear" w:color="auto" w:fill="CCEEFF"/>
          </w:tcPr>
          <w:p>
            <w:pPr>
              <w:ind w:left="860"/>
              <w:spacing w:after="0"/>
              <w:rPr>
                <w:sz w:val="20"/>
                <w:szCs w:val="20"/>
                <w:color w:val="auto"/>
              </w:rPr>
            </w:pPr>
            <w:r>
              <w:rPr>
                <w:rFonts w:ascii="Arial" w:cs="Arial" w:eastAsia="Arial" w:hAnsi="Arial"/>
                <w:sz w:val="17"/>
                <w:szCs w:val="17"/>
                <w:color w:val="auto"/>
              </w:rPr>
              <w:t>Senior notes and debentures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570,500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535,000</w:t>
            </w:r>
          </w:p>
        </w:tc>
        <w:tc>
          <w:tcPr>
            <w:tcW w:w="100" w:type="dxa"/>
            <w:vAlign w:val="bottom"/>
            <w:shd w:val="clear" w:color="auto" w:fill="CCEEFF"/>
          </w:tcPr>
          <w:p>
            <w:pPr>
              <w:spacing w:after="0"/>
              <w:rPr>
                <w:sz w:val="18"/>
                <w:szCs w:val="18"/>
                <w:color w:val="auto"/>
              </w:rPr>
            </w:pPr>
          </w:p>
        </w:tc>
      </w:tr>
      <w:tr>
        <w:trPr>
          <w:trHeight w:val="221"/>
        </w:trPr>
        <w:tc>
          <w:tcPr>
            <w:tcW w:w="9140" w:type="dxa"/>
            <w:vAlign w:val="bottom"/>
          </w:tcPr>
          <w:p>
            <w:pPr>
              <w:ind w:left="860"/>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133,686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111,799</w:t>
            </w:r>
          </w:p>
        </w:tc>
        <w:tc>
          <w:tcPr>
            <w:tcW w:w="100" w:type="dxa"/>
            <w:vAlign w:val="bottom"/>
          </w:tcPr>
          <w:p>
            <w:pPr>
              <w:spacing w:after="0"/>
              <w:rPr>
                <w:sz w:val="19"/>
                <w:szCs w:val="19"/>
                <w:color w:val="auto"/>
              </w:rPr>
            </w:pPr>
          </w:p>
        </w:tc>
      </w:tr>
      <w:tr>
        <w:trPr>
          <w:trHeight w:val="100"/>
        </w:trPr>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1,455,370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1,422,479</w:t>
            </w:r>
          </w:p>
        </w:tc>
        <w:tc>
          <w:tcPr>
            <w:tcW w:w="100" w:type="dxa"/>
            <w:vAlign w:val="bottom"/>
            <w:shd w:val="clear" w:color="auto" w:fill="CCEEFF"/>
          </w:tcPr>
          <w:p>
            <w:pPr>
              <w:spacing w:after="0"/>
              <w:rPr>
                <w:sz w:val="18"/>
                <w:szCs w:val="18"/>
                <w:color w:val="auto"/>
              </w:rPr>
            </w:pPr>
          </w:p>
        </w:tc>
      </w:tr>
      <w:tr>
        <w:trPr>
          <w:trHeight w:val="320"/>
        </w:trPr>
        <w:tc>
          <w:tcPr>
            <w:tcW w:w="9140" w:type="dxa"/>
            <w:vAlign w:val="bottom"/>
          </w:tcPr>
          <w:p>
            <w:pPr>
              <w:spacing w:after="0"/>
              <w:rPr>
                <w:sz w:val="20"/>
                <w:szCs w:val="20"/>
                <w:color w:val="auto"/>
              </w:rPr>
            </w:pPr>
            <w:r>
              <w:rPr>
                <w:rFonts w:ascii="Arial" w:cs="Arial" w:eastAsia="Arial" w:hAnsi="Arial"/>
                <w:sz w:val="17"/>
                <w:szCs w:val="17"/>
                <w:color w:val="auto"/>
              </w:rPr>
              <w:t>Minority interests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29,864</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29,582</w:t>
            </w:r>
          </w:p>
        </w:tc>
        <w:tc>
          <w:tcPr>
            <w:tcW w:w="100" w:type="dxa"/>
            <w:vAlign w:val="bottom"/>
          </w:tcPr>
          <w:p>
            <w:pPr>
              <w:spacing w:after="0"/>
              <w:rPr>
                <w:sz w:val="24"/>
                <w:szCs w:val="24"/>
                <w:color w:val="auto"/>
              </w:rPr>
            </w:pPr>
          </w:p>
        </w:tc>
      </w:tr>
      <w:tr>
        <w:trPr>
          <w:trHeight w:val="109"/>
        </w:trPr>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4"/>
        </w:trPr>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9140" w:type="dxa"/>
            <w:vAlign w:val="bottom"/>
          </w:tcPr>
          <w:p>
            <w:pPr>
              <w:ind w:left="860"/>
              <w:spacing w:after="0"/>
              <w:rPr>
                <w:sz w:val="20"/>
                <w:szCs w:val="20"/>
                <w:color w:val="auto"/>
              </w:rPr>
            </w:pPr>
            <w:r>
              <w:rPr>
                <w:rFonts w:ascii="Arial" w:cs="Arial" w:eastAsia="Arial" w:hAnsi="Arial"/>
                <w:sz w:val="17"/>
                <w:szCs w:val="17"/>
                <w:color w:val="auto"/>
              </w:rPr>
              <w:t>Preferred stock</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135,000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135,000</w:t>
            </w:r>
          </w:p>
        </w:tc>
        <w:tc>
          <w:tcPr>
            <w:tcW w:w="100" w:type="dxa"/>
            <w:vAlign w:val="bottom"/>
          </w:tcPr>
          <w:p>
            <w:pPr>
              <w:spacing w:after="0"/>
              <w:rPr>
                <w:sz w:val="18"/>
                <w:szCs w:val="18"/>
                <w:color w:val="auto"/>
              </w:rPr>
            </w:pPr>
          </w:p>
        </w:tc>
      </w:tr>
      <w:tr>
        <w:trPr>
          <w:trHeight w:val="214"/>
        </w:trPr>
        <w:tc>
          <w:tcPr>
            <w:tcW w:w="9140" w:type="dxa"/>
            <w:vAlign w:val="bottom"/>
            <w:shd w:val="clear" w:color="auto" w:fill="CCEEFF"/>
          </w:tcPr>
          <w:p>
            <w:pPr>
              <w:ind w:left="860"/>
              <w:spacing w:after="0"/>
              <w:rPr>
                <w:sz w:val="20"/>
                <w:szCs w:val="20"/>
                <w:color w:val="auto"/>
              </w:rPr>
            </w:pPr>
            <w:r>
              <w:rPr>
                <w:rFonts w:ascii="Arial" w:cs="Arial" w:eastAsia="Arial" w:hAnsi="Arial"/>
                <w:sz w:val="17"/>
                <w:szCs w:val="17"/>
                <w:color w:val="auto"/>
              </w:rPr>
              <w:t>Common shares and other shareholders’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654,979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556,374</w:t>
            </w:r>
          </w:p>
        </w:tc>
        <w:tc>
          <w:tcPr>
            <w:tcW w:w="100" w:type="dxa"/>
            <w:vAlign w:val="bottom"/>
            <w:shd w:val="clear" w:color="auto" w:fill="CCEEFF"/>
          </w:tcPr>
          <w:p>
            <w:pPr>
              <w:spacing w:after="0"/>
              <w:rPr>
                <w:sz w:val="18"/>
                <w:szCs w:val="18"/>
                <w:color w:val="auto"/>
              </w:rPr>
            </w:pPr>
          </w:p>
        </w:tc>
      </w:tr>
      <w:tr>
        <w:trPr>
          <w:trHeight w:val="107"/>
        </w:trPr>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789,979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691,374</w:t>
            </w:r>
          </w:p>
        </w:tc>
        <w:tc>
          <w:tcPr>
            <w:tcW w:w="100" w:type="dxa"/>
            <w:vAlign w:val="bottom"/>
            <w:shd w:val="clear" w:color="auto" w:fill="CCEEFF"/>
          </w:tcPr>
          <w:p>
            <w:pPr>
              <w:spacing w:after="0"/>
              <w:rPr>
                <w:sz w:val="18"/>
                <w:szCs w:val="18"/>
                <w:color w:val="auto"/>
              </w:rPr>
            </w:pPr>
          </w:p>
        </w:tc>
      </w:tr>
      <w:tr>
        <w:trPr>
          <w:trHeight w:val="107"/>
        </w:trPr>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1"/>
        </w:trPr>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4"/>
        </w:trPr>
        <w:tc>
          <w:tcPr>
            <w:tcW w:w="9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2,275,213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2,143,435</w:t>
            </w:r>
          </w:p>
        </w:tc>
        <w:tc>
          <w:tcPr>
            <w:tcW w:w="100" w:type="dxa"/>
            <w:vAlign w:val="bottom"/>
            <w:shd w:val="clear" w:color="auto" w:fill="CCEEFF"/>
          </w:tcPr>
          <w:p>
            <w:pPr>
              <w:spacing w:after="0"/>
              <w:rPr>
                <w:sz w:val="18"/>
                <w:szCs w:val="18"/>
                <w:color w:val="auto"/>
              </w:rPr>
            </w:pPr>
          </w:p>
        </w:tc>
      </w:tr>
      <w:tr>
        <w:trPr>
          <w:trHeight w:val="131"/>
        </w:trPr>
        <w:tc>
          <w:tcPr>
            <w:tcW w:w="9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5803900</wp:posOffset>
            </wp:positionH>
            <wp:positionV relativeFrom="paragraph">
              <wp:posOffset>-2597785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5863590</wp:posOffset>
            </wp:positionH>
            <wp:positionV relativeFrom="paragraph">
              <wp:posOffset>-2597785</wp:posOffset>
            </wp:positionV>
            <wp:extent cx="2095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-2597785</wp:posOffset>
            </wp:positionV>
            <wp:extent cx="381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-2597785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-2597785</wp:posOffset>
            </wp:positionV>
            <wp:extent cx="2095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7173595</wp:posOffset>
            </wp:positionH>
            <wp:positionV relativeFrom="paragraph">
              <wp:posOffset>-2597785</wp:posOffset>
            </wp:positionV>
            <wp:extent cx="381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5863590</wp:posOffset>
            </wp:positionH>
            <wp:positionV relativeFrom="paragraph">
              <wp:posOffset>-29210</wp:posOffset>
            </wp:positionV>
            <wp:extent cx="2095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1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6671945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-29210</wp:posOffset>
            </wp:positionV>
            <wp:extent cx="2095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7173595</wp:posOffset>
            </wp:positionH>
            <wp:positionV relativeFrom="paragraph">
              <wp:posOffset>-29210</wp:posOffset>
            </wp:positionV>
            <wp:extent cx="381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5" w:lineRule="exact"/>
        <w:rPr>
          <w:sz w:val="20"/>
          <w:szCs w:val="20"/>
          <w:color w:val="auto"/>
        </w:rPr>
      </w:pPr>
    </w:p>
    <w:p>
      <w:pPr>
        <w:ind w:left="918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5269865</wp:posOffset>
            </wp:positionH>
            <wp:positionV relativeFrom="paragraph">
              <wp:posOffset>74930</wp:posOffset>
            </wp:positionV>
            <wp:extent cx="18884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206" w:lineRule="exact"/>
        <w:rPr>
          <w:sz w:val="20"/>
          <w:szCs w:val="20"/>
          <w:color w:val="auto"/>
        </w:rPr>
      </w:pPr>
    </w:p>
    <w:p>
      <w:pPr>
        <w:ind w:left="8300"/>
        <w:spacing w:after="0"/>
        <w:tabs>
          <w:tab w:leader="none" w:pos="10480" w:val="left"/>
        </w:tabs>
        <w:rPr>
          <w:sz w:val="20"/>
          <w:szCs w:val="20"/>
          <w:color w:val="auto"/>
        </w:rPr>
      </w:pPr>
      <w:r>
        <w:rPr>
          <w:rFonts w:ascii="Arial" w:cs="Arial" w:eastAsia="Arial" w:hAnsi="Arial"/>
          <w:sz w:val="13"/>
          <w:szCs w:val="13"/>
          <w:b w:val="1"/>
          <w:bCs w:val="1"/>
          <w:color w:val="auto"/>
        </w:rPr>
        <w:t>June 30, 2004</w:t>
      </w:r>
      <w:r>
        <w:rPr>
          <w:sz w:val="20"/>
          <w:szCs w:val="20"/>
          <w:color w:val="auto"/>
        </w:rPr>
        <w:tab/>
      </w:r>
      <w:r>
        <w:rPr>
          <w:rFonts w:ascii="Arial" w:cs="Arial" w:eastAsia="Arial" w:hAnsi="Arial"/>
          <w:sz w:val="11"/>
          <w:szCs w:val="11"/>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5269865</wp:posOffset>
            </wp:positionH>
            <wp:positionV relativeFrom="paragraph">
              <wp:posOffset>74930</wp:posOffset>
            </wp:positionV>
            <wp:extent cx="4933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3395" cy="8255"/>
                    </a:xfrm>
                    <a:prstGeom prst="rect">
                      <a:avLst/>
                    </a:prstGeom>
                    <a:noFill/>
                  </pic:spPr>
                </pic:pic>
              </a:graphicData>
            </a:graphic>
          </wp:anchor>
        </w:drawing>
        <w:drawing>
          <wp:anchor simplePos="0" relativeHeight="251657728" behindDoc="1" locked="0" layoutInCell="0" allowOverlap="1">
            <wp:simplePos x="0" y="0"/>
            <wp:positionH relativeFrom="column">
              <wp:posOffset>6664960</wp:posOffset>
            </wp:positionH>
            <wp:positionV relativeFrom="paragraph">
              <wp:posOffset>74930</wp:posOffset>
            </wp:positionV>
            <wp:extent cx="4933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06"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247890" cy="135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u w:val="single" w:color="auto"/>
          <w:color w:val="auto"/>
        </w:rPr>
        <w:t>Funds from Operations available for common shareholders (FFO) (1)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00" w:type="dxa"/>
            <w:vAlign w:val="bottom"/>
            <w:gridSpan w:val="4"/>
          </w:tcPr>
          <w:p>
            <w:pPr>
              <w:spacing w:after="0"/>
              <w:rPr>
                <w:sz w:val="20"/>
                <w:szCs w:val="20"/>
                <w:color w:val="auto"/>
              </w:rPr>
            </w:pPr>
            <w:r>
              <w:rPr>
                <w:rFonts w:ascii="Arial" w:cs="Arial" w:eastAsia="Arial" w:hAnsi="Arial"/>
                <w:sz w:val="17"/>
                <w:szCs w:val="17"/>
                <w:color w:val="auto"/>
              </w:rPr>
              <w:t>Net income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26,332</w:t>
            </w:r>
          </w:p>
        </w:tc>
        <w:tc>
          <w:tcPr>
            <w:tcW w:w="14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18,126</w:t>
            </w:r>
          </w:p>
        </w:tc>
        <w:tc>
          <w:tcPr>
            <w:tcW w:w="140" w:type="dxa"/>
            <w:vAlign w:val="bottom"/>
          </w:tcPr>
          <w:p>
            <w:pPr>
              <w:spacing w:after="0"/>
              <w:rPr>
                <w:sz w:val="19"/>
                <w:szCs w:val="19"/>
                <w:color w:val="auto"/>
              </w:rPr>
            </w:pPr>
          </w:p>
        </w:tc>
      </w:tr>
      <w:tr>
        <w:trPr>
          <w:trHeight w:val="215"/>
        </w:trPr>
        <w:tc>
          <w:tcPr>
            <w:tcW w:w="8300" w:type="dxa"/>
            <w:vAlign w:val="bottom"/>
            <w:gridSpan w:val="4"/>
            <w:shd w:val="clear" w:color="auto" w:fill="CCEEFF"/>
          </w:tcPr>
          <w:p>
            <w:pPr>
              <w:ind w:left="440"/>
              <w:spacing w:after="0"/>
              <w:rPr>
                <w:sz w:val="20"/>
                <w:szCs w:val="20"/>
                <w:color w:val="auto"/>
              </w:rPr>
            </w:pPr>
            <w:r>
              <w:rPr>
                <w:rFonts w:ascii="Arial" w:cs="Arial" w:eastAsia="Arial" w:hAnsi="Arial"/>
                <w:sz w:val="17"/>
                <w:szCs w:val="17"/>
                <w:color w:val="auto"/>
              </w:rPr>
              <w:t>Gain on sale of real estate</w:t>
            </w: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360"/>
              <w:spacing w:after="0"/>
              <w:rPr>
                <w:sz w:val="20"/>
                <w:szCs w:val="20"/>
                <w:color w:val="auto"/>
              </w:rPr>
            </w:pPr>
            <w:r>
              <w:rPr>
                <w:rFonts w:ascii="Arial" w:cs="Arial" w:eastAsia="Arial" w:hAnsi="Arial"/>
                <w:sz w:val="17"/>
                <w:szCs w:val="17"/>
                <w:color w:val="auto"/>
              </w:rPr>
              <w:t>(8,276)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(551)</w:t>
            </w:r>
          </w:p>
        </w:tc>
      </w:tr>
      <w:tr>
        <w:trPr>
          <w:trHeight w:val="214"/>
        </w:trPr>
        <w:tc>
          <w:tcPr>
            <w:tcW w:w="8300" w:type="dxa"/>
            <w:vAlign w:val="bottom"/>
            <w:gridSpan w:val="4"/>
          </w:tcPr>
          <w:p>
            <w:pPr>
              <w:ind w:left="440"/>
              <w:spacing w:after="0"/>
              <w:rPr>
                <w:sz w:val="20"/>
                <w:szCs w:val="20"/>
                <w:color w:val="auto"/>
              </w:rPr>
            </w:pPr>
            <w:r>
              <w:rPr>
                <w:rFonts w:ascii="Arial" w:cs="Arial" w:eastAsia="Arial" w:hAnsi="Arial"/>
                <w:sz w:val="17"/>
                <w:szCs w:val="17"/>
                <w:color w:val="auto"/>
              </w:rPr>
              <w:t>Depreciation and amortization of real estate assets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21,261</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16,363</w:t>
            </w:r>
          </w:p>
        </w:tc>
        <w:tc>
          <w:tcPr>
            <w:tcW w:w="140" w:type="dxa"/>
            <w:vAlign w:val="bottom"/>
          </w:tcPr>
          <w:p>
            <w:pPr>
              <w:spacing w:after="0"/>
              <w:rPr>
                <w:sz w:val="18"/>
                <w:szCs w:val="18"/>
                <w:color w:val="auto"/>
              </w:rPr>
            </w:pPr>
          </w:p>
        </w:tc>
      </w:tr>
      <w:tr>
        <w:trPr>
          <w:trHeight w:val="214"/>
        </w:trPr>
        <w:tc>
          <w:tcPr>
            <w:tcW w:w="8300" w:type="dxa"/>
            <w:vAlign w:val="bottom"/>
            <w:gridSpan w:val="4"/>
            <w:shd w:val="clear" w:color="auto" w:fill="CCEEFF"/>
          </w:tcPr>
          <w:p>
            <w:pPr>
              <w:ind w:left="440"/>
              <w:spacing w:after="0"/>
              <w:rPr>
                <w:sz w:val="20"/>
                <w:szCs w:val="20"/>
                <w:color w:val="auto"/>
              </w:rPr>
            </w:pPr>
            <w:r>
              <w:rPr>
                <w:rFonts w:ascii="Arial" w:cs="Arial" w:eastAsia="Arial" w:hAnsi="Arial"/>
                <w:sz w:val="17"/>
                <w:szCs w:val="17"/>
                <w:color w:val="auto"/>
              </w:rPr>
              <w:t>Amortization of initial direct costs of leases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140" w:type="dxa"/>
            <w:vAlign w:val="bottom"/>
            <w:shd w:val="clear" w:color="auto" w:fill="CCEEFF"/>
          </w:tcPr>
          <w:p>
            <w:pPr>
              <w:spacing w:after="0"/>
              <w:rPr>
                <w:sz w:val="18"/>
                <w:szCs w:val="18"/>
                <w:color w:val="auto"/>
              </w:rPr>
            </w:pPr>
          </w:p>
        </w:tc>
      </w:tr>
      <w:tr>
        <w:trPr>
          <w:trHeight w:val="221"/>
        </w:trPr>
        <w:tc>
          <w:tcPr>
            <w:tcW w:w="8300" w:type="dxa"/>
            <w:vAlign w:val="bottom"/>
            <w:gridSpan w:val="4"/>
          </w:tcPr>
          <w:p>
            <w:pPr>
              <w:ind w:left="440"/>
              <w:spacing w:after="0"/>
              <w:rPr>
                <w:sz w:val="20"/>
                <w:szCs w:val="20"/>
                <w:color w:val="auto"/>
              </w:rPr>
            </w:pPr>
            <w:r>
              <w:rPr>
                <w:rFonts w:ascii="Arial" w:cs="Arial" w:eastAsia="Arial" w:hAnsi="Arial"/>
                <w:sz w:val="17"/>
                <w:szCs w:val="17"/>
                <w:color w:val="auto"/>
              </w:rPr>
              <w:t>Income attributable to operating partnership units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403</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235</w:t>
            </w:r>
          </w:p>
        </w:tc>
        <w:tc>
          <w:tcPr>
            <w:tcW w:w="140" w:type="dxa"/>
            <w:vAlign w:val="bottom"/>
          </w:tcPr>
          <w:p>
            <w:pPr>
              <w:spacing w:after="0"/>
              <w:rPr>
                <w:sz w:val="19"/>
                <w:szCs w:val="19"/>
                <w:color w:val="auto"/>
              </w:rPr>
            </w:pPr>
          </w:p>
        </w:tc>
      </w:tr>
      <w:tr>
        <w:trPr>
          <w:trHeight w:val="100"/>
        </w:trPr>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1"/>
        </w:trPr>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300" w:type="dxa"/>
            <w:vAlign w:val="bottom"/>
            <w:gridSpan w:val="4"/>
            <w:shd w:val="clear" w:color="auto" w:fill="CCEEFF"/>
          </w:tcPr>
          <w:p>
            <w:pPr>
              <w:ind w:left="440"/>
              <w:spacing w:after="0"/>
              <w:rPr>
                <w:sz w:val="20"/>
                <w:szCs w:val="20"/>
                <w:color w:val="auto"/>
              </w:rPr>
            </w:pPr>
            <w:r>
              <w:rPr>
                <w:rFonts w:ascii="Arial" w:cs="Arial" w:eastAsia="Arial" w:hAnsi="Arial"/>
                <w:sz w:val="17"/>
                <w:szCs w:val="17"/>
                <w:color w:val="auto"/>
              </w:rPr>
              <w:t>Funds from Operations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41,507</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35,565</w:t>
            </w:r>
          </w:p>
        </w:tc>
        <w:tc>
          <w:tcPr>
            <w:tcW w:w="140" w:type="dxa"/>
            <w:vAlign w:val="bottom"/>
            <w:shd w:val="clear" w:color="auto" w:fill="CCEEFF"/>
          </w:tcPr>
          <w:p>
            <w:pPr>
              <w:spacing w:after="0"/>
              <w:rPr>
                <w:sz w:val="18"/>
                <w:szCs w:val="18"/>
                <w:color w:val="auto"/>
              </w:rPr>
            </w:pPr>
          </w:p>
        </w:tc>
      </w:tr>
      <w:tr>
        <w:trPr>
          <w:trHeight w:val="214"/>
        </w:trPr>
        <w:tc>
          <w:tcPr>
            <w:tcW w:w="8300" w:type="dxa"/>
            <w:vAlign w:val="bottom"/>
            <w:gridSpan w:val="4"/>
          </w:tcPr>
          <w:p>
            <w:pPr>
              <w:ind w:left="440"/>
              <w:spacing w:after="0"/>
              <w:rPr>
                <w:sz w:val="20"/>
                <w:szCs w:val="20"/>
                <w:color w:val="auto"/>
              </w:rPr>
            </w:pPr>
            <w:r>
              <w:rPr>
                <w:rFonts w:ascii="Arial" w:cs="Arial" w:eastAsia="Arial" w:hAnsi="Arial"/>
                <w:sz w:val="17"/>
                <w:szCs w:val="17"/>
                <w:color w:val="auto"/>
              </w:rPr>
              <w:t>Dividends on preferred stock</w:t>
            </w:r>
          </w:p>
        </w:tc>
        <w:tc>
          <w:tcPr>
            <w:tcW w:w="200" w:type="dxa"/>
            <w:vAlign w:val="bottom"/>
          </w:tcPr>
          <w:p>
            <w:pPr>
              <w:spacing w:after="0"/>
              <w:rPr>
                <w:sz w:val="18"/>
                <w:szCs w:val="18"/>
                <w:color w:val="auto"/>
              </w:rPr>
            </w:pPr>
          </w:p>
        </w:tc>
        <w:tc>
          <w:tcPr>
            <w:tcW w:w="2000" w:type="dxa"/>
            <w:vAlign w:val="bottom"/>
            <w:gridSpan w:val="2"/>
          </w:tcPr>
          <w:p>
            <w:pPr>
              <w:jc w:val="right"/>
              <w:ind w:right="1360"/>
              <w:spacing w:after="0"/>
              <w:rPr>
                <w:sz w:val="20"/>
                <w:szCs w:val="20"/>
                <w:color w:val="auto"/>
              </w:rPr>
            </w:pPr>
            <w:r>
              <w:rPr>
                <w:rFonts w:ascii="Arial" w:cs="Arial" w:eastAsia="Arial" w:hAnsi="Arial"/>
                <w:sz w:val="17"/>
                <w:szCs w:val="17"/>
                <w:color w:val="auto"/>
              </w:rPr>
              <w:t>(2,869)</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(4,490)</w:t>
            </w:r>
          </w:p>
        </w:tc>
      </w:tr>
      <w:tr>
        <w:trPr>
          <w:trHeight w:val="214"/>
        </w:trPr>
        <w:tc>
          <w:tcPr>
            <w:tcW w:w="8300" w:type="dxa"/>
            <w:vAlign w:val="bottom"/>
            <w:gridSpan w:val="4"/>
            <w:shd w:val="clear" w:color="auto" w:fill="CCEEFF"/>
          </w:tcPr>
          <w:p>
            <w:pPr>
              <w:ind w:left="440"/>
              <w:spacing w:after="0"/>
              <w:rPr>
                <w:sz w:val="20"/>
                <w:szCs w:val="20"/>
                <w:color w:val="auto"/>
              </w:rPr>
            </w:pPr>
            <w:r>
              <w:rPr>
                <w:rFonts w:ascii="Arial" w:cs="Arial" w:eastAsia="Arial" w:hAnsi="Arial"/>
                <w:sz w:val="17"/>
                <w:szCs w:val="17"/>
                <w:color w:val="auto"/>
              </w:rPr>
              <w:t>Preferred stock redemption fee</w:t>
            </w: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5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(3,423)</w:t>
            </w:r>
          </w:p>
        </w:tc>
      </w:tr>
      <w:tr>
        <w:trPr>
          <w:trHeight w:val="107"/>
        </w:trPr>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1"/>
        </w:trPr>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30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Funds from operations available for common shareholders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38,638</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27,652</w:t>
            </w:r>
          </w:p>
        </w:tc>
        <w:tc>
          <w:tcPr>
            <w:tcW w:w="140" w:type="dxa"/>
            <w:vAlign w:val="bottom"/>
            <w:shd w:val="clear" w:color="auto" w:fill="CCEEFF"/>
          </w:tcPr>
          <w:p>
            <w:pPr>
              <w:spacing w:after="0"/>
              <w:rPr>
                <w:sz w:val="18"/>
                <w:szCs w:val="18"/>
                <w:color w:val="auto"/>
              </w:rPr>
            </w:pPr>
          </w:p>
        </w:tc>
      </w:tr>
      <w:tr>
        <w:trPr>
          <w:trHeight w:val="131"/>
        </w:trPr>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4"/>
        </w:trPr>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4"/>
        </w:trPr>
        <w:tc>
          <w:tcPr>
            <w:tcW w:w="8300" w:type="dxa"/>
            <w:vAlign w:val="bottom"/>
            <w:gridSpan w:val="4"/>
            <w:shd w:val="clear" w:color="auto" w:fill="CCEEFF"/>
          </w:tcPr>
          <w:p>
            <w:pPr>
              <w:ind w:left="440"/>
              <w:spacing w:after="0"/>
              <w:rPr>
                <w:sz w:val="20"/>
                <w:szCs w:val="20"/>
                <w:color w:val="auto"/>
              </w:rPr>
            </w:pPr>
            <w:r>
              <w:rPr>
                <w:rFonts w:ascii="Arial" w:cs="Arial" w:eastAsia="Arial" w:hAnsi="Arial"/>
                <w:sz w:val="17"/>
                <w:szCs w:val="17"/>
                <w:color w:val="auto"/>
              </w:rPr>
              <w:t>Weighted average number of common shares, diluted</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52,681</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48,376</w:t>
            </w:r>
          </w:p>
        </w:tc>
        <w:tc>
          <w:tcPr>
            <w:tcW w:w="140" w:type="dxa"/>
            <w:vAlign w:val="bottom"/>
            <w:shd w:val="clear" w:color="auto" w:fill="CCEEFF"/>
          </w:tcPr>
          <w:p>
            <w:pPr>
              <w:spacing w:after="0"/>
              <w:rPr>
                <w:sz w:val="18"/>
                <w:szCs w:val="18"/>
                <w:color w:val="auto"/>
              </w:rPr>
            </w:pPr>
          </w:p>
        </w:tc>
      </w:tr>
      <w:tr>
        <w:trPr>
          <w:trHeight w:val="320"/>
        </w:trPr>
        <w:tc>
          <w:tcPr>
            <w:tcW w:w="8300" w:type="dxa"/>
            <w:vAlign w:val="bottom"/>
            <w:gridSpan w:val="4"/>
          </w:tcPr>
          <w:p>
            <w:pPr>
              <w:spacing w:after="0"/>
              <w:rPr>
                <w:sz w:val="20"/>
                <w:szCs w:val="20"/>
                <w:color w:val="auto"/>
              </w:rPr>
            </w:pPr>
            <w:r>
              <w:rPr>
                <w:rFonts w:ascii="Arial" w:cs="Arial" w:eastAsia="Arial" w:hAnsi="Arial"/>
                <w:sz w:val="17"/>
                <w:szCs w:val="17"/>
                <w:b w:val="1"/>
                <w:bCs w:val="1"/>
                <w:color w:val="auto"/>
              </w:rPr>
              <w:t>Funds from operations per share available for common shareholders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0.73</w:t>
            </w:r>
          </w:p>
        </w:tc>
        <w:tc>
          <w:tcPr>
            <w:tcW w:w="1420" w:type="dxa"/>
            <w:vAlign w:val="bottom"/>
          </w:tcPr>
          <w:p>
            <w:pPr>
              <w:spacing w:after="0"/>
              <w:rPr>
                <w:sz w:val="24"/>
                <w:szCs w:val="24"/>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0.57</w:t>
            </w:r>
          </w:p>
        </w:tc>
        <w:tc>
          <w:tcPr>
            <w:tcW w:w="140" w:type="dxa"/>
            <w:vAlign w:val="bottom"/>
          </w:tcPr>
          <w:p>
            <w:pPr>
              <w:spacing w:after="0"/>
              <w:rPr>
                <w:sz w:val="24"/>
                <w:szCs w:val="24"/>
                <w:color w:val="auto"/>
              </w:rPr>
            </w:pPr>
          </w:p>
        </w:tc>
      </w:tr>
      <w:tr>
        <w:trPr>
          <w:trHeight w:val="132"/>
        </w:trPr>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4"/>
        </w:trPr>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74"/>
        </w:trPr>
        <w:tc>
          <w:tcPr>
            <w:tcW w:w="8300" w:type="dxa"/>
            <w:vAlign w:val="bottom"/>
            <w:gridSpan w:val="4"/>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Summary of Capital Expenditures</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321"/>
        </w:trPr>
        <w:tc>
          <w:tcPr>
            <w:tcW w:w="8300" w:type="dxa"/>
            <w:vAlign w:val="bottom"/>
            <w:gridSpan w:val="4"/>
          </w:tcPr>
          <w:p>
            <w:pPr>
              <w:spacing w:after="0"/>
              <w:rPr>
                <w:sz w:val="20"/>
                <w:szCs w:val="20"/>
                <w:color w:val="auto"/>
              </w:rPr>
            </w:pPr>
            <w:r>
              <w:rPr>
                <w:rFonts w:ascii="Arial" w:cs="Arial" w:eastAsia="Arial" w:hAnsi="Arial"/>
                <w:sz w:val="17"/>
                <w:szCs w:val="17"/>
                <w:color w:val="auto"/>
              </w:rPr>
              <w:t>Non-maintenance capital expenditures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5"/>
        </w:trPr>
        <w:tc>
          <w:tcPr>
            <w:tcW w:w="8300" w:type="dxa"/>
            <w:vAlign w:val="bottom"/>
            <w:gridSpan w:val="4"/>
            <w:shd w:val="clear" w:color="auto" w:fill="CCEEFF"/>
          </w:tcPr>
          <w:p>
            <w:pPr>
              <w:ind w:left="440"/>
              <w:spacing w:after="0"/>
              <w:rPr>
                <w:sz w:val="20"/>
                <w:szCs w:val="20"/>
                <w:color w:val="auto"/>
              </w:rPr>
            </w:pPr>
            <w:r>
              <w:rPr>
                <w:rFonts w:ascii="Arial" w:cs="Arial" w:eastAsia="Arial" w:hAnsi="Arial"/>
                <w:sz w:val="17"/>
                <w:szCs w:val="17"/>
                <w:color w:val="auto"/>
              </w:rPr>
              <w:t>Acquisition related (2)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2,811</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8"/>
                <w:szCs w:val="18"/>
                <w:color w:val="auto"/>
              </w:rPr>
            </w:pPr>
          </w:p>
        </w:tc>
      </w:tr>
      <w:tr>
        <w:trPr>
          <w:trHeight w:val="214"/>
        </w:trPr>
        <w:tc>
          <w:tcPr>
            <w:tcW w:w="8300" w:type="dxa"/>
            <w:vAlign w:val="bottom"/>
            <w:gridSpan w:val="4"/>
          </w:tcPr>
          <w:p>
            <w:pPr>
              <w:ind w:left="440"/>
              <w:spacing w:after="0"/>
              <w:rPr>
                <w:sz w:val="20"/>
                <w:szCs w:val="20"/>
                <w:color w:val="auto"/>
              </w:rPr>
            </w:pPr>
            <w:r>
              <w:rPr>
                <w:rFonts w:ascii="Arial" w:cs="Arial" w:eastAsia="Arial" w:hAnsi="Arial"/>
                <w:sz w:val="17"/>
                <w:szCs w:val="17"/>
                <w:color w:val="auto"/>
              </w:rPr>
              <w:t>Capital expenditures related to new square footage:</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1,812</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r>
      <w:tr>
        <w:trPr>
          <w:trHeight w:val="214"/>
        </w:trPr>
        <w:tc>
          <w:tcPr>
            <w:tcW w:w="8300" w:type="dxa"/>
            <w:vAlign w:val="bottom"/>
            <w:gridSpan w:val="4"/>
            <w:shd w:val="clear" w:color="auto" w:fill="CCEEFF"/>
          </w:tcPr>
          <w:p>
            <w:pPr>
              <w:ind w:left="440"/>
              <w:spacing w:after="0"/>
              <w:rPr>
                <w:sz w:val="20"/>
                <w:szCs w:val="20"/>
                <w:color w:val="auto"/>
              </w:rPr>
            </w:pPr>
            <w:r>
              <w:rPr>
                <w:rFonts w:ascii="Arial" w:cs="Arial" w:eastAsia="Arial" w:hAnsi="Arial"/>
                <w:sz w:val="17"/>
                <w:szCs w:val="17"/>
                <w:color w:val="auto"/>
              </w:rPr>
              <w:t>Development, redevelopment and expansions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12,321</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39,816</w:t>
            </w:r>
          </w:p>
        </w:tc>
        <w:tc>
          <w:tcPr>
            <w:tcW w:w="140" w:type="dxa"/>
            <w:vAlign w:val="bottom"/>
            <w:shd w:val="clear" w:color="auto" w:fill="CCEEFF"/>
          </w:tcPr>
          <w:p>
            <w:pPr>
              <w:spacing w:after="0"/>
              <w:rPr>
                <w:sz w:val="18"/>
                <w:szCs w:val="18"/>
                <w:color w:val="auto"/>
              </w:rPr>
            </w:pPr>
          </w:p>
        </w:tc>
      </w:tr>
      <w:tr>
        <w:trPr>
          <w:trHeight w:val="221"/>
        </w:trPr>
        <w:tc>
          <w:tcPr>
            <w:tcW w:w="8300" w:type="dxa"/>
            <w:vAlign w:val="bottom"/>
            <w:gridSpan w:val="4"/>
          </w:tcPr>
          <w:p>
            <w:pPr>
              <w:ind w:left="440"/>
              <w:spacing w:after="0"/>
              <w:rPr>
                <w:sz w:val="20"/>
                <w:szCs w:val="20"/>
                <w:color w:val="auto"/>
              </w:rPr>
            </w:pPr>
            <w:r>
              <w:rPr>
                <w:rFonts w:ascii="Arial" w:cs="Arial" w:eastAsia="Arial" w:hAnsi="Arial"/>
                <w:sz w:val="17"/>
                <w:szCs w:val="17"/>
                <w:color w:val="auto"/>
              </w:rPr>
              <w:t>Tenant Improvements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4,603</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3,308</w:t>
            </w:r>
          </w:p>
        </w:tc>
        <w:tc>
          <w:tcPr>
            <w:tcW w:w="140" w:type="dxa"/>
            <w:vAlign w:val="bottom"/>
          </w:tcPr>
          <w:p>
            <w:pPr>
              <w:spacing w:after="0"/>
              <w:rPr>
                <w:sz w:val="19"/>
                <w:szCs w:val="19"/>
                <w:color w:val="auto"/>
              </w:rPr>
            </w:pPr>
          </w:p>
        </w:tc>
      </w:tr>
      <w:tr>
        <w:trPr>
          <w:trHeight w:val="100"/>
        </w:trPr>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1"/>
        </w:trPr>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21,547</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43,200</w:t>
            </w:r>
          </w:p>
        </w:tc>
        <w:tc>
          <w:tcPr>
            <w:tcW w:w="140" w:type="dxa"/>
            <w:vAlign w:val="bottom"/>
            <w:shd w:val="clear" w:color="auto" w:fill="CCEEFF"/>
          </w:tcPr>
          <w:p>
            <w:pPr>
              <w:spacing w:after="0"/>
              <w:rPr>
                <w:sz w:val="18"/>
                <w:szCs w:val="18"/>
                <w:color w:val="auto"/>
              </w:rPr>
            </w:pPr>
          </w:p>
        </w:tc>
      </w:tr>
      <w:tr>
        <w:trPr>
          <w:trHeight w:val="221"/>
        </w:trPr>
        <w:tc>
          <w:tcPr>
            <w:tcW w:w="8300" w:type="dxa"/>
            <w:vAlign w:val="bottom"/>
            <w:gridSpan w:val="4"/>
          </w:tcPr>
          <w:p>
            <w:pPr>
              <w:spacing w:after="0"/>
              <w:rPr>
                <w:sz w:val="20"/>
                <w:szCs w:val="20"/>
                <w:color w:val="auto"/>
              </w:rPr>
            </w:pPr>
            <w:r>
              <w:rPr>
                <w:rFonts w:ascii="Arial" w:cs="Arial" w:eastAsia="Arial" w:hAnsi="Arial"/>
                <w:sz w:val="17"/>
                <w:szCs w:val="17"/>
                <w:color w:val="auto"/>
              </w:rPr>
              <w:t>Maintenance capital expenditures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1,661</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902</w:t>
            </w:r>
          </w:p>
        </w:tc>
        <w:tc>
          <w:tcPr>
            <w:tcW w:w="140" w:type="dxa"/>
            <w:vAlign w:val="bottom"/>
          </w:tcPr>
          <w:p>
            <w:pPr>
              <w:spacing w:after="0"/>
              <w:rPr>
                <w:sz w:val="19"/>
                <w:szCs w:val="19"/>
                <w:color w:val="auto"/>
              </w:rPr>
            </w:pPr>
          </w:p>
        </w:tc>
      </w:tr>
      <w:tr>
        <w:trPr>
          <w:trHeight w:val="100"/>
        </w:trPr>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1"/>
        </w:trPr>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23,208</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44,102</w:t>
            </w:r>
          </w:p>
        </w:tc>
        <w:tc>
          <w:tcPr>
            <w:tcW w:w="140" w:type="dxa"/>
            <w:vAlign w:val="bottom"/>
            <w:shd w:val="clear" w:color="auto" w:fill="CCEEFF"/>
          </w:tcPr>
          <w:p>
            <w:pPr>
              <w:spacing w:after="0"/>
              <w:rPr>
                <w:sz w:val="18"/>
                <w:szCs w:val="18"/>
                <w:color w:val="auto"/>
              </w:rPr>
            </w:pPr>
          </w:p>
        </w:tc>
      </w:tr>
      <w:tr>
        <w:trPr>
          <w:trHeight w:val="131"/>
        </w:trPr>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4"/>
        </w:trPr>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74"/>
        </w:trPr>
        <w:tc>
          <w:tcPr>
            <w:tcW w:w="8300" w:type="dxa"/>
            <w:vAlign w:val="bottom"/>
            <w:gridSpan w:val="4"/>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Dividends and Payout Ratios</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21"/>
        </w:trPr>
        <w:tc>
          <w:tcPr>
            <w:tcW w:w="8300" w:type="dxa"/>
            <w:vAlign w:val="bottom"/>
            <w:gridSpan w:val="4"/>
          </w:tcPr>
          <w:p>
            <w:pPr>
              <w:ind w:left="440"/>
              <w:spacing w:after="0"/>
              <w:rPr>
                <w:sz w:val="20"/>
                <w:szCs w:val="20"/>
                <w:color w:val="auto"/>
              </w:rPr>
            </w:pPr>
            <w:r>
              <w:rPr>
                <w:rFonts w:ascii="Arial" w:cs="Arial" w:eastAsia="Arial" w:hAnsi="Arial"/>
                <w:sz w:val="17"/>
                <w:szCs w:val="17"/>
                <w:color w:val="auto"/>
              </w:rPr>
              <w:t>Common dividends declared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25,321</w:t>
            </w:r>
          </w:p>
        </w:tc>
        <w:tc>
          <w:tcPr>
            <w:tcW w:w="14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23,784</w:t>
            </w:r>
          </w:p>
        </w:tc>
        <w:tc>
          <w:tcPr>
            <w:tcW w:w="140" w:type="dxa"/>
            <w:vAlign w:val="bottom"/>
          </w:tcPr>
          <w:p>
            <w:pPr>
              <w:spacing w:after="0"/>
              <w:rPr>
                <w:sz w:val="19"/>
                <w:szCs w:val="19"/>
                <w:color w:val="auto"/>
              </w:rPr>
            </w:pPr>
          </w:p>
        </w:tc>
      </w:tr>
      <w:tr>
        <w:trPr>
          <w:trHeight w:val="100"/>
        </w:trPr>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300" w:type="dxa"/>
            <w:vAlign w:val="bottom"/>
            <w:gridSpan w:val="4"/>
            <w:shd w:val="clear" w:color="auto" w:fill="CCEEFF"/>
          </w:tcPr>
          <w:p>
            <w:pPr>
              <w:ind w:left="440"/>
              <w:spacing w:after="0"/>
              <w:rPr>
                <w:sz w:val="20"/>
                <w:szCs w:val="20"/>
                <w:color w:val="auto"/>
              </w:rPr>
            </w:pPr>
            <w:r>
              <w:rPr>
                <w:rFonts w:ascii="Arial" w:cs="Arial" w:eastAsia="Arial" w:hAnsi="Arial"/>
                <w:sz w:val="17"/>
                <w:szCs w:val="17"/>
                <w:color w:val="auto"/>
              </w:rPr>
              <w:t>Dividend payout ratio % - FFO</w:t>
            </w: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80"/>
              <w:spacing w:after="0"/>
              <w:rPr>
                <w:sz w:val="20"/>
                <w:szCs w:val="20"/>
                <w:color w:val="auto"/>
              </w:rPr>
            </w:pPr>
            <w:r>
              <w:rPr>
                <w:rFonts w:ascii="Arial" w:cs="Arial" w:eastAsia="Arial" w:hAnsi="Arial"/>
                <w:sz w:val="17"/>
                <w:szCs w:val="17"/>
                <w:color w:val="auto"/>
              </w:rPr>
              <w:t>66%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107"/>
        </w:trPr>
        <w:tc>
          <w:tcPr>
            <w:tcW w:w="11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5267960</wp:posOffset>
            </wp:positionH>
            <wp:positionV relativeFrom="paragraph">
              <wp:posOffset>-2893695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-2893695</wp:posOffset>
            </wp:positionV>
            <wp:extent cx="2095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-2893695</wp:posOffset>
            </wp:positionV>
            <wp:extent cx="381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6663055</wp:posOffset>
            </wp:positionH>
            <wp:positionV relativeFrom="paragraph">
              <wp:posOffset>-2893695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6816090</wp:posOffset>
            </wp:positionH>
            <wp:positionV relativeFrom="paragraph">
              <wp:posOffset>-2893695</wp:posOffset>
            </wp:positionV>
            <wp:extent cx="2095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-2893695</wp:posOffset>
            </wp:positionV>
            <wp:extent cx="381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-2392045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-2392045</wp:posOffset>
            </wp:positionV>
            <wp:extent cx="2095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-2392045</wp:posOffset>
            </wp:positionV>
            <wp:extent cx="381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6663055</wp:posOffset>
            </wp:positionH>
            <wp:positionV relativeFrom="paragraph">
              <wp:posOffset>-2392045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6816090</wp:posOffset>
            </wp:positionH>
            <wp:positionV relativeFrom="paragraph">
              <wp:posOffset>-2392045</wp:posOffset>
            </wp:positionV>
            <wp:extent cx="2095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-2392045</wp:posOffset>
            </wp:positionV>
            <wp:extent cx="381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-647700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-647700</wp:posOffset>
            </wp:positionV>
            <wp:extent cx="2095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-647700</wp:posOffset>
            </wp:positionV>
            <wp:extent cx="381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6663055</wp:posOffset>
            </wp:positionH>
            <wp:positionV relativeFrom="paragraph">
              <wp:posOffset>-647700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6816090</wp:posOffset>
            </wp:positionH>
            <wp:positionV relativeFrom="paragraph">
              <wp:posOffset>-647700</wp:posOffset>
            </wp:positionV>
            <wp:extent cx="2095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-647700</wp:posOffset>
            </wp:positionV>
            <wp:extent cx="381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86" w:lineRule="exact"/>
        <w:rPr>
          <w:sz w:val="20"/>
          <w:szCs w:val="20"/>
          <w:color w:val="auto"/>
        </w:rPr>
      </w:pPr>
    </w:p>
    <w:p>
      <w:pPr>
        <w:ind w:left="460" w:hanging="453"/>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25" w:lineRule="exact"/>
        <w:rPr>
          <w:rFonts w:ascii="Arial" w:cs="Arial" w:eastAsia="Arial" w:hAnsi="Arial"/>
          <w:sz w:val="17"/>
          <w:szCs w:val="17"/>
          <w:color w:val="auto"/>
        </w:rPr>
      </w:pPr>
    </w:p>
    <w:p>
      <w:pPr>
        <w:ind w:left="460" w:right="100" w:hanging="453"/>
        <w:spacing w:after="0" w:line="28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Capital expenditures related to properties acquired in the last two years for which non-maintenance expenditures were planned at the time of the acquisition underwriting.</w:t>
      </w:r>
    </w:p>
    <w:p>
      <w:pPr>
        <w:sectPr>
          <w:pgSz w:w="11900" w:h="16838" w:orient="portrait"/>
          <w:cols w:equalWidth="0" w:num="1">
            <w:col w:w="11420"/>
          </w:cols>
          <w:pgMar w:left="240" w:top="272"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 / Capital Availability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center"/>
              <w:ind w:right="293"/>
              <w:spacing w:after="0"/>
              <w:rPr>
                <w:sz w:val="20"/>
                <w:szCs w:val="20"/>
                <w:color w:val="auto"/>
              </w:rPr>
            </w:pPr>
            <w:r>
              <w:rPr>
                <w:rFonts w:ascii="Arial" w:cs="Arial" w:eastAsia="Arial" w:hAnsi="Arial"/>
                <w:sz w:val="13"/>
                <w:szCs w:val="13"/>
                <w:b w:val="1"/>
                <w:bCs w:val="1"/>
                <w:color w:val="auto"/>
                <w:w w:val="86"/>
              </w:rPr>
              <w:t>As of</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3"/>
        </w:trPr>
        <w:tc>
          <w:tcPr>
            <w:tcW w:w="118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June 30, 2004</w:t>
            </w:r>
          </w:p>
        </w:tc>
        <w:tc>
          <w:tcPr>
            <w:tcW w:w="780" w:type="dxa"/>
            <w:vAlign w:val="bottom"/>
          </w:tcPr>
          <w:p>
            <w:pPr>
              <w:spacing w:after="0"/>
              <w:rPr>
                <w:sz w:val="15"/>
                <w:szCs w:val="15"/>
                <w:color w:val="auto"/>
              </w:rPr>
            </w:pPr>
          </w:p>
        </w:tc>
        <w:tc>
          <w:tcPr>
            <w:tcW w:w="960" w:type="dxa"/>
            <w:vAlign w:val="bottom"/>
            <w:gridSpan w:val="4"/>
          </w:tcPr>
          <w:p>
            <w:pPr>
              <w:ind w:left="20"/>
              <w:spacing w:after="0"/>
              <w:rPr>
                <w:sz w:val="20"/>
                <w:szCs w:val="20"/>
                <w:color w:val="auto"/>
              </w:rPr>
            </w:pPr>
            <w:r>
              <w:rPr>
                <w:rFonts w:ascii="Arial" w:cs="Arial" w:eastAsia="Arial" w:hAnsi="Arial"/>
                <w:sz w:val="13"/>
                <w:szCs w:val="13"/>
                <w:b w:val="1"/>
                <w:bCs w:val="1"/>
                <w:color w:val="auto"/>
              </w:rPr>
              <w:t>June 30, 2003</w:t>
            </w:r>
          </w:p>
        </w:tc>
      </w:tr>
      <w:tr>
        <w:trPr>
          <w:trHeight w:val="94"/>
        </w:trPr>
        <w:tc>
          <w:tcPr>
            <w:tcW w:w="118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1040" w:type="dxa"/>
            <w:vAlign w:val="bottom"/>
            <w:gridSpan w:val="2"/>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48"/>
        </w:trPr>
        <w:tc>
          <w:tcPr>
            <w:tcW w:w="118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710" w:type="dxa"/>
            <w:vAlign w:val="bottom"/>
            <w:gridSpan w:val="7"/>
          </w:tcPr>
          <w:p>
            <w:pPr>
              <w:jc w:val="center"/>
              <w:ind w:right="250"/>
              <w:spacing w:after="0"/>
              <w:rPr>
                <w:sz w:val="20"/>
                <w:szCs w:val="20"/>
                <w:color w:val="auto"/>
              </w:rPr>
            </w:pPr>
            <w:r>
              <w:rPr>
                <w:rFonts w:ascii="Arial" w:cs="Arial" w:eastAsia="Arial" w:hAnsi="Arial"/>
                <w:sz w:val="13"/>
                <w:szCs w:val="13"/>
                <w:b w:val="1"/>
                <w:bCs w:val="1"/>
                <w:color w:val="auto"/>
                <w:w w:val="91"/>
              </w:rPr>
              <w:t>(in thousands, except per share data)</w:t>
            </w:r>
          </w:p>
        </w:tc>
      </w:tr>
      <w:tr>
        <w:trPr>
          <w:trHeight w:val="214"/>
        </w:trPr>
        <w:tc>
          <w:tcPr>
            <w:tcW w:w="86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Market data</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Common shares outstanding (1)</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rPr>
              <w:t>51,686</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49,029</w:t>
            </w:r>
          </w:p>
        </w:tc>
        <w:tc>
          <w:tcPr>
            <w:tcW w:w="140" w:type="dxa"/>
            <w:vAlign w:val="bottom"/>
          </w:tcPr>
          <w:p>
            <w:pPr>
              <w:spacing w:after="0"/>
              <w:rPr>
                <w:sz w:val="18"/>
                <w:szCs w:val="18"/>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Market price per common share</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140" w:type="dxa"/>
            <w:vAlign w:val="bottom"/>
            <w:shd w:val="clear" w:color="auto" w:fill="CCEEFF"/>
          </w:tcPr>
          <w:p>
            <w:pPr>
              <w:spacing w:after="0"/>
              <w:rPr>
                <w:sz w:val="18"/>
                <w:szCs w:val="18"/>
                <w:color w:val="auto"/>
              </w:rPr>
            </w:pPr>
          </w:p>
        </w:tc>
      </w:tr>
      <w:tr>
        <w:trPr>
          <w:trHeight w:val="107"/>
        </w:trPr>
        <w:tc>
          <w:tcPr>
            <w:tcW w:w="118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1"/>
        </w:trPr>
        <w:tc>
          <w:tcPr>
            <w:tcW w:w="118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6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Common equity market capitalization</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2,149,621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1,568,928</w:t>
            </w:r>
          </w:p>
        </w:tc>
        <w:tc>
          <w:tcPr>
            <w:tcW w:w="140" w:type="dxa"/>
            <w:vAlign w:val="bottom"/>
            <w:shd w:val="clear" w:color="auto" w:fill="CCEEFF"/>
          </w:tcPr>
          <w:p>
            <w:pPr>
              <w:spacing w:after="0"/>
              <w:rPr>
                <w:sz w:val="18"/>
                <w:szCs w:val="18"/>
                <w:color w:val="auto"/>
              </w:rPr>
            </w:pPr>
          </w:p>
        </w:tc>
      </w:tr>
      <w:tr>
        <w:trPr>
          <w:trHeight w:val="321"/>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Series B preferred shares outstanding</w:t>
            </w:r>
          </w:p>
        </w:tc>
        <w:tc>
          <w:tcPr>
            <w:tcW w:w="110" w:type="dxa"/>
            <w:vAlign w:val="bottom"/>
          </w:tcPr>
          <w:p>
            <w:pPr>
              <w:spacing w:after="0"/>
              <w:rPr>
                <w:sz w:val="24"/>
                <w:szCs w:val="24"/>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rPr>
              <w:t>5,400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5,400</w:t>
            </w:r>
          </w:p>
        </w:tc>
        <w:tc>
          <w:tcPr>
            <w:tcW w:w="140" w:type="dxa"/>
            <w:vAlign w:val="bottom"/>
          </w:tcPr>
          <w:p>
            <w:pPr>
              <w:spacing w:after="0"/>
              <w:rPr>
                <w:sz w:val="24"/>
                <w:szCs w:val="24"/>
                <w:color w:val="auto"/>
              </w:rPr>
            </w:pPr>
          </w:p>
        </w:tc>
      </w:tr>
      <w:tr>
        <w:trPr>
          <w:trHeight w:val="215"/>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Market price per Series B preferred share</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27.20</w:t>
            </w:r>
          </w:p>
        </w:tc>
        <w:tc>
          <w:tcPr>
            <w:tcW w:w="140" w:type="dxa"/>
            <w:vAlign w:val="bottom"/>
            <w:shd w:val="clear" w:color="auto" w:fill="CCEEFF"/>
          </w:tcPr>
          <w:p>
            <w:pPr>
              <w:spacing w:after="0"/>
              <w:rPr>
                <w:sz w:val="18"/>
                <w:szCs w:val="18"/>
                <w:color w:val="auto"/>
              </w:rPr>
            </w:pPr>
          </w:p>
        </w:tc>
      </w:tr>
      <w:tr>
        <w:trPr>
          <w:trHeight w:val="107"/>
        </w:trPr>
        <w:tc>
          <w:tcPr>
            <w:tcW w:w="118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1"/>
        </w:trPr>
        <w:tc>
          <w:tcPr>
            <w:tcW w:w="118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6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Preferred equity market capitalization</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142,830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146,880</w:t>
            </w:r>
          </w:p>
        </w:tc>
        <w:tc>
          <w:tcPr>
            <w:tcW w:w="140" w:type="dxa"/>
            <w:vAlign w:val="bottom"/>
            <w:shd w:val="clear" w:color="auto" w:fill="CCEEFF"/>
          </w:tcPr>
          <w:p>
            <w:pPr>
              <w:spacing w:after="0"/>
              <w:rPr>
                <w:sz w:val="18"/>
                <w:szCs w:val="18"/>
                <w:color w:val="auto"/>
              </w:rPr>
            </w:pPr>
          </w:p>
        </w:tc>
      </w:tr>
      <w:tr>
        <w:trPr>
          <w:trHeight w:val="107"/>
        </w:trPr>
        <w:tc>
          <w:tcPr>
            <w:tcW w:w="118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1"/>
        </w:trPr>
        <w:tc>
          <w:tcPr>
            <w:tcW w:w="118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Equity market capitalization</w:t>
            </w:r>
          </w:p>
        </w:tc>
        <w:tc>
          <w:tcPr>
            <w:tcW w:w="11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2,292,451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b w:val="1"/>
                <w:bCs w:val="1"/>
                <w:color w:val="auto"/>
                <w:w w:val="84"/>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1,715,808</w:t>
            </w:r>
          </w:p>
        </w:tc>
        <w:tc>
          <w:tcPr>
            <w:tcW w:w="140" w:type="dxa"/>
            <w:vAlign w:val="bottom"/>
            <w:shd w:val="clear" w:color="auto" w:fill="CCEEFF"/>
          </w:tcPr>
          <w:p>
            <w:pPr>
              <w:spacing w:after="0"/>
              <w:rPr>
                <w:sz w:val="18"/>
                <w:szCs w:val="18"/>
                <w:color w:val="auto"/>
              </w:rPr>
            </w:pPr>
          </w:p>
        </w:tc>
      </w:tr>
      <w:tr>
        <w:trPr>
          <w:trHeight w:val="320"/>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Total debt (2)</w:t>
            </w:r>
          </w:p>
        </w:tc>
        <w:tc>
          <w:tcPr>
            <w:tcW w:w="110" w:type="dxa"/>
            <w:vAlign w:val="bottom"/>
          </w:tcPr>
          <w:p>
            <w:pPr>
              <w:spacing w:after="0"/>
              <w:rPr>
                <w:sz w:val="24"/>
                <w:szCs w:val="24"/>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w w:val="89"/>
              </w:rPr>
              <w:t>1,321,684</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w w:val="92"/>
              </w:rPr>
              <w:t>1,233,800</w:t>
            </w:r>
          </w:p>
        </w:tc>
        <w:tc>
          <w:tcPr>
            <w:tcW w:w="140" w:type="dxa"/>
            <w:vAlign w:val="bottom"/>
          </w:tcPr>
          <w:p>
            <w:pPr>
              <w:spacing w:after="0"/>
              <w:rPr>
                <w:sz w:val="24"/>
                <w:szCs w:val="24"/>
                <w:color w:val="auto"/>
              </w:rPr>
            </w:pPr>
          </w:p>
        </w:tc>
      </w:tr>
      <w:tr>
        <w:trPr>
          <w:trHeight w:val="109"/>
        </w:trPr>
        <w:tc>
          <w:tcPr>
            <w:tcW w:w="118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1"/>
        </w:trPr>
        <w:tc>
          <w:tcPr>
            <w:tcW w:w="118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Total market capitalization</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3,614,135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2,949,608</w:t>
            </w:r>
          </w:p>
        </w:tc>
        <w:tc>
          <w:tcPr>
            <w:tcW w:w="140" w:type="dxa"/>
            <w:vAlign w:val="bottom"/>
            <w:shd w:val="clear" w:color="auto" w:fill="CCEEFF"/>
          </w:tcPr>
          <w:p>
            <w:pPr>
              <w:spacing w:after="0"/>
              <w:rPr>
                <w:sz w:val="18"/>
                <w:szCs w:val="18"/>
                <w:color w:val="auto"/>
              </w:rPr>
            </w:pPr>
          </w:p>
        </w:tc>
      </w:tr>
      <w:tr>
        <w:trPr>
          <w:trHeight w:val="131"/>
        </w:trPr>
        <w:tc>
          <w:tcPr>
            <w:tcW w:w="11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04"/>
        </w:trPr>
        <w:tc>
          <w:tcPr>
            <w:tcW w:w="118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Total debt to market capitalization</w:t>
            </w:r>
          </w:p>
        </w:tc>
        <w:tc>
          <w:tcPr>
            <w:tcW w:w="11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131"/>
        </w:trPr>
        <w:tc>
          <w:tcPr>
            <w:tcW w:w="11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4"/>
        </w:trPr>
        <w:tc>
          <w:tcPr>
            <w:tcW w:w="118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4"/>
        </w:trPr>
        <w:tc>
          <w:tcPr>
            <w:tcW w:w="86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Capital availability:</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Cash on hand</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710" w:type="dxa"/>
            <w:vAlign w:val="bottom"/>
          </w:tcPr>
          <w:p>
            <w:pPr>
              <w:jc w:val="right"/>
              <w:spacing w:after="0"/>
              <w:rPr>
                <w:sz w:val="20"/>
                <w:szCs w:val="20"/>
                <w:color w:val="auto"/>
              </w:rPr>
            </w:pPr>
            <w:r>
              <w:rPr>
                <w:rFonts w:ascii="Arial" w:cs="Arial" w:eastAsia="Arial" w:hAnsi="Arial"/>
                <w:sz w:val="17"/>
                <w:szCs w:val="17"/>
                <w:color w:val="auto"/>
              </w:rPr>
              <w:t>45,103</w:t>
            </w:r>
          </w:p>
        </w:tc>
        <w:tc>
          <w:tcPr>
            <w:tcW w:w="260" w:type="dxa"/>
            <w:vAlign w:val="bottom"/>
          </w:tcPr>
          <w:p>
            <w:pPr>
              <w:spacing w:after="0"/>
              <w:rPr>
                <w:sz w:val="18"/>
                <w:szCs w:val="18"/>
                <w:color w:val="auto"/>
              </w:rPr>
            </w:pPr>
          </w:p>
        </w:tc>
        <w:tc>
          <w:tcPr>
            <w:tcW w:w="880" w:type="dxa"/>
            <w:vAlign w:val="bottom"/>
            <w:gridSpan w:val="2"/>
          </w:tcPr>
          <w:p>
            <w:pPr>
              <w:ind w:left="78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18,609</w:t>
            </w:r>
          </w:p>
        </w:tc>
        <w:tc>
          <w:tcPr>
            <w:tcW w:w="140" w:type="dxa"/>
            <w:vAlign w:val="bottom"/>
          </w:tcPr>
          <w:p>
            <w:pPr>
              <w:spacing w:after="0"/>
              <w:rPr>
                <w:sz w:val="18"/>
                <w:szCs w:val="18"/>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Available capacity under line of credit</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93,000</w:t>
            </w:r>
          </w:p>
        </w:tc>
        <w:tc>
          <w:tcPr>
            <w:tcW w:w="140" w:type="dxa"/>
            <w:vAlign w:val="bottom"/>
            <w:shd w:val="clear" w:color="auto" w:fill="CCEEFF"/>
          </w:tcPr>
          <w:p>
            <w:pPr>
              <w:spacing w:after="0"/>
              <w:rPr>
                <w:sz w:val="18"/>
                <w:szCs w:val="18"/>
                <w:color w:val="auto"/>
              </w:rPr>
            </w:pPr>
          </w:p>
        </w:tc>
      </w:tr>
      <w:tr>
        <w:trPr>
          <w:trHeight w:val="221"/>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Available for issuance under shelf registration statement</w:t>
            </w:r>
          </w:p>
        </w:tc>
        <w:tc>
          <w:tcPr>
            <w:tcW w:w="1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7"/>
                <w:szCs w:val="17"/>
                <w:color w:val="auto"/>
              </w:rPr>
              <w:t>225,000</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400,000</w:t>
            </w:r>
          </w:p>
        </w:tc>
        <w:tc>
          <w:tcPr>
            <w:tcW w:w="140" w:type="dxa"/>
            <w:vAlign w:val="bottom"/>
          </w:tcPr>
          <w:p>
            <w:pPr>
              <w:spacing w:after="0"/>
              <w:rPr>
                <w:sz w:val="19"/>
                <w:szCs w:val="19"/>
                <w:color w:val="auto"/>
              </w:rPr>
            </w:pPr>
          </w:p>
        </w:tc>
      </w:tr>
      <w:tr>
        <w:trPr>
          <w:trHeight w:val="100"/>
        </w:trPr>
        <w:tc>
          <w:tcPr>
            <w:tcW w:w="118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1"/>
        </w:trPr>
        <w:tc>
          <w:tcPr>
            <w:tcW w:w="118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11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493,103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511,609</w:t>
            </w:r>
          </w:p>
        </w:tc>
        <w:tc>
          <w:tcPr>
            <w:tcW w:w="140" w:type="dxa"/>
            <w:vAlign w:val="bottom"/>
            <w:shd w:val="clear" w:color="auto" w:fill="CCEEFF"/>
          </w:tcPr>
          <w:p>
            <w:pPr>
              <w:spacing w:after="0"/>
              <w:rPr>
                <w:sz w:val="18"/>
                <w:szCs w:val="18"/>
                <w:color w:val="auto"/>
              </w:rPr>
            </w:pPr>
          </w:p>
        </w:tc>
      </w:tr>
      <w:tr>
        <w:trPr>
          <w:trHeight w:val="131"/>
        </w:trPr>
        <w:tc>
          <w:tcPr>
            <w:tcW w:w="11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11"/>
        </w:trPr>
        <w:tc>
          <w:tcPr>
            <w:tcW w:w="1180" w:type="dxa"/>
            <w:vAlign w:val="bottom"/>
            <w:tcBorders>
              <w:bottom w:val="single" w:sz="8" w:color="auto"/>
            </w:tcBorders>
          </w:tcPr>
          <w:p>
            <w:pPr>
              <w:spacing w:after="0"/>
              <w:rPr>
                <w:sz w:val="18"/>
                <w:szCs w:val="18"/>
                <w:color w:val="auto"/>
              </w:rPr>
            </w:pPr>
          </w:p>
        </w:tc>
        <w:tc>
          <w:tcPr>
            <w:tcW w:w="74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-1456055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-1456055</wp:posOffset>
            </wp:positionV>
            <wp:extent cx="2095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-1456055</wp:posOffset>
            </wp:positionV>
            <wp:extent cx="381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6645910</wp:posOffset>
            </wp:positionH>
            <wp:positionV relativeFrom="paragraph">
              <wp:posOffset>-1456055</wp:posOffset>
            </wp:positionV>
            <wp:extent cx="54038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0385" cy="2984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-1158240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-1158240</wp:posOffset>
            </wp:positionV>
            <wp:extent cx="2095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-1158240</wp:posOffset>
            </wp:positionV>
            <wp:extent cx="381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6645910</wp:posOffset>
            </wp:positionH>
            <wp:positionV relativeFrom="paragraph">
              <wp:posOffset>-1158240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6705600</wp:posOffset>
            </wp:positionH>
            <wp:positionV relativeFrom="paragraph">
              <wp:posOffset>-1158240</wp:posOffset>
            </wp:positionV>
            <wp:extent cx="2095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-1158240</wp:posOffset>
            </wp:positionV>
            <wp:extent cx="381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-171450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-171450</wp:posOffset>
            </wp:positionV>
            <wp:extent cx="2095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-171450</wp:posOffset>
            </wp:positionV>
            <wp:extent cx="381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6645910</wp:posOffset>
            </wp:positionH>
            <wp:positionV relativeFrom="paragraph">
              <wp:posOffset>-171450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6705600</wp:posOffset>
            </wp:positionH>
            <wp:positionV relativeFrom="paragraph">
              <wp:posOffset>-171450</wp:posOffset>
            </wp:positionV>
            <wp:extent cx="2095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-171450</wp:posOffset>
            </wp:positionV>
            <wp:extent cx="381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86" w:lineRule="exact"/>
        <w:rPr>
          <w:sz w:val="20"/>
          <w:szCs w:val="20"/>
          <w:color w:val="auto"/>
        </w:rPr>
      </w:pPr>
    </w:p>
    <w:p>
      <w:pPr>
        <w:ind w:left="460" w:right="60" w:hanging="453"/>
        <w:spacing w:after="0" w:line="265"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Consists of 53,156,349 shares issued net of 1,470,275 shares held in Treasury as of June 30, 2004. As of June 30, 2003, consists of 50,493,032 shares issued net of 1,463,611 shares held in Treasury. Amounts do not include 842,455 and 852,222 Operating units outstanding at June 30, 2004 and June 30, 2003, respectively.</w:t>
      </w:r>
    </w:p>
    <w:p>
      <w:pPr>
        <w:spacing w:after="0" w:line="2" w:lineRule="exact"/>
        <w:rPr>
          <w:rFonts w:ascii="Arial" w:cs="Arial" w:eastAsia="Arial" w:hAnsi="Arial"/>
          <w:sz w:val="17"/>
          <w:szCs w:val="17"/>
          <w:color w:val="auto"/>
        </w:rPr>
      </w:pPr>
    </w:p>
    <w:p>
      <w:pPr>
        <w:ind w:left="460" w:hanging="453"/>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Total debt includes capital leases, mortgages and construction loans payable, notes payable, senior notes and debentures.</w:t>
      </w:r>
    </w:p>
    <w:p>
      <w:pPr>
        <w:sectPr>
          <w:pgSz w:w="11900" w:h="16838" w:orient="portrait"/>
          <w:cols w:equalWidth="0" w:num="1">
            <w:col w:w="11420"/>
          </w:cols>
          <w:pgMar w:left="240" w:top="272"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Statistics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2180" w:type="dxa"/>
            <w:vAlign w:val="bottom"/>
            <w:gridSpan w:val="4"/>
          </w:tcPr>
          <w:p>
            <w:pPr>
              <w:jc w:val="center"/>
              <w:ind w:right="1000"/>
              <w:spacing w:after="0"/>
              <w:rPr>
                <w:sz w:val="20"/>
                <w:szCs w:val="20"/>
                <w:color w:val="auto"/>
              </w:rPr>
            </w:pPr>
            <w:r>
              <w:rPr>
                <w:rFonts w:ascii="Arial" w:cs="Arial" w:eastAsia="Arial" w:hAnsi="Arial"/>
                <w:sz w:val="13"/>
                <w:szCs w:val="13"/>
                <w:b w:val="1"/>
                <w:bCs w:val="1"/>
                <w:color w:val="auto"/>
                <w:w w:val="91"/>
              </w:rPr>
              <w:t>Six months ended</w:t>
            </w:r>
          </w:p>
        </w:tc>
        <w:tc>
          <w:tcPr>
            <w:tcW w:w="13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Six months ended</w:t>
            </w:r>
          </w:p>
        </w:tc>
      </w:tr>
      <w:tr>
        <w:trPr>
          <w:trHeight w:val="173"/>
        </w:trPr>
        <w:tc>
          <w:tcPr>
            <w:tcW w:w="11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3"/>
          </w:tcPr>
          <w:p>
            <w:pPr>
              <w:jc w:val="center"/>
              <w:ind w:right="1140"/>
              <w:spacing w:after="0"/>
              <w:rPr>
                <w:sz w:val="20"/>
                <w:szCs w:val="20"/>
                <w:color w:val="auto"/>
              </w:rPr>
            </w:pPr>
            <w:r>
              <w:rPr>
                <w:rFonts w:ascii="Arial" w:cs="Arial" w:eastAsia="Arial" w:hAnsi="Arial"/>
                <w:sz w:val="13"/>
                <w:szCs w:val="13"/>
                <w:b w:val="1"/>
                <w:bCs w:val="1"/>
                <w:color w:val="auto"/>
                <w:w w:val="92"/>
              </w:rPr>
              <w:t>June 30, 2004</w:t>
            </w:r>
          </w:p>
        </w:tc>
        <w:tc>
          <w:tcPr>
            <w:tcW w:w="14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June 30, 2003</w:t>
            </w:r>
          </w:p>
        </w:tc>
      </w:tr>
      <w:tr>
        <w:trPr>
          <w:trHeight w:val="94"/>
        </w:trPr>
        <w:tc>
          <w:tcPr>
            <w:tcW w:w="11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1"/>
        </w:trPr>
        <w:tc>
          <w:tcPr>
            <w:tcW w:w="11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7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Operational statistics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7920" w:type="dxa"/>
            <w:vAlign w:val="bottom"/>
            <w:gridSpan w:val="2"/>
          </w:tcPr>
          <w:p>
            <w:pPr>
              <w:ind w:left="440"/>
              <w:spacing w:after="0"/>
              <w:rPr>
                <w:sz w:val="20"/>
                <w:szCs w:val="20"/>
                <w:color w:val="auto"/>
              </w:rPr>
            </w:pPr>
            <w:r>
              <w:rPr>
                <w:rFonts w:ascii="Arial" w:cs="Arial" w:eastAsia="Arial" w:hAnsi="Arial"/>
                <w:sz w:val="17"/>
                <w:szCs w:val="17"/>
                <w:color w:val="auto"/>
              </w:rPr>
              <w:t>Ratio of earnings to fixed charges (1)</w:t>
            </w:r>
          </w:p>
        </w:tc>
        <w:tc>
          <w:tcPr>
            <w:tcW w:w="140" w:type="dxa"/>
            <w:vAlign w:val="bottom"/>
          </w:tcPr>
          <w:p>
            <w:pPr>
              <w:spacing w:after="0"/>
              <w:rPr>
                <w:sz w:val="18"/>
                <w:szCs w:val="18"/>
                <w:color w:val="auto"/>
              </w:rPr>
            </w:pPr>
          </w:p>
        </w:tc>
        <w:tc>
          <w:tcPr>
            <w:tcW w:w="2040" w:type="dxa"/>
            <w:vAlign w:val="bottom"/>
            <w:gridSpan w:val="3"/>
          </w:tcPr>
          <w:p>
            <w:pPr>
              <w:ind w:left="720"/>
              <w:spacing w:after="0"/>
              <w:rPr>
                <w:sz w:val="20"/>
                <w:szCs w:val="20"/>
                <w:color w:val="auto"/>
              </w:rPr>
            </w:pPr>
            <w:r>
              <w:rPr>
                <w:rFonts w:ascii="Arial" w:cs="Arial" w:eastAsia="Arial" w:hAnsi="Arial"/>
                <w:sz w:val="17"/>
                <w:szCs w:val="17"/>
                <w:color w:val="auto"/>
              </w:rPr>
              <w:t>1.71x</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1.54x</w:t>
            </w:r>
          </w:p>
        </w:tc>
      </w:tr>
      <w:tr>
        <w:trPr>
          <w:trHeight w:val="214"/>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Ratio of earnings to combined fixed charges and preferred share dividends (1)</w:t>
            </w:r>
          </w:p>
        </w:tc>
        <w:tc>
          <w:tcPr>
            <w:tcW w:w="1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1.52x</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1.28x</w:t>
            </w:r>
          </w:p>
        </w:tc>
      </w:tr>
      <w:tr>
        <w:trPr>
          <w:trHeight w:val="214"/>
        </w:trPr>
        <w:tc>
          <w:tcPr>
            <w:tcW w:w="7920" w:type="dxa"/>
            <w:vAlign w:val="bottom"/>
            <w:gridSpan w:val="2"/>
          </w:tcPr>
          <w:p>
            <w:pPr>
              <w:ind w:left="440"/>
              <w:spacing w:after="0"/>
              <w:rPr>
                <w:sz w:val="20"/>
                <w:szCs w:val="20"/>
                <w:color w:val="auto"/>
              </w:rPr>
            </w:pPr>
            <w:r>
              <w:rPr>
                <w:rFonts w:ascii="Arial" w:cs="Arial" w:eastAsia="Arial" w:hAnsi="Arial"/>
                <w:sz w:val="17"/>
                <w:szCs w:val="17"/>
                <w:color w:val="auto"/>
              </w:rPr>
              <w:t>Ratio of EBITDA to combined fixed charges and preferred share dividends (1)</w:t>
            </w:r>
          </w:p>
        </w:tc>
        <w:tc>
          <w:tcPr>
            <w:tcW w:w="140" w:type="dxa"/>
            <w:vAlign w:val="bottom"/>
          </w:tcPr>
          <w:p>
            <w:pPr>
              <w:spacing w:after="0"/>
              <w:rPr>
                <w:sz w:val="18"/>
                <w:szCs w:val="18"/>
                <w:color w:val="auto"/>
              </w:rPr>
            </w:pPr>
          </w:p>
        </w:tc>
        <w:tc>
          <w:tcPr>
            <w:tcW w:w="2040" w:type="dxa"/>
            <w:vAlign w:val="bottom"/>
            <w:gridSpan w:val="3"/>
          </w:tcPr>
          <w:p>
            <w:pPr>
              <w:ind w:left="720"/>
              <w:spacing w:after="0"/>
              <w:rPr>
                <w:sz w:val="20"/>
                <w:szCs w:val="20"/>
                <w:color w:val="auto"/>
              </w:rPr>
            </w:pPr>
            <w:r>
              <w:rPr>
                <w:rFonts w:ascii="Arial" w:cs="Arial" w:eastAsia="Arial" w:hAnsi="Arial"/>
                <w:sz w:val="17"/>
                <w:szCs w:val="17"/>
                <w:color w:val="auto"/>
              </w:rPr>
              <w:t>2.36x</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1.91x</w:t>
            </w:r>
          </w:p>
        </w:tc>
      </w:tr>
      <w:tr>
        <w:trPr>
          <w:trHeight w:val="214"/>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Administrative expense as a percentage of total revenues</w:t>
            </w:r>
          </w:p>
        </w:tc>
        <w:tc>
          <w:tcPr>
            <w:tcW w:w="1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4.49%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w:t>
            </w:r>
          </w:p>
        </w:tc>
      </w:tr>
      <w:tr>
        <w:trPr>
          <w:trHeight w:val="349"/>
        </w:trPr>
        <w:tc>
          <w:tcPr>
            <w:tcW w:w="11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180" w:type="dxa"/>
            <w:vAlign w:val="bottom"/>
            <w:gridSpan w:val="4"/>
          </w:tcPr>
          <w:p>
            <w:pPr>
              <w:jc w:val="center"/>
              <w:ind w:right="1000"/>
              <w:spacing w:after="0"/>
              <w:rPr>
                <w:sz w:val="20"/>
                <w:szCs w:val="20"/>
                <w:color w:val="auto"/>
              </w:rPr>
            </w:pPr>
            <w:r>
              <w:rPr>
                <w:rFonts w:ascii="Arial" w:cs="Arial" w:eastAsia="Arial" w:hAnsi="Arial"/>
                <w:sz w:val="13"/>
                <w:szCs w:val="13"/>
                <w:b w:val="1"/>
                <w:bCs w:val="1"/>
                <w:color w:val="auto"/>
                <w:w w:val="92"/>
              </w:rPr>
              <w:t>Three months ended</w:t>
            </w:r>
          </w:p>
        </w:tc>
        <w:tc>
          <w:tcPr>
            <w:tcW w:w="13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Three months ended</w:t>
            </w:r>
          </w:p>
        </w:tc>
      </w:tr>
      <w:tr>
        <w:trPr>
          <w:trHeight w:val="173"/>
        </w:trPr>
        <w:tc>
          <w:tcPr>
            <w:tcW w:w="11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3"/>
          </w:tcPr>
          <w:p>
            <w:pPr>
              <w:jc w:val="center"/>
              <w:ind w:right="1140"/>
              <w:spacing w:after="0"/>
              <w:rPr>
                <w:sz w:val="20"/>
                <w:szCs w:val="20"/>
                <w:color w:val="auto"/>
              </w:rPr>
            </w:pPr>
            <w:r>
              <w:rPr>
                <w:rFonts w:ascii="Arial" w:cs="Arial" w:eastAsia="Arial" w:hAnsi="Arial"/>
                <w:sz w:val="13"/>
                <w:szCs w:val="13"/>
                <w:b w:val="1"/>
                <w:bCs w:val="1"/>
                <w:color w:val="auto"/>
                <w:w w:val="92"/>
              </w:rPr>
              <w:t>June 30, 2004</w:t>
            </w:r>
          </w:p>
        </w:tc>
        <w:tc>
          <w:tcPr>
            <w:tcW w:w="14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June 30, 2003</w:t>
            </w:r>
          </w:p>
        </w:tc>
      </w:tr>
      <w:tr>
        <w:trPr>
          <w:trHeight w:val="94"/>
        </w:trPr>
        <w:tc>
          <w:tcPr>
            <w:tcW w:w="11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1"/>
        </w:trPr>
        <w:tc>
          <w:tcPr>
            <w:tcW w:w="11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7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Components of Rental Income (2)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21"/>
        </w:trPr>
        <w:tc>
          <w:tcPr>
            <w:tcW w:w="7920" w:type="dxa"/>
            <w:vAlign w:val="bottom"/>
            <w:gridSpan w:val="2"/>
          </w:tcPr>
          <w:p>
            <w:pPr>
              <w:ind w:left="440"/>
              <w:spacing w:after="0"/>
              <w:rPr>
                <w:sz w:val="20"/>
                <w:szCs w:val="20"/>
                <w:color w:val="auto"/>
              </w:rPr>
            </w:pPr>
            <w:r>
              <w:rPr>
                <w:rFonts w:ascii="Arial" w:cs="Arial" w:eastAsia="Arial" w:hAnsi="Arial"/>
                <w:sz w:val="17"/>
                <w:szCs w:val="17"/>
                <w:color w:val="auto"/>
              </w:rPr>
              <w:t>Minimum Rents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5"/>
        </w:trPr>
        <w:tc>
          <w:tcPr>
            <w:tcW w:w="79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Retail and commercial properties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70,698</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62,162</w:t>
            </w:r>
          </w:p>
        </w:tc>
        <w:tc>
          <w:tcPr>
            <w:tcW w:w="140" w:type="dxa"/>
            <w:vAlign w:val="bottom"/>
            <w:shd w:val="clear" w:color="auto" w:fill="CCEEFF"/>
          </w:tcPr>
          <w:p>
            <w:pPr>
              <w:spacing w:after="0"/>
              <w:rPr>
                <w:sz w:val="18"/>
                <w:szCs w:val="18"/>
                <w:color w:val="auto"/>
              </w:rPr>
            </w:pPr>
          </w:p>
        </w:tc>
      </w:tr>
      <w:tr>
        <w:trPr>
          <w:trHeight w:val="214"/>
        </w:trPr>
        <w:tc>
          <w:tcPr>
            <w:tcW w:w="7920" w:type="dxa"/>
            <w:vAlign w:val="bottom"/>
            <w:gridSpan w:val="2"/>
          </w:tcPr>
          <w:p>
            <w:pPr>
              <w:ind w:left="860"/>
              <w:spacing w:after="0"/>
              <w:rPr>
                <w:sz w:val="20"/>
                <w:szCs w:val="20"/>
                <w:color w:val="auto"/>
              </w:rPr>
            </w:pPr>
            <w:r>
              <w:rPr>
                <w:rFonts w:ascii="Arial" w:cs="Arial" w:eastAsia="Arial" w:hAnsi="Arial"/>
                <w:sz w:val="17"/>
                <w:szCs w:val="17"/>
                <w:color w:val="auto"/>
              </w:rPr>
              <w:t>Residential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3,204</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2,036</w:t>
            </w:r>
          </w:p>
        </w:tc>
        <w:tc>
          <w:tcPr>
            <w:tcW w:w="140" w:type="dxa"/>
            <w:vAlign w:val="bottom"/>
          </w:tcPr>
          <w:p>
            <w:pPr>
              <w:spacing w:after="0"/>
              <w:rPr>
                <w:sz w:val="18"/>
                <w:szCs w:val="18"/>
                <w:color w:val="auto"/>
              </w:rPr>
            </w:pPr>
          </w:p>
        </w:tc>
      </w:tr>
      <w:tr>
        <w:trPr>
          <w:trHeight w:val="214"/>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Cost Reimbursements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16,639</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13,336</w:t>
            </w:r>
          </w:p>
        </w:tc>
        <w:tc>
          <w:tcPr>
            <w:tcW w:w="140" w:type="dxa"/>
            <w:vAlign w:val="bottom"/>
            <w:shd w:val="clear" w:color="auto" w:fill="CCEEFF"/>
          </w:tcPr>
          <w:p>
            <w:pPr>
              <w:spacing w:after="0"/>
              <w:rPr>
                <w:sz w:val="18"/>
                <w:szCs w:val="18"/>
                <w:color w:val="auto"/>
              </w:rPr>
            </w:pPr>
          </w:p>
        </w:tc>
      </w:tr>
      <w:tr>
        <w:trPr>
          <w:trHeight w:val="221"/>
        </w:trPr>
        <w:tc>
          <w:tcPr>
            <w:tcW w:w="7920" w:type="dxa"/>
            <w:vAlign w:val="bottom"/>
            <w:gridSpan w:val="2"/>
          </w:tcPr>
          <w:p>
            <w:pPr>
              <w:ind w:left="440"/>
              <w:spacing w:after="0"/>
              <w:rPr>
                <w:sz w:val="20"/>
                <w:szCs w:val="20"/>
                <w:color w:val="auto"/>
              </w:rPr>
            </w:pPr>
            <w:r>
              <w:rPr>
                <w:rFonts w:ascii="Arial" w:cs="Arial" w:eastAsia="Arial" w:hAnsi="Arial"/>
                <w:sz w:val="17"/>
                <w:szCs w:val="17"/>
                <w:color w:val="auto"/>
              </w:rPr>
              <w:t>Percentage rents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1,604</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1,770</w:t>
            </w:r>
          </w:p>
        </w:tc>
        <w:tc>
          <w:tcPr>
            <w:tcW w:w="140" w:type="dxa"/>
            <w:vAlign w:val="bottom"/>
          </w:tcPr>
          <w:p>
            <w:pPr>
              <w:spacing w:after="0"/>
              <w:rPr>
                <w:sz w:val="19"/>
                <w:szCs w:val="19"/>
                <w:color w:val="auto"/>
              </w:rPr>
            </w:pPr>
          </w:p>
        </w:tc>
      </w:tr>
      <w:tr>
        <w:trPr>
          <w:trHeight w:val="100"/>
        </w:trPr>
        <w:tc>
          <w:tcPr>
            <w:tcW w:w="11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1"/>
        </w:trPr>
        <w:tc>
          <w:tcPr>
            <w:tcW w:w="11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79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Rental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92,145</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79,304</w:t>
            </w:r>
          </w:p>
        </w:tc>
        <w:tc>
          <w:tcPr>
            <w:tcW w:w="140" w:type="dxa"/>
            <w:vAlign w:val="bottom"/>
            <w:shd w:val="clear" w:color="auto" w:fill="CCEEFF"/>
          </w:tcPr>
          <w:p>
            <w:pPr>
              <w:spacing w:after="0"/>
              <w:rPr>
                <w:sz w:val="18"/>
                <w:szCs w:val="18"/>
                <w:color w:val="auto"/>
              </w:rPr>
            </w:pPr>
          </w:p>
        </w:tc>
      </w:tr>
      <w:tr>
        <w:trPr>
          <w:trHeight w:val="131"/>
        </w:trPr>
        <w:tc>
          <w:tcPr>
            <w:tcW w:w="118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11"/>
        </w:trPr>
        <w:tc>
          <w:tcPr>
            <w:tcW w:w="1180" w:type="dxa"/>
            <w:vAlign w:val="bottom"/>
            <w:tcBorders>
              <w:bottom w:val="single" w:sz="8" w:color="auto"/>
            </w:tcBorders>
          </w:tcPr>
          <w:p>
            <w:pPr>
              <w:spacing w:after="0"/>
              <w:rPr>
                <w:sz w:val="18"/>
                <w:szCs w:val="18"/>
                <w:color w:val="auto"/>
              </w:rPr>
            </w:pPr>
          </w:p>
        </w:tc>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5029835</wp:posOffset>
            </wp:positionH>
            <wp:positionV relativeFrom="paragraph">
              <wp:posOffset>-171450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-171450</wp:posOffset>
            </wp:positionV>
            <wp:extent cx="2095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-171450</wp:posOffset>
            </wp:positionV>
            <wp:extent cx="381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-171450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6654800</wp:posOffset>
            </wp:positionH>
            <wp:positionV relativeFrom="paragraph">
              <wp:posOffset>-171450</wp:posOffset>
            </wp:positionV>
            <wp:extent cx="2095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-171450</wp:posOffset>
            </wp:positionV>
            <wp:extent cx="381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right="120" w:hanging="453"/>
        <w:spacing w:after="0" w:line="263"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Earnings consist of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outstanding Series A preferred shares (during the period ended June 30, 2003) and Series B preferred shares (during the period ended June 30, 2003 and June 30, 2004).</w:t>
      </w:r>
    </w:p>
    <w:p>
      <w:pPr>
        <w:ind w:left="460" w:hanging="453"/>
        <w:spacing w:after="0" w:line="274"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Minimum rents include $1.9 million and $0.8 million for the six months ended June 30, 2004 and June 30, 2003, respectively, to recognize rent on a straight-line basis. Residential minimum rents comprise the rents at Rollingwood Apartments, The Crest at Congressional Apartments and residential rents at Santana Row.</w:t>
      </w:r>
    </w:p>
    <w:p>
      <w:pPr>
        <w:sectPr>
          <w:pgSz w:w="11900" w:h="16838" w:orient="portrait"/>
          <w:cols w:equalWidth="0" w:num="1">
            <w:col w:w="11420"/>
          </w:cols>
          <w:pgMar w:left="240" w:top="272"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2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Interest Rate as of</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Maturity</w:t>
            </w:r>
          </w:p>
        </w:tc>
        <w:tc>
          <w:tcPr>
            <w:tcW w:w="202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June 30, 2004</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34"/>
              <w:spacing w:after="0"/>
              <w:rPr>
                <w:sz w:val="20"/>
                <w:szCs w:val="20"/>
                <w:color w:val="auto"/>
              </w:rPr>
            </w:pPr>
            <w:r>
              <w:rPr>
                <w:rFonts w:ascii="Arial" w:cs="Arial" w:eastAsia="Arial" w:hAnsi="Arial"/>
                <w:sz w:val="13"/>
                <w:szCs w:val="13"/>
                <w:b w:val="1"/>
                <w:bCs w:val="1"/>
                <w:color w:val="auto"/>
              </w:rPr>
              <w:t>Balance</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(in thousands)</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40" w:type="dxa"/>
            <w:vAlign w:val="bottom"/>
            <w:tcBorders>
              <w:bottom w:val="single" w:sz="8" w:color="auto"/>
            </w:tcBorders>
            <w:gridSpan w:val="3"/>
            <w:shd w:val="clear" w:color="auto" w:fill="CCEEFF"/>
          </w:tcPr>
          <w:p>
            <w:pPr>
              <w:spacing w:after="0" w:line="174" w:lineRule="exact"/>
              <w:rPr>
                <w:sz w:val="20"/>
                <w:szCs w:val="20"/>
                <w:color w:val="auto"/>
              </w:rPr>
            </w:pPr>
            <w:r>
              <w:rPr>
                <w:rFonts w:ascii="Arial" w:cs="Arial" w:eastAsia="Arial" w:hAnsi="Arial"/>
                <w:sz w:val="17"/>
                <w:szCs w:val="17"/>
                <w:b w:val="1"/>
                <w:bCs w:val="1"/>
                <w:color w:val="auto"/>
                <w:w w:val="92"/>
              </w:rPr>
              <w:t>Mortgage Loans</w:t>
            </w:r>
          </w:p>
        </w:tc>
        <w:tc>
          <w:tcPr>
            <w:tcW w:w="2000" w:type="dxa"/>
            <w:vAlign w:val="bottom"/>
            <w:tcBorders>
              <w:bottom w:val="single" w:sz="8" w:color="CCEEFF"/>
            </w:tcBorders>
            <w:gridSpan w:val="3"/>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i w:val="1"/>
                <w:iCs w:val="1"/>
                <w:color w:val="auto"/>
              </w:rPr>
              <w:t>Secured Fixed Rate</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Leesburg Plaza</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10/01/08</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6.510%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164 E Houston Street</w:t>
            </w:r>
          </w:p>
        </w:tc>
        <w:tc>
          <w:tcPr>
            <w:tcW w:w="2080" w:type="dxa"/>
            <w:vAlign w:val="bottom"/>
            <w:gridSpan w:val="3"/>
          </w:tcPr>
          <w:p>
            <w:pPr>
              <w:jc w:val="right"/>
              <w:ind w:right="400"/>
              <w:spacing w:after="0"/>
              <w:rPr>
                <w:sz w:val="20"/>
                <w:szCs w:val="20"/>
                <w:color w:val="auto"/>
              </w:rPr>
            </w:pPr>
            <w:r>
              <w:rPr>
                <w:rFonts w:ascii="Arial" w:cs="Arial" w:eastAsia="Arial" w:hAnsi="Arial"/>
                <w:sz w:val="17"/>
                <w:szCs w:val="17"/>
                <w:color w:val="auto"/>
              </w:rPr>
              <w:t>10/06/08</w:t>
            </w:r>
          </w:p>
        </w:tc>
        <w:tc>
          <w:tcPr>
            <w:tcW w:w="2020" w:type="dxa"/>
            <w:vAlign w:val="bottom"/>
            <w:gridSpan w:val="2"/>
          </w:tcPr>
          <w:p>
            <w:pPr>
              <w:jc w:val="right"/>
              <w:ind w:right="280"/>
              <w:spacing w:after="0"/>
              <w:rPr>
                <w:sz w:val="20"/>
                <w:szCs w:val="20"/>
                <w:color w:val="auto"/>
              </w:rPr>
            </w:pPr>
            <w:r>
              <w:rPr>
                <w:rFonts w:ascii="Arial" w:cs="Arial" w:eastAsia="Arial" w:hAnsi="Arial"/>
                <w:sz w:val="17"/>
                <w:szCs w:val="17"/>
                <w:color w:val="auto"/>
              </w:rPr>
              <w:t>7.500%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211</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Mercer Mall</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09/01/09</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8.375%</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4,666</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Federal Plaza</w:t>
            </w:r>
          </w:p>
        </w:tc>
        <w:tc>
          <w:tcPr>
            <w:tcW w:w="2080" w:type="dxa"/>
            <w:vAlign w:val="bottom"/>
            <w:gridSpan w:val="3"/>
          </w:tcPr>
          <w:p>
            <w:pPr>
              <w:jc w:val="right"/>
              <w:ind w:right="400"/>
              <w:spacing w:after="0"/>
              <w:rPr>
                <w:sz w:val="20"/>
                <w:szCs w:val="20"/>
                <w:color w:val="auto"/>
              </w:rPr>
            </w:pPr>
            <w:r>
              <w:rPr>
                <w:rFonts w:ascii="Arial" w:cs="Arial" w:eastAsia="Arial" w:hAnsi="Arial"/>
                <w:sz w:val="17"/>
                <w:szCs w:val="17"/>
                <w:color w:val="auto"/>
              </w:rPr>
              <w:t>06/01/11</w:t>
            </w:r>
          </w:p>
        </w:tc>
        <w:tc>
          <w:tcPr>
            <w:tcW w:w="2020" w:type="dxa"/>
            <w:vAlign w:val="bottom"/>
            <w:gridSpan w:val="2"/>
          </w:tcPr>
          <w:p>
            <w:pPr>
              <w:jc w:val="right"/>
              <w:ind w:right="280"/>
              <w:spacing w:after="0"/>
              <w:rPr>
                <w:sz w:val="20"/>
                <w:szCs w:val="20"/>
                <w:color w:val="auto"/>
              </w:rPr>
            </w:pPr>
            <w:r>
              <w:rPr>
                <w:rFonts w:ascii="Arial" w:cs="Arial" w:eastAsia="Arial" w:hAnsi="Arial"/>
                <w:sz w:val="17"/>
                <w:szCs w:val="17"/>
                <w:color w:val="auto"/>
              </w:rPr>
              <w:t>6.750%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35,331</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Tyson’s Station</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09/01/11</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7.400%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Barracks Road</w:t>
            </w:r>
          </w:p>
        </w:tc>
        <w:tc>
          <w:tcPr>
            <w:tcW w:w="2080" w:type="dxa"/>
            <w:vAlign w:val="bottom"/>
            <w:gridSpan w:val="3"/>
          </w:tcPr>
          <w:p>
            <w:pPr>
              <w:jc w:val="right"/>
              <w:ind w:right="400"/>
              <w:spacing w:after="0"/>
              <w:rPr>
                <w:sz w:val="20"/>
                <w:szCs w:val="20"/>
                <w:color w:val="auto"/>
              </w:rPr>
            </w:pPr>
            <w:r>
              <w:rPr>
                <w:rFonts w:ascii="Arial" w:cs="Arial" w:eastAsia="Arial" w:hAnsi="Arial"/>
                <w:sz w:val="17"/>
                <w:szCs w:val="17"/>
                <w:color w:val="auto"/>
              </w:rPr>
              <w:t>11/01/15</w:t>
            </w:r>
          </w:p>
        </w:tc>
        <w:tc>
          <w:tcPr>
            <w:tcW w:w="2020" w:type="dxa"/>
            <w:vAlign w:val="bottom"/>
            <w:gridSpan w:val="2"/>
          </w:tcPr>
          <w:p>
            <w:pPr>
              <w:jc w:val="right"/>
              <w:ind w:right="280"/>
              <w:spacing w:after="0"/>
              <w:rPr>
                <w:sz w:val="20"/>
                <w:szCs w:val="20"/>
                <w:color w:val="auto"/>
              </w:rPr>
            </w:pPr>
            <w:r>
              <w:rPr>
                <w:rFonts w:ascii="Arial" w:cs="Arial" w:eastAsia="Arial" w:hAnsi="Arial"/>
                <w:sz w:val="17"/>
                <w:szCs w:val="17"/>
                <w:color w:val="auto"/>
              </w:rPr>
              <w:t>7.950%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43,979</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Brick Plaza</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11/01/15</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7.415%</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32,738</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Hauppauge</w:t>
            </w:r>
          </w:p>
        </w:tc>
        <w:tc>
          <w:tcPr>
            <w:tcW w:w="2080" w:type="dxa"/>
            <w:vAlign w:val="bottom"/>
            <w:gridSpan w:val="3"/>
          </w:tcPr>
          <w:p>
            <w:pPr>
              <w:jc w:val="right"/>
              <w:ind w:right="400"/>
              <w:spacing w:after="0"/>
              <w:rPr>
                <w:sz w:val="20"/>
                <w:szCs w:val="20"/>
                <w:color w:val="auto"/>
              </w:rPr>
            </w:pPr>
            <w:r>
              <w:rPr>
                <w:rFonts w:ascii="Arial" w:cs="Arial" w:eastAsia="Arial" w:hAnsi="Arial"/>
                <w:sz w:val="17"/>
                <w:szCs w:val="17"/>
                <w:color w:val="auto"/>
              </w:rPr>
              <w:t>11/01/15</w:t>
            </w:r>
          </w:p>
        </w:tc>
        <w:tc>
          <w:tcPr>
            <w:tcW w:w="2020" w:type="dxa"/>
            <w:vAlign w:val="bottom"/>
            <w:gridSpan w:val="2"/>
          </w:tcPr>
          <w:p>
            <w:pPr>
              <w:jc w:val="right"/>
              <w:ind w:right="280"/>
              <w:spacing w:after="0"/>
              <w:rPr>
                <w:sz w:val="20"/>
                <w:szCs w:val="20"/>
                <w:color w:val="auto"/>
              </w:rPr>
            </w:pPr>
            <w:r>
              <w:rPr>
                <w:rFonts w:ascii="Arial" w:cs="Arial" w:eastAsia="Arial" w:hAnsi="Arial"/>
                <w:sz w:val="17"/>
                <w:szCs w:val="17"/>
                <w:color w:val="auto"/>
              </w:rPr>
              <w:t>7.950%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16,579</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Lawrence Park</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11/01/15</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7.950%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31,173</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Wildwood</w:t>
            </w:r>
          </w:p>
        </w:tc>
        <w:tc>
          <w:tcPr>
            <w:tcW w:w="2080" w:type="dxa"/>
            <w:vAlign w:val="bottom"/>
            <w:gridSpan w:val="3"/>
          </w:tcPr>
          <w:p>
            <w:pPr>
              <w:jc w:val="right"/>
              <w:ind w:right="400"/>
              <w:spacing w:after="0"/>
              <w:rPr>
                <w:sz w:val="20"/>
                <w:szCs w:val="20"/>
                <w:color w:val="auto"/>
              </w:rPr>
            </w:pPr>
            <w:r>
              <w:rPr>
                <w:rFonts w:ascii="Arial" w:cs="Arial" w:eastAsia="Arial" w:hAnsi="Arial"/>
                <w:sz w:val="17"/>
                <w:szCs w:val="17"/>
                <w:color w:val="auto"/>
              </w:rPr>
              <w:t>11/01/15</w:t>
            </w:r>
          </w:p>
        </w:tc>
        <w:tc>
          <w:tcPr>
            <w:tcW w:w="2020" w:type="dxa"/>
            <w:vAlign w:val="bottom"/>
            <w:gridSpan w:val="2"/>
          </w:tcPr>
          <w:p>
            <w:pPr>
              <w:jc w:val="right"/>
              <w:ind w:right="280"/>
              <w:spacing w:after="0"/>
              <w:rPr>
                <w:sz w:val="20"/>
                <w:szCs w:val="20"/>
                <w:color w:val="auto"/>
              </w:rPr>
            </w:pPr>
            <w:r>
              <w:rPr>
                <w:rFonts w:ascii="Arial" w:cs="Arial" w:eastAsia="Arial" w:hAnsi="Arial"/>
                <w:sz w:val="17"/>
                <w:szCs w:val="17"/>
                <w:color w:val="auto"/>
              </w:rPr>
              <w:t>7.950%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27,400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Wynnewood</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11/01/15</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7.950%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31,768</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Mount Vernon</w:t>
            </w:r>
          </w:p>
        </w:tc>
        <w:tc>
          <w:tcPr>
            <w:tcW w:w="2080" w:type="dxa"/>
            <w:vAlign w:val="bottom"/>
            <w:gridSpan w:val="3"/>
          </w:tcPr>
          <w:p>
            <w:pPr>
              <w:jc w:val="right"/>
              <w:ind w:right="400"/>
              <w:spacing w:after="0"/>
              <w:rPr>
                <w:sz w:val="20"/>
                <w:szCs w:val="20"/>
                <w:color w:val="auto"/>
              </w:rPr>
            </w:pPr>
            <w:r>
              <w:rPr>
                <w:rFonts w:ascii="Arial" w:cs="Arial" w:eastAsia="Arial" w:hAnsi="Arial"/>
                <w:sz w:val="17"/>
                <w:szCs w:val="17"/>
                <w:color w:val="auto"/>
              </w:rPr>
              <w:t>04/15/28</w:t>
            </w:r>
          </w:p>
        </w:tc>
        <w:tc>
          <w:tcPr>
            <w:tcW w:w="2020" w:type="dxa"/>
            <w:vAlign w:val="bottom"/>
            <w:gridSpan w:val="2"/>
          </w:tcPr>
          <w:p>
            <w:pPr>
              <w:jc w:val="right"/>
              <w:ind w:right="280"/>
              <w:spacing w:after="0"/>
              <w:rPr>
                <w:sz w:val="20"/>
                <w:szCs w:val="20"/>
                <w:color w:val="auto"/>
              </w:rPr>
            </w:pPr>
            <w:r>
              <w:rPr>
                <w:rFonts w:ascii="Arial" w:cs="Arial" w:eastAsia="Arial" w:hAnsi="Arial"/>
                <w:sz w:val="17"/>
                <w:szCs w:val="17"/>
                <w:color w:val="auto"/>
              </w:rPr>
              <w:t>5.660%</w:t>
            </w:r>
          </w:p>
        </w:tc>
        <w:tc>
          <w:tcPr>
            <w:tcW w:w="900" w:type="dxa"/>
            <w:vAlign w:val="bottom"/>
          </w:tcPr>
          <w:p>
            <w:pPr>
              <w:jc w:val="right"/>
              <w:ind w:right="313"/>
              <w:spacing w:after="0"/>
              <w:rPr>
                <w:sz w:val="20"/>
                <w:szCs w:val="20"/>
                <w:color w:val="auto"/>
              </w:rPr>
            </w:pPr>
            <w:r>
              <w:rPr>
                <w:rFonts w:ascii="Arial" w:cs="Arial" w:eastAsia="Arial" w:hAnsi="Arial"/>
                <w:sz w:val="17"/>
                <w:szCs w:val="17"/>
                <w:color w:val="auto"/>
              </w:rPr>
              <w:t>(a)</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12,959</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253,398</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240" w:type="dxa"/>
            <w:vAlign w:val="bottom"/>
            <w:gridSpan w:val="6"/>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Notes payable</w:t>
            </w:r>
          </w:p>
        </w:tc>
        <w:tc>
          <w:tcPr>
            <w:tcW w:w="9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i w:val="1"/>
                <w:iCs w:val="1"/>
                <w:color w:val="auto"/>
              </w:rPr>
              <w:t>Unsecured Fixed Rate</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Perring Plaza Renovation</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01/31/13</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10.00%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2,055</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Other</w:t>
            </w:r>
          </w:p>
        </w:tc>
        <w:tc>
          <w:tcPr>
            <w:tcW w:w="9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rPr>
              <w:t>various</w:t>
            </w:r>
          </w:p>
        </w:tc>
        <w:tc>
          <w:tcPr>
            <w:tcW w:w="2020" w:type="dxa"/>
            <w:vAlign w:val="bottom"/>
            <w:gridSpan w:val="2"/>
          </w:tcPr>
          <w:p>
            <w:pPr>
              <w:jc w:val="right"/>
              <w:ind w:right="440"/>
              <w:spacing w:after="0"/>
              <w:rPr>
                <w:sz w:val="20"/>
                <w:szCs w:val="20"/>
                <w:color w:val="auto"/>
              </w:rPr>
            </w:pPr>
            <w:r>
              <w:rPr>
                <w:rFonts w:ascii="Arial" w:cs="Arial" w:eastAsia="Arial" w:hAnsi="Arial"/>
                <w:sz w:val="17"/>
                <w:szCs w:val="17"/>
                <w:color w:val="auto"/>
              </w:rPr>
              <w:t>various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i w:val="1"/>
                <w:iCs w:val="1"/>
                <w:color w:val="auto"/>
              </w:rPr>
              <w:t>Unsecured Variable Rate</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Revolving credit facility</w:t>
            </w:r>
          </w:p>
        </w:tc>
        <w:tc>
          <w:tcPr>
            <w:tcW w:w="2080" w:type="dxa"/>
            <w:vAlign w:val="bottom"/>
            <w:gridSpan w:val="3"/>
          </w:tcPr>
          <w:p>
            <w:pPr>
              <w:jc w:val="right"/>
              <w:ind w:right="400"/>
              <w:spacing w:after="0"/>
              <w:rPr>
                <w:sz w:val="20"/>
                <w:szCs w:val="20"/>
                <w:color w:val="auto"/>
              </w:rPr>
            </w:pPr>
            <w:r>
              <w:rPr>
                <w:rFonts w:ascii="Arial" w:cs="Arial" w:eastAsia="Arial" w:hAnsi="Arial"/>
                <w:sz w:val="17"/>
                <w:szCs w:val="17"/>
                <w:color w:val="auto"/>
              </w:rPr>
              <w:t>10/08/06</w:t>
            </w:r>
          </w:p>
        </w:tc>
        <w:tc>
          <w:tcPr>
            <w:tcW w:w="2020" w:type="dxa"/>
            <w:vAlign w:val="bottom"/>
            <w:gridSpan w:val="2"/>
          </w:tcPr>
          <w:p>
            <w:pPr>
              <w:jc w:val="right"/>
              <w:ind w:right="280"/>
              <w:spacing w:after="0"/>
              <w:rPr>
                <w:sz w:val="20"/>
                <w:szCs w:val="20"/>
                <w:color w:val="auto"/>
              </w:rPr>
            </w:pPr>
            <w:r>
              <w:rPr>
                <w:rFonts w:ascii="Arial" w:cs="Arial" w:eastAsia="Arial" w:hAnsi="Arial"/>
                <w:sz w:val="17"/>
                <w:szCs w:val="17"/>
                <w:color w:val="auto"/>
              </w:rPr>
              <w:t>LIBOR + .75%</w:t>
            </w:r>
          </w:p>
        </w:tc>
        <w:tc>
          <w:tcPr>
            <w:tcW w:w="900" w:type="dxa"/>
            <w:vAlign w:val="bottom"/>
          </w:tcPr>
          <w:p>
            <w:pPr>
              <w:jc w:val="right"/>
              <w:ind w:right="313"/>
              <w:spacing w:after="0"/>
              <w:rPr>
                <w:sz w:val="20"/>
                <w:szCs w:val="20"/>
                <w:color w:val="auto"/>
              </w:rPr>
            </w:pPr>
            <w:r>
              <w:rPr>
                <w:rFonts w:ascii="Arial" w:cs="Arial" w:eastAsia="Arial" w:hAnsi="Arial"/>
                <w:sz w:val="17"/>
                <w:szCs w:val="17"/>
                <w:color w:val="auto"/>
              </w:rPr>
              <w:t>(b)</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77,000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Term note with banks</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10/08/06</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LIBOR + .95%</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Term note with banks</w:t>
            </w:r>
          </w:p>
        </w:tc>
        <w:tc>
          <w:tcPr>
            <w:tcW w:w="2080" w:type="dxa"/>
            <w:vAlign w:val="bottom"/>
            <w:gridSpan w:val="3"/>
          </w:tcPr>
          <w:p>
            <w:pPr>
              <w:jc w:val="right"/>
              <w:ind w:right="400"/>
              <w:spacing w:after="0"/>
              <w:rPr>
                <w:sz w:val="20"/>
                <w:szCs w:val="20"/>
                <w:color w:val="auto"/>
              </w:rPr>
            </w:pPr>
            <w:r>
              <w:rPr>
                <w:rFonts w:ascii="Arial" w:cs="Arial" w:eastAsia="Arial" w:hAnsi="Arial"/>
                <w:sz w:val="17"/>
                <w:szCs w:val="17"/>
                <w:color w:val="auto"/>
              </w:rPr>
              <w:t>10/08/08</w:t>
            </w:r>
          </w:p>
        </w:tc>
        <w:tc>
          <w:tcPr>
            <w:tcW w:w="2020" w:type="dxa"/>
            <w:vAlign w:val="bottom"/>
            <w:gridSpan w:val="2"/>
          </w:tcPr>
          <w:p>
            <w:pPr>
              <w:jc w:val="right"/>
              <w:ind w:right="280"/>
              <w:spacing w:after="0"/>
              <w:rPr>
                <w:sz w:val="20"/>
                <w:szCs w:val="20"/>
                <w:color w:val="auto"/>
              </w:rPr>
            </w:pPr>
            <w:r>
              <w:rPr>
                <w:rFonts w:ascii="Arial" w:cs="Arial" w:eastAsia="Arial" w:hAnsi="Arial"/>
                <w:sz w:val="17"/>
                <w:szCs w:val="17"/>
                <w:color w:val="auto"/>
              </w:rPr>
              <w:t>LIBOR + .95%</w:t>
            </w:r>
          </w:p>
        </w:tc>
        <w:tc>
          <w:tcPr>
            <w:tcW w:w="900" w:type="dxa"/>
            <w:vAlign w:val="bottom"/>
          </w:tcPr>
          <w:p>
            <w:pPr>
              <w:jc w:val="right"/>
              <w:ind w:right="313"/>
              <w:spacing w:after="0"/>
              <w:rPr>
                <w:sz w:val="20"/>
                <w:szCs w:val="20"/>
                <w:color w:val="auto"/>
              </w:rPr>
            </w:pPr>
            <w:r>
              <w:rPr>
                <w:rFonts w:ascii="Arial" w:cs="Arial" w:eastAsia="Arial" w:hAnsi="Arial"/>
                <w:sz w:val="17"/>
                <w:szCs w:val="17"/>
                <w:color w:val="auto"/>
              </w:rPr>
              <w:t>(c)</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150,000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Escondido (Municipal bonds)</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10/01/16</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2.560%</w:t>
            </w:r>
          </w:p>
        </w:tc>
        <w:tc>
          <w:tcPr>
            <w:tcW w:w="9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338,500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640" w:type="dxa"/>
            <w:vAlign w:val="bottom"/>
            <w:tcBorders>
              <w:bottom w:val="single" w:sz="8" w:color="auto"/>
            </w:tcBorders>
            <w:gridSpan w:val="4"/>
            <w:shd w:val="clear" w:color="auto" w:fill="CCEEFF"/>
          </w:tcPr>
          <w:p>
            <w:pPr>
              <w:spacing w:after="0" w:line="174" w:lineRule="exact"/>
              <w:rPr>
                <w:sz w:val="20"/>
                <w:szCs w:val="20"/>
                <w:color w:val="auto"/>
              </w:rPr>
            </w:pPr>
            <w:r>
              <w:rPr>
                <w:rFonts w:ascii="Arial" w:cs="Arial" w:eastAsia="Arial" w:hAnsi="Arial"/>
                <w:sz w:val="17"/>
                <w:szCs w:val="17"/>
                <w:b w:val="1"/>
                <w:bCs w:val="1"/>
                <w:color w:val="auto"/>
                <w:w w:val="89"/>
              </w:rPr>
              <w:t>Notes and Debentures</w:t>
            </w:r>
          </w:p>
        </w:tc>
        <w:tc>
          <w:tcPr>
            <w:tcW w:w="1600" w:type="dxa"/>
            <w:vAlign w:val="bottom"/>
            <w:tcBorders>
              <w:bottom w:val="single" w:sz="8" w:color="CCEEFF"/>
            </w:tcBorders>
            <w:gridSpan w:val="2"/>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i w:val="1"/>
                <w:iCs w:val="1"/>
                <w:color w:val="auto"/>
              </w:rPr>
              <w:t>Unsecured Fixed Rate</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6.625% Notes (fixed)</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12/01/05</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6.625%</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6.99% Medium Term Notes</w:t>
            </w:r>
          </w:p>
        </w:tc>
        <w:tc>
          <w:tcPr>
            <w:tcW w:w="2080" w:type="dxa"/>
            <w:vAlign w:val="bottom"/>
            <w:gridSpan w:val="3"/>
          </w:tcPr>
          <w:p>
            <w:pPr>
              <w:jc w:val="right"/>
              <w:ind w:right="400"/>
              <w:spacing w:after="0"/>
              <w:rPr>
                <w:sz w:val="20"/>
                <w:szCs w:val="20"/>
                <w:color w:val="auto"/>
              </w:rPr>
            </w:pPr>
            <w:r>
              <w:rPr>
                <w:rFonts w:ascii="Arial" w:cs="Arial" w:eastAsia="Arial" w:hAnsi="Arial"/>
                <w:sz w:val="17"/>
                <w:szCs w:val="17"/>
                <w:color w:val="auto"/>
              </w:rPr>
              <w:t>03/10/06</w:t>
            </w:r>
          </w:p>
        </w:tc>
        <w:tc>
          <w:tcPr>
            <w:tcW w:w="2020" w:type="dxa"/>
            <w:vAlign w:val="bottom"/>
            <w:gridSpan w:val="2"/>
          </w:tcPr>
          <w:p>
            <w:pPr>
              <w:jc w:val="right"/>
              <w:ind w:right="280"/>
              <w:spacing w:after="0"/>
              <w:rPr>
                <w:sz w:val="20"/>
                <w:szCs w:val="20"/>
                <w:color w:val="auto"/>
              </w:rPr>
            </w:pPr>
            <w:r>
              <w:rPr>
                <w:rFonts w:ascii="Arial" w:cs="Arial" w:eastAsia="Arial" w:hAnsi="Arial"/>
                <w:sz w:val="17"/>
                <w:szCs w:val="17"/>
                <w:color w:val="auto"/>
              </w:rPr>
              <w:t>6.894%</w:t>
            </w:r>
          </w:p>
        </w:tc>
        <w:tc>
          <w:tcPr>
            <w:tcW w:w="900" w:type="dxa"/>
            <w:vAlign w:val="bottom"/>
          </w:tcPr>
          <w:p>
            <w:pPr>
              <w:jc w:val="right"/>
              <w:ind w:right="313"/>
              <w:spacing w:after="0"/>
              <w:rPr>
                <w:sz w:val="20"/>
                <w:szCs w:val="20"/>
                <w:color w:val="auto"/>
              </w:rPr>
            </w:pPr>
            <w:r>
              <w:rPr>
                <w:rFonts w:ascii="Arial" w:cs="Arial" w:eastAsia="Arial" w:hAnsi="Arial"/>
                <w:sz w:val="17"/>
                <w:szCs w:val="17"/>
                <w:color w:val="auto"/>
              </w:rPr>
              <w:t>(e)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40,500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6.125% Notes</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11/15/07</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6.325%</w:t>
            </w:r>
          </w:p>
        </w:tc>
        <w:tc>
          <w:tcPr>
            <w:tcW w:w="9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(f)</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8.75% Notes</w:t>
            </w:r>
          </w:p>
        </w:tc>
        <w:tc>
          <w:tcPr>
            <w:tcW w:w="2080" w:type="dxa"/>
            <w:vAlign w:val="bottom"/>
            <w:gridSpan w:val="3"/>
          </w:tcPr>
          <w:p>
            <w:pPr>
              <w:jc w:val="right"/>
              <w:ind w:right="400"/>
              <w:spacing w:after="0"/>
              <w:rPr>
                <w:sz w:val="20"/>
                <w:szCs w:val="20"/>
                <w:color w:val="auto"/>
              </w:rPr>
            </w:pPr>
            <w:r>
              <w:rPr>
                <w:rFonts w:ascii="Arial" w:cs="Arial" w:eastAsia="Arial" w:hAnsi="Arial"/>
                <w:sz w:val="17"/>
                <w:szCs w:val="17"/>
                <w:color w:val="auto"/>
              </w:rPr>
              <w:t>12/01/09</w:t>
            </w:r>
          </w:p>
        </w:tc>
        <w:tc>
          <w:tcPr>
            <w:tcW w:w="2020" w:type="dxa"/>
            <w:vAlign w:val="bottom"/>
            <w:gridSpan w:val="2"/>
          </w:tcPr>
          <w:p>
            <w:pPr>
              <w:jc w:val="right"/>
              <w:ind w:right="280"/>
              <w:spacing w:after="0"/>
              <w:rPr>
                <w:sz w:val="20"/>
                <w:szCs w:val="20"/>
                <w:color w:val="auto"/>
              </w:rPr>
            </w:pPr>
            <w:r>
              <w:rPr>
                <w:rFonts w:ascii="Arial" w:cs="Arial" w:eastAsia="Arial" w:hAnsi="Arial"/>
                <w:sz w:val="17"/>
                <w:szCs w:val="17"/>
                <w:color w:val="auto"/>
              </w:rPr>
              <w:t>8.750%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175,000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4.50% Notes</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02/15/11</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4.500%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tcPr>
          <w:p>
            <w:pPr>
              <w:ind w:left="440"/>
              <w:spacing w:after="0"/>
              <w:rPr>
                <w:sz w:val="20"/>
                <w:szCs w:val="20"/>
                <w:color w:val="auto"/>
              </w:rPr>
            </w:pPr>
            <w:r>
              <w:rPr>
                <w:rFonts w:ascii="Arial" w:cs="Arial" w:eastAsia="Arial" w:hAnsi="Arial"/>
                <w:sz w:val="17"/>
                <w:szCs w:val="17"/>
                <w:color w:val="auto"/>
              </w:rPr>
              <w:t>7.48% Debentures</w:t>
            </w:r>
          </w:p>
        </w:tc>
        <w:tc>
          <w:tcPr>
            <w:tcW w:w="2080" w:type="dxa"/>
            <w:vAlign w:val="bottom"/>
            <w:gridSpan w:val="3"/>
          </w:tcPr>
          <w:p>
            <w:pPr>
              <w:jc w:val="right"/>
              <w:ind w:right="400"/>
              <w:spacing w:after="0"/>
              <w:rPr>
                <w:sz w:val="20"/>
                <w:szCs w:val="20"/>
                <w:color w:val="auto"/>
              </w:rPr>
            </w:pPr>
            <w:r>
              <w:rPr>
                <w:rFonts w:ascii="Arial" w:cs="Arial" w:eastAsia="Arial" w:hAnsi="Arial"/>
                <w:sz w:val="17"/>
                <w:szCs w:val="17"/>
                <w:color w:val="auto"/>
              </w:rPr>
              <w:t>08/15/26</w:t>
            </w:r>
          </w:p>
        </w:tc>
        <w:tc>
          <w:tcPr>
            <w:tcW w:w="2020" w:type="dxa"/>
            <w:vAlign w:val="bottom"/>
            <w:gridSpan w:val="2"/>
          </w:tcPr>
          <w:p>
            <w:pPr>
              <w:jc w:val="right"/>
              <w:ind w:right="280"/>
              <w:spacing w:after="0"/>
              <w:rPr>
                <w:sz w:val="20"/>
                <w:szCs w:val="20"/>
                <w:color w:val="auto"/>
              </w:rPr>
            </w:pPr>
            <w:r>
              <w:rPr>
                <w:rFonts w:ascii="Arial" w:cs="Arial" w:eastAsia="Arial" w:hAnsi="Arial"/>
                <w:sz w:val="17"/>
                <w:szCs w:val="17"/>
                <w:color w:val="auto"/>
              </w:rPr>
              <w:t>7.480%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50,000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6"/>
            <w:shd w:val="clear" w:color="auto" w:fill="CCEEFF"/>
          </w:tcPr>
          <w:p>
            <w:pPr>
              <w:ind w:left="440"/>
              <w:spacing w:after="0"/>
              <w:rPr>
                <w:sz w:val="20"/>
                <w:szCs w:val="20"/>
                <w:color w:val="auto"/>
              </w:rPr>
            </w:pPr>
            <w:r>
              <w:rPr>
                <w:rFonts w:ascii="Arial" w:cs="Arial" w:eastAsia="Arial" w:hAnsi="Arial"/>
                <w:sz w:val="17"/>
                <w:szCs w:val="17"/>
                <w:color w:val="auto"/>
              </w:rPr>
              <w:t>6.82% Medium Term Notes</w:t>
            </w:r>
          </w:p>
        </w:tc>
        <w:tc>
          <w:tcPr>
            <w:tcW w:w="2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08/01/27</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6.820%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570,500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240" w:type="dxa"/>
            <w:vAlign w:val="bottom"/>
            <w:gridSpan w:val="6"/>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Capital lease obligations</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0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2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7"/>
                <w:szCs w:val="17"/>
                <w:color w:val="auto"/>
              </w:rPr>
              <w:t>Various through 2077</w:t>
            </w:r>
          </w:p>
        </w:tc>
        <w:tc>
          <w:tcPr>
            <w:tcW w:w="900" w:type="dxa"/>
            <w:vAlign w:val="bottom"/>
            <w:tcBorders>
              <w:top w:val="single" w:sz="8" w:color="CCEEFF"/>
            </w:tcBorders>
          </w:tcPr>
          <w:p>
            <w:pPr>
              <w:jc w:val="right"/>
              <w:ind w:right="313"/>
              <w:spacing w:after="0"/>
              <w:rPr>
                <w:sz w:val="20"/>
                <w:szCs w:val="20"/>
                <w:color w:val="auto"/>
              </w:rPr>
            </w:pPr>
            <w:r>
              <w:rPr>
                <w:rFonts w:ascii="Arial" w:cs="Arial" w:eastAsia="Arial" w:hAnsi="Arial"/>
                <w:sz w:val="17"/>
                <w:szCs w:val="17"/>
                <w:color w:val="auto"/>
              </w:rPr>
              <w:t>(g)</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159,286</w:t>
            </w:r>
          </w:p>
        </w:tc>
        <w:tc>
          <w:tcPr>
            <w:tcW w:w="4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9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0" w:type="dxa"/>
            <w:vAlign w:val="bottom"/>
            <w:gridSpan w:val="4"/>
            <w:shd w:val="clear" w:color="auto" w:fill="CCEEFF"/>
          </w:tcPr>
          <w:p>
            <w:pPr>
              <w:jc w:val="right"/>
              <w:ind w:right="440"/>
              <w:spacing w:after="0"/>
              <w:rPr>
                <w:sz w:val="20"/>
                <w:szCs w:val="20"/>
                <w:color w:val="auto"/>
              </w:rPr>
            </w:pPr>
            <w:r>
              <w:rPr>
                <w:rFonts w:ascii="Arial" w:cs="Arial" w:eastAsia="Arial" w:hAnsi="Arial"/>
                <w:sz w:val="17"/>
                <w:szCs w:val="17"/>
                <w:b w:val="1"/>
                <w:bCs w:val="1"/>
                <w:color w:val="auto"/>
                <w:w w:val="97"/>
              </w:rPr>
              <w:t>Total Fixed and Variable Rate Debt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1,321,684</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annualized</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interest rate</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9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0" w:type="dxa"/>
            <w:vAlign w:val="bottom"/>
            <w:gridSpan w:val="4"/>
            <w:shd w:val="clear" w:color="auto" w:fill="CCEEFF"/>
          </w:tcPr>
          <w:p>
            <w:pPr>
              <w:jc w:val="right"/>
              <w:ind w:right="1120"/>
              <w:spacing w:after="0"/>
              <w:rPr>
                <w:sz w:val="20"/>
                <w:szCs w:val="20"/>
                <w:color w:val="auto"/>
              </w:rPr>
            </w:pPr>
            <w:r>
              <w:rPr>
                <w:rFonts w:ascii="Arial" w:cs="Arial" w:eastAsia="Arial" w:hAnsi="Arial"/>
                <w:sz w:val="17"/>
                <w:szCs w:val="17"/>
                <w:color w:val="auto"/>
              </w:rPr>
              <w:t>Total fixed rate debt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1,135,284</w:t>
            </w: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7"/>
                <w:szCs w:val="17"/>
                <w:color w:val="auto"/>
              </w:rPr>
              <w:t>85.90%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0" w:type="dxa"/>
            <w:vAlign w:val="bottom"/>
            <w:gridSpan w:val="4"/>
          </w:tcPr>
          <w:p>
            <w:pPr>
              <w:jc w:val="right"/>
              <w:ind w:right="960"/>
              <w:spacing w:after="0"/>
              <w:rPr>
                <w:sz w:val="20"/>
                <w:szCs w:val="20"/>
                <w:color w:val="auto"/>
              </w:rPr>
            </w:pPr>
            <w:r>
              <w:rPr>
                <w:rFonts w:ascii="Arial" w:cs="Arial" w:eastAsia="Arial" w:hAnsi="Arial"/>
                <w:sz w:val="17"/>
                <w:szCs w:val="17"/>
                <w:color w:val="auto"/>
              </w:rPr>
              <w:t>Total variable rate debt</w:t>
            </w:r>
          </w:p>
        </w:tc>
        <w:tc>
          <w:tcPr>
            <w:tcW w:w="900" w:type="dxa"/>
            <w:vAlign w:val="bottom"/>
          </w:tcPr>
          <w:p>
            <w:pPr>
              <w:jc w:val="right"/>
              <w:ind w:right="313"/>
              <w:spacing w:after="0"/>
              <w:rPr>
                <w:sz w:val="20"/>
                <w:szCs w:val="20"/>
                <w:color w:val="auto"/>
              </w:rPr>
            </w:pPr>
            <w:r>
              <w:rPr>
                <w:rFonts w:ascii="Arial" w:cs="Arial" w:eastAsia="Arial" w:hAnsi="Arial"/>
                <w:sz w:val="17"/>
                <w:szCs w:val="17"/>
                <w:color w:val="auto"/>
              </w:rPr>
              <w:t>(h)</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186,400</w:t>
            </w:r>
          </w:p>
        </w:tc>
        <w:tc>
          <w:tcPr>
            <w:tcW w:w="1440" w:type="dxa"/>
            <w:vAlign w:val="bottom"/>
            <w:gridSpan w:val="4"/>
          </w:tcPr>
          <w:p>
            <w:pPr>
              <w:jc w:val="right"/>
              <w:ind w:right="400"/>
              <w:spacing w:after="0"/>
              <w:rPr>
                <w:sz w:val="20"/>
                <w:szCs w:val="20"/>
                <w:color w:val="auto"/>
              </w:rPr>
            </w:pPr>
            <w:r>
              <w:rPr>
                <w:rFonts w:ascii="Arial" w:cs="Arial" w:eastAsia="Arial" w:hAnsi="Arial"/>
                <w:sz w:val="17"/>
                <w:szCs w:val="17"/>
                <w:color w:val="auto"/>
              </w:rPr>
              <w:t>14.10%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100"/>
        </w:trPr>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9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100" w:type="dxa"/>
            <w:vAlign w:val="bottom"/>
            <w:gridSpan w:val="5"/>
            <w:shd w:val="clear" w:color="auto" w:fill="CCEEFF"/>
          </w:tcPr>
          <w:p>
            <w:pPr>
              <w:jc w:val="right"/>
              <w:ind w:right="440"/>
              <w:spacing w:after="0"/>
              <w:rPr>
                <w:sz w:val="20"/>
                <w:szCs w:val="20"/>
                <w:color w:val="auto"/>
              </w:rPr>
            </w:pPr>
            <w:r>
              <w:rPr>
                <w:rFonts w:ascii="Arial" w:cs="Arial" w:eastAsia="Arial" w:hAnsi="Arial"/>
                <w:sz w:val="17"/>
                <w:szCs w:val="17"/>
                <w:color w:val="auto"/>
              </w:rPr>
              <w:t>TOTAL DEBT AND CAPITAL LEASES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1,321,684</w:t>
            </w: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7"/>
                <w:szCs w:val="17"/>
                <w:color w:val="auto"/>
              </w:rPr>
              <w:t>100.00%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131"/>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-5360670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-5360670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5293360</wp:posOffset>
            </wp:positionH>
            <wp:positionV relativeFrom="paragraph">
              <wp:posOffset>-5360670</wp:posOffset>
            </wp:positionV>
            <wp:extent cx="2095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-3693160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-3693160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5293360</wp:posOffset>
            </wp:positionH>
            <wp:positionV relativeFrom="paragraph">
              <wp:posOffset>-3693160</wp:posOffset>
            </wp:positionV>
            <wp:extent cx="2095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-2026285</wp:posOffset>
            </wp:positionV>
            <wp:extent cx="57404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404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-1311275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-1311275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5293360</wp:posOffset>
            </wp:positionH>
            <wp:positionV relativeFrom="paragraph">
              <wp:posOffset>-1311275</wp:posOffset>
            </wp:positionV>
            <wp:extent cx="2095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-171450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-171450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5293360</wp:posOffset>
            </wp:positionH>
            <wp:positionV relativeFrom="paragraph">
              <wp:posOffset>-171450</wp:posOffset>
            </wp:positionV>
            <wp:extent cx="2095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-171450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-171450</wp:posOffset>
            </wp:positionV>
            <wp:extent cx="381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6714490</wp:posOffset>
            </wp:positionH>
            <wp:positionV relativeFrom="paragraph">
              <wp:posOffset>-171450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-171450</wp:posOffset>
            </wp:positionV>
            <wp:extent cx="381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79" w:lineRule="exact"/>
        <w:rPr>
          <w:sz w:val="20"/>
          <w:szCs w:val="20"/>
          <w:color w:val="auto"/>
        </w:rPr>
      </w:pPr>
    </w:p>
    <w:p>
      <w:pPr>
        <w:ind w:left="460" w:hanging="453"/>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lender has the option to call the loan after year ten.</w:t>
      </w:r>
    </w:p>
    <w:p>
      <w:pPr>
        <w:spacing w:after="0" w:line="25" w:lineRule="exact"/>
        <w:rPr>
          <w:rFonts w:ascii="Arial" w:cs="Arial" w:eastAsia="Arial" w:hAnsi="Arial"/>
          <w:sz w:val="17"/>
          <w:szCs w:val="17"/>
          <w:color w:val="auto"/>
        </w:rPr>
      </w:pPr>
    </w:p>
    <w:p>
      <w:pPr>
        <w:ind w:left="460" w:hanging="453"/>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$300 million three-year revolving credit facility, with a one-year extension option.</w:t>
      </w:r>
    </w:p>
    <w:p>
      <w:pPr>
        <w:spacing w:after="0" w:line="18" w:lineRule="exact"/>
        <w:rPr>
          <w:rFonts w:ascii="Arial" w:cs="Arial" w:eastAsia="Arial" w:hAnsi="Arial"/>
          <w:sz w:val="17"/>
          <w:szCs w:val="17"/>
          <w:color w:val="auto"/>
        </w:rPr>
      </w:pPr>
    </w:p>
    <w:p>
      <w:pPr>
        <w:ind w:left="460" w:right="100" w:hanging="453"/>
        <w:spacing w:after="0" w:line="263"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January, 2004, the Trust purchased an interest rate swap on this note thereby locking in the LIBOR portion of the interest rate at 2.401% through October 2006.</w:t>
      </w:r>
    </w:p>
    <w:p>
      <w:pPr>
        <w:ind w:left="460" w:right="40" w:hanging="453"/>
        <w:spacing w:after="0" w:line="263"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to be the interest rate which would enable the bonds to be remarketed at 100% of their principal amount. The weighted average interest rate for the six months ended June 30, 2004 was 2.56%.</w:t>
      </w:r>
    </w:p>
    <w:p>
      <w:pPr>
        <w:ind w:left="460" w:hanging="453"/>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Trust purchased interest rate swaps at issuance, thereby reducing the effective interest on these notes.</w:t>
      </w:r>
    </w:p>
    <w:p>
      <w:pPr>
        <w:spacing w:after="0" w:line="18" w:lineRule="exact"/>
        <w:rPr>
          <w:rFonts w:ascii="Arial" w:cs="Arial" w:eastAsia="Arial" w:hAnsi="Arial"/>
          <w:sz w:val="17"/>
          <w:szCs w:val="17"/>
          <w:color w:val="auto"/>
        </w:rPr>
      </w:pPr>
    </w:p>
    <w:p>
      <w:pPr>
        <w:ind w:left="460" w:right="520" w:hanging="453"/>
        <w:spacing w:after="0" w:line="263"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Trust purchased an interest rate lock to hedge this note offering. A loss of $1.5 million associated with this hedge is being amortized into the note offering thereby increasing the effective interest rate on these notes to 6.325%.</w:t>
      </w:r>
    </w:p>
    <w:p>
      <w:pPr>
        <w:ind w:left="460" w:right="20" w:hanging="453"/>
        <w:spacing w:after="0" w:line="263"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average annualized interest rate on capital lease obligations as of June 30, 2004 is 8.76% on a basis of minimum rent and 11.27% including performance based participation rent paid by the Trust.</w:t>
      </w:r>
    </w:p>
    <w:p>
      <w:pPr>
        <w:ind w:left="460" w:hanging="453"/>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Average annualized interest rate on variable rate debt as of June 30, 2004.</w:t>
      </w:r>
    </w:p>
    <w:p>
      <w:pPr>
        <w:sectPr>
          <w:pgSz w:w="11900" w:h="16838" w:orient="portrait"/>
          <w:cols w:equalWidth="0" w:num="1">
            <w:col w:w="11420"/>
          </w:cols>
          <w:pgMar w:left="240" w:top="272" w:right="239" w:bottom="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MATURITIES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Cumulative</w:t>
            </w:r>
          </w:p>
        </w:tc>
      </w:tr>
      <w:tr>
        <w:trPr>
          <w:trHeight w:val="147"/>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Scheduled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3"/>
          </w:tcPr>
          <w:p>
            <w:pPr>
              <w:jc w:val="right"/>
              <w:ind w:right="900"/>
              <w:spacing w:after="0" w:line="148" w:lineRule="exact"/>
              <w:rPr>
                <w:sz w:val="20"/>
                <w:szCs w:val="20"/>
                <w:color w:val="auto"/>
              </w:rPr>
            </w:pPr>
            <w:r>
              <w:rPr>
                <w:rFonts w:ascii="Arial" w:cs="Arial" w:eastAsia="Arial" w:hAnsi="Arial"/>
                <w:sz w:val="13"/>
                <w:szCs w:val="13"/>
                <w:b w:val="1"/>
                <w:bCs w:val="1"/>
                <w:color w:val="auto"/>
              </w:rPr>
              <w:t>Percent of</w:t>
            </w:r>
          </w:p>
        </w:tc>
        <w:tc>
          <w:tcPr>
            <w:tcW w:w="9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1"/>
              </w:rPr>
              <w:t>Percent of</w:t>
            </w:r>
          </w:p>
        </w:tc>
      </w:tr>
      <w:tr>
        <w:trPr>
          <w:trHeight w:val="173"/>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80" w:type="dxa"/>
            <w:vAlign w:val="bottom"/>
            <w:gridSpan w:val="2"/>
          </w:tcPr>
          <w:p>
            <w:pPr>
              <w:jc w:val="center"/>
              <w:ind w:right="1680"/>
              <w:spacing w:after="0"/>
              <w:rPr>
                <w:sz w:val="20"/>
                <w:szCs w:val="20"/>
                <w:color w:val="auto"/>
              </w:rPr>
            </w:pPr>
            <w:r>
              <w:rPr>
                <w:rFonts w:ascii="Arial" w:cs="Arial" w:eastAsia="Arial" w:hAnsi="Arial"/>
                <w:sz w:val="13"/>
                <w:szCs w:val="13"/>
                <w:b w:val="1"/>
                <w:bCs w:val="1"/>
                <w:color w:val="auto"/>
                <w:w w:val="92"/>
              </w:rPr>
              <w:t>Year</w:t>
            </w:r>
          </w:p>
        </w:tc>
        <w:tc>
          <w:tcPr>
            <w:tcW w:w="1500" w:type="dxa"/>
            <w:vAlign w:val="bottom"/>
            <w:gridSpan w:val="4"/>
          </w:tcPr>
          <w:p>
            <w:pPr>
              <w:ind w:left="2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5"/>
                <w:szCs w:val="15"/>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Maturities</w:t>
            </w:r>
          </w:p>
        </w:tc>
        <w:tc>
          <w:tcPr>
            <w:tcW w:w="100" w:type="dxa"/>
            <w:vAlign w:val="bottom"/>
          </w:tcPr>
          <w:p>
            <w:pPr>
              <w:spacing w:after="0"/>
              <w:rPr>
                <w:sz w:val="15"/>
                <w:szCs w:val="15"/>
                <w:color w:val="auto"/>
              </w:rPr>
            </w:pPr>
          </w:p>
        </w:tc>
        <w:tc>
          <w:tcPr>
            <w:tcW w:w="1560" w:type="dxa"/>
            <w:vAlign w:val="bottom"/>
            <w:gridSpan w:val="3"/>
          </w:tcPr>
          <w:p>
            <w:pPr>
              <w:ind w:left="160"/>
              <w:spacing w:after="0"/>
              <w:rPr>
                <w:sz w:val="20"/>
                <w:szCs w:val="20"/>
                <w:color w:val="auto"/>
              </w:rPr>
            </w:pPr>
            <w:r>
              <w:rPr>
                <w:rFonts w:ascii="Arial" w:cs="Arial" w:eastAsia="Arial" w:hAnsi="Arial"/>
                <w:sz w:val="13"/>
                <w:szCs w:val="13"/>
                <w:b w:val="1"/>
                <w:bCs w:val="1"/>
                <w:color w:val="auto"/>
              </w:rPr>
              <w:t>Total</w:t>
            </w:r>
          </w:p>
        </w:tc>
        <w:tc>
          <w:tcPr>
            <w:tcW w:w="160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w w:val="92"/>
              </w:rPr>
              <w:t>Debt Expiring</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Debt Expiring</w:t>
            </w:r>
          </w:p>
        </w:tc>
      </w:tr>
      <w:tr>
        <w:trPr>
          <w:trHeight w:val="94"/>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1"/>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580" w:type="dxa"/>
            <w:vAlign w:val="bottom"/>
          </w:tcPr>
          <w:p>
            <w:pPr>
              <w:spacing w:after="0"/>
              <w:rPr>
                <w:sz w:val="18"/>
                <w:szCs w:val="18"/>
                <w:color w:val="auto"/>
              </w:rPr>
            </w:pPr>
          </w:p>
        </w:tc>
        <w:tc>
          <w:tcPr>
            <w:tcW w:w="1280" w:type="dxa"/>
            <w:vAlign w:val="bottom"/>
            <w:gridSpan w:val="3"/>
            <w:shd w:val="clear" w:color="auto" w:fill="CCEEFF"/>
          </w:tcPr>
          <w:p>
            <w:pPr>
              <w:jc w:val="center"/>
              <w:ind w:left="853"/>
              <w:spacing w:after="0"/>
              <w:rPr>
                <w:sz w:val="20"/>
                <w:szCs w:val="20"/>
                <w:color w:val="auto"/>
              </w:rPr>
            </w:pPr>
            <w:r>
              <w:rPr>
                <w:rFonts w:ascii="Arial" w:cs="Arial" w:eastAsia="Arial" w:hAnsi="Arial"/>
                <w:sz w:val="17"/>
                <w:szCs w:val="17"/>
                <w:color w:val="auto"/>
                <w:w w:val="89"/>
              </w:rPr>
              <w:t>2004</w:t>
            </w:r>
          </w:p>
        </w:tc>
        <w:tc>
          <w:tcPr>
            <w:tcW w:w="1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4"/>
        </w:trPr>
        <w:tc>
          <w:tcPr>
            <w:tcW w:w="580" w:type="dxa"/>
            <w:vAlign w:val="bottom"/>
          </w:tcPr>
          <w:p>
            <w:pPr>
              <w:spacing w:after="0"/>
              <w:rPr>
                <w:sz w:val="18"/>
                <w:szCs w:val="18"/>
                <w:color w:val="auto"/>
              </w:rPr>
            </w:pPr>
          </w:p>
        </w:tc>
        <w:tc>
          <w:tcPr>
            <w:tcW w:w="1280" w:type="dxa"/>
            <w:vAlign w:val="bottom"/>
            <w:gridSpan w:val="3"/>
          </w:tcPr>
          <w:p>
            <w:pPr>
              <w:jc w:val="center"/>
              <w:ind w:left="853"/>
              <w:spacing w:after="0"/>
              <w:rPr>
                <w:sz w:val="20"/>
                <w:szCs w:val="20"/>
                <w:color w:val="auto"/>
              </w:rPr>
            </w:pPr>
            <w:r>
              <w:rPr>
                <w:rFonts w:ascii="Arial" w:cs="Arial" w:eastAsia="Arial" w:hAnsi="Arial"/>
                <w:sz w:val="17"/>
                <w:szCs w:val="17"/>
                <w:color w:val="auto"/>
                <w:w w:val="89"/>
              </w:rPr>
              <w:t>2005</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4,539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7"/>
                <w:szCs w:val="17"/>
                <w:color w:val="auto"/>
              </w:rPr>
              <w:t>40,000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44,539</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7"/>
                <w:szCs w:val="17"/>
                <w:color w:val="auto"/>
              </w:rPr>
              <w:t>3.4%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3.5%</w:t>
            </w:r>
          </w:p>
        </w:tc>
      </w:tr>
      <w:tr>
        <w:trPr>
          <w:trHeight w:val="214"/>
        </w:trPr>
        <w:tc>
          <w:tcPr>
            <w:tcW w:w="580" w:type="dxa"/>
            <w:vAlign w:val="bottom"/>
          </w:tcPr>
          <w:p>
            <w:pPr>
              <w:spacing w:after="0"/>
              <w:rPr>
                <w:sz w:val="18"/>
                <w:szCs w:val="18"/>
                <w:color w:val="auto"/>
              </w:rPr>
            </w:pPr>
          </w:p>
        </w:tc>
        <w:tc>
          <w:tcPr>
            <w:tcW w:w="1280" w:type="dxa"/>
            <w:vAlign w:val="bottom"/>
            <w:gridSpan w:val="3"/>
            <w:shd w:val="clear" w:color="auto" w:fill="CCEEFF"/>
          </w:tcPr>
          <w:p>
            <w:pPr>
              <w:jc w:val="center"/>
              <w:ind w:left="853"/>
              <w:spacing w:after="0"/>
              <w:rPr>
                <w:sz w:val="20"/>
                <w:szCs w:val="20"/>
                <w:color w:val="auto"/>
              </w:rPr>
            </w:pPr>
            <w:r>
              <w:rPr>
                <w:rFonts w:ascii="Arial" w:cs="Arial" w:eastAsia="Arial" w:hAnsi="Arial"/>
                <w:sz w:val="17"/>
                <w:szCs w:val="17"/>
                <w:color w:val="auto"/>
                <w:w w:val="89"/>
              </w:rPr>
              <w:t>2006</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217,500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222,537(1)</w:t>
            </w: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16.8%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14"/>
        </w:trPr>
        <w:tc>
          <w:tcPr>
            <w:tcW w:w="580" w:type="dxa"/>
            <w:vAlign w:val="bottom"/>
          </w:tcPr>
          <w:p>
            <w:pPr>
              <w:spacing w:after="0"/>
              <w:rPr>
                <w:sz w:val="18"/>
                <w:szCs w:val="18"/>
                <w:color w:val="auto"/>
              </w:rPr>
            </w:pPr>
          </w:p>
        </w:tc>
        <w:tc>
          <w:tcPr>
            <w:tcW w:w="1280" w:type="dxa"/>
            <w:vAlign w:val="bottom"/>
            <w:gridSpan w:val="3"/>
          </w:tcPr>
          <w:p>
            <w:pPr>
              <w:jc w:val="center"/>
              <w:ind w:left="853"/>
              <w:spacing w:after="0"/>
              <w:rPr>
                <w:sz w:val="20"/>
                <w:szCs w:val="20"/>
                <w:color w:val="auto"/>
              </w:rPr>
            </w:pPr>
            <w:r>
              <w:rPr>
                <w:rFonts w:ascii="Arial" w:cs="Arial" w:eastAsia="Arial" w:hAnsi="Arial"/>
                <w:sz w:val="17"/>
                <w:szCs w:val="17"/>
                <w:color w:val="auto"/>
                <w:w w:val="89"/>
              </w:rPr>
              <w:t>2007</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5,436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7"/>
                <w:szCs w:val="17"/>
                <w:color w:val="auto"/>
              </w:rPr>
              <w:t>150,000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155,436</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7"/>
                <w:szCs w:val="17"/>
                <w:color w:val="auto"/>
              </w:rPr>
              <w:t>11.8%</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32.1%</w:t>
            </w:r>
          </w:p>
        </w:tc>
      </w:tr>
      <w:tr>
        <w:trPr>
          <w:trHeight w:val="214"/>
        </w:trPr>
        <w:tc>
          <w:tcPr>
            <w:tcW w:w="580" w:type="dxa"/>
            <w:vAlign w:val="bottom"/>
          </w:tcPr>
          <w:p>
            <w:pPr>
              <w:spacing w:after="0"/>
              <w:rPr>
                <w:sz w:val="18"/>
                <w:szCs w:val="18"/>
                <w:color w:val="auto"/>
              </w:rPr>
            </w:pPr>
          </w:p>
        </w:tc>
        <w:tc>
          <w:tcPr>
            <w:tcW w:w="1280" w:type="dxa"/>
            <w:vAlign w:val="bottom"/>
            <w:gridSpan w:val="3"/>
            <w:shd w:val="clear" w:color="auto" w:fill="CCEEFF"/>
          </w:tcPr>
          <w:p>
            <w:pPr>
              <w:jc w:val="center"/>
              <w:ind w:left="853"/>
              <w:spacing w:after="0"/>
              <w:rPr>
                <w:sz w:val="20"/>
                <w:szCs w:val="20"/>
                <w:color w:val="auto"/>
              </w:rPr>
            </w:pPr>
            <w:r>
              <w:rPr>
                <w:rFonts w:ascii="Arial" w:cs="Arial" w:eastAsia="Arial" w:hAnsi="Arial"/>
                <w:sz w:val="17"/>
                <w:szCs w:val="17"/>
                <w:color w:val="auto"/>
                <w:w w:val="89"/>
              </w:rPr>
              <w:t>2008</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159,542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165,370</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12.5%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44.6%</w:t>
            </w:r>
          </w:p>
        </w:tc>
      </w:tr>
      <w:tr>
        <w:trPr>
          <w:trHeight w:val="214"/>
        </w:trPr>
        <w:tc>
          <w:tcPr>
            <w:tcW w:w="580" w:type="dxa"/>
            <w:vAlign w:val="bottom"/>
          </w:tcPr>
          <w:p>
            <w:pPr>
              <w:spacing w:after="0"/>
              <w:rPr>
                <w:sz w:val="18"/>
                <w:szCs w:val="18"/>
                <w:color w:val="auto"/>
              </w:rPr>
            </w:pPr>
          </w:p>
        </w:tc>
        <w:tc>
          <w:tcPr>
            <w:tcW w:w="1280" w:type="dxa"/>
            <w:vAlign w:val="bottom"/>
            <w:gridSpan w:val="3"/>
          </w:tcPr>
          <w:p>
            <w:pPr>
              <w:jc w:val="center"/>
              <w:ind w:left="853"/>
              <w:spacing w:after="0"/>
              <w:rPr>
                <w:sz w:val="20"/>
                <w:szCs w:val="20"/>
                <w:color w:val="auto"/>
              </w:rPr>
            </w:pPr>
            <w:r>
              <w:rPr>
                <w:rFonts w:ascii="Arial" w:cs="Arial" w:eastAsia="Arial" w:hAnsi="Arial"/>
                <w:sz w:val="17"/>
                <w:szCs w:val="17"/>
                <w:color w:val="auto"/>
                <w:w w:val="89"/>
              </w:rPr>
              <w:t>2009</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6,164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7"/>
                <w:szCs w:val="17"/>
                <w:color w:val="auto"/>
              </w:rPr>
              <w:t>179,393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185,557</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7"/>
                <w:szCs w:val="17"/>
                <w:color w:val="auto"/>
              </w:rPr>
              <w:t>14.0%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58.6%</w:t>
            </w:r>
          </w:p>
        </w:tc>
      </w:tr>
      <w:tr>
        <w:trPr>
          <w:trHeight w:val="214"/>
        </w:trPr>
        <w:tc>
          <w:tcPr>
            <w:tcW w:w="580" w:type="dxa"/>
            <w:vAlign w:val="bottom"/>
          </w:tcPr>
          <w:p>
            <w:pPr>
              <w:spacing w:after="0"/>
              <w:rPr>
                <w:sz w:val="18"/>
                <w:szCs w:val="18"/>
                <w:color w:val="auto"/>
              </w:rPr>
            </w:pPr>
          </w:p>
        </w:tc>
        <w:tc>
          <w:tcPr>
            <w:tcW w:w="1280" w:type="dxa"/>
            <w:vAlign w:val="bottom"/>
            <w:gridSpan w:val="3"/>
            <w:shd w:val="clear" w:color="auto" w:fill="CCEEFF"/>
          </w:tcPr>
          <w:p>
            <w:pPr>
              <w:jc w:val="center"/>
              <w:ind w:left="853"/>
              <w:spacing w:after="0"/>
              <w:rPr>
                <w:sz w:val="20"/>
                <w:szCs w:val="20"/>
                <w:color w:val="auto"/>
              </w:rPr>
            </w:pPr>
            <w:r>
              <w:rPr>
                <w:rFonts w:ascii="Arial" w:cs="Arial" w:eastAsia="Arial" w:hAnsi="Arial"/>
                <w:sz w:val="17"/>
                <w:szCs w:val="17"/>
                <w:color w:val="auto"/>
                <w:w w:val="89"/>
              </w:rPr>
              <w:t>2010</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59.1%</w:t>
            </w:r>
          </w:p>
        </w:tc>
      </w:tr>
      <w:tr>
        <w:trPr>
          <w:trHeight w:val="214"/>
        </w:trPr>
        <w:tc>
          <w:tcPr>
            <w:tcW w:w="580" w:type="dxa"/>
            <w:vAlign w:val="bottom"/>
          </w:tcPr>
          <w:p>
            <w:pPr>
              <w:spacing w:after="0"/>
              <w:rPr>
                <w:sz w:val="18"/>
                <w:szCs w:val="18"/>
                <w:color w:val="auto"/>
              </w:rPr>
            </w:pPr>
          </w:p>
        </w:tc>
        <w:tc>
          <w:tcPr>
            <w:tcW w:w="1280" w:type="dxa"/>
            <w:vAlign w:val="bottom"/>
            <w:gridSpan w:val="3"/>
          </w:tcPr>
          <w:p>
            <w:pPr>
              <w:jc w:val="center"/>
              <w:ind w:left="853"/>
              <w:spacing w:after="0"/>
              <w:rPr>
                <w:sz w:val="20"/>
                <w:szCs w:val="20"/>
                <w:color w:val="auto"/>
              </w:rPr>
            </w:pPr>
            <w:r>
              <w:rPr>
                <w:rFonts w:ascii="Arial" w:cs="Arial" w:eastAsia="Arial" w:hAnsi="Arial"/>
                <w:sz w:val="17"/>
                <w:szCs w:val="17"/>
                <w:color w:val="auto"/>
                <w:w w:val="89"/>
              </w:rPr>
              <w:t>2011</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6,670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7"/>
                <w:szCs w:val="17"/>
                <w:color w:val="auto"/>
              </w:rPr>
              <w:t>112,227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118,897</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7"/>
                <w:szCs w:val="17"/>
                <w:color w:val="auto"/>
              </w:rPr>
              <w:t>9.0%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68.1%</w:t>
            </w:r>
          </w:p>
        </w:tc>
      </w:tr>
      <w:tr>
        <w:trPr>
          <w:trHeight w:val="214"/>
        </w:trPr>
        <w:tc>
          <w:tcPr>
            <w:tcW w:w="580" w:type="dxa"/>
            <w:vAlign w:val="bottom"/>
          </w:tcPr>
          <w:p>
            <w:pPr>
              <w:spacing w:after="0"/>
              <w:rPr>
                <w:sz w:val="18"/>
                <w:szCs w:val="18"/>
                <w:color w:val="auto"/>
              </w:rPr>
            </w:pPr>
          </w:p>
        </w:tc>
        <w:tc>
          <w:tcPr>
            <w:tcW w:w="1280" w:type="dxa"/>
            <w:vAlign w:val="bottom"/>
            <w:gridSpan w:val="3"/>
            <w:shd w:val="clear" w:color="auto" w:fill="CCEEFF"/>
          </w:tcPr>
          <w:p>
            <w:pPr>
              <w:jc w:val="center"/>
              <w:ind w:left="853"/>
              <w:spacing w:after="0"/>
              <w:rPr>
                <w:sz w:val="20"/>
                <w:szCs w:val="20"/>
                <w:color w:val="auto"/>
              </w:rPr>
            </w:pPr>
            <w:r>
              <w:rPr>
                <w:rFonts w:ascii="Arial" w:cs="Arial" w:eastAsia="Arial" w:hAnsi="Arial"/>
                <w:sz w:val="17"/>
                <w:szCs w:val="17"/>
                <w:color w:val="auto"/>
                <w:w w:val="89"/>
              </w:rPr>
              <w:t>2012</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68.6%</w:t>
            </w:r>
          </w:p>
        </w:tc>
      </w:tr>
      <w:tr>
        <w:trPr>
          <w:trHeight w:val="214"/>
        </w:trPr>
        <w:tc>
          <w:tcPr>
            <w:tcW w:w="580" w:type="dxa"/>
            <w:vAlign w:val="bottom"/>
          </w:tcPr>
          <w:p>
            <w:pPr>
              <w:spacing w:after="0"/>
              <w:rPr>
                <w:sz w:val="18"/>
                <w:szCs w:val="18"/>
                <w:color w:val="auto"/>
              </w:rPr>
            </w:pPr>
          </w:p>
        </w:tc>
        <w:tc>
          <w:tcPr>
            <w:tcW w:w="1280" w:type="dxa"/>
            <w:vAlign w:val="bottom"/>
            <w:gridSpan w:val="3"/>
          </w:tcPr>
          <w:p>
            <w:pPr>
              <w:jc w:val="center"/>
              <w:ind w:left="853"/>
              <w:spacing w:after="0"/>
              <w:rPr>
                <w:sz w:val="20"/>
                <w:szCs w:val="20"/>
                <w:color w:val="auto"/>
              </w:rPr>
            </w:pPr>
            <w:r>
              <w:rPr>
                <w:rFonts w:ascii="Arial" w:cs="Arial" w:eastAsia="Arial" w:hAnsi="Arial"/>
                <w:sz w:val="17"/>
                <w:szCs w:val="17"/>
                <w:color w:val="auto"/>
                <w:w w:val="89"/>
              </w:rPr>
              <w:t>2013</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4,672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4,672</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7"/>
                <w:szCs w:val="17"/>
                <w:color w:val="auto"/>
              </w:rPr>
              <w:t>0.4%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69.0%</w:t>
            </w:r>
          </w:p>
        </w:tc>
      </w:tr>
      <w:tr>
        <w:trPr>
          <w:trHeight w:val="214"/>
        </w:trPr>
        <w:tc>
          <w:tcPr>
            <w:tcW w:w="5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center"/>
              <w:ind w:right="1300"/>
              <w:spacing w:after="0"/>
              <w:rPr>
                <w:sz w:val="20"/>
                <w:szCs w:val="20"/>
                <w:color w:val="auto"/>
              </w:rPr>
            </w:pPr>
            <w:r>
              <w:rPr>
                <w:rFonts w:ascii="Arial" w:cs="Arial" w:eastAsia="Arial" w:hAnsi="Arial"/>
                <w:sz w:val="17"/>
                <w:szCs w:val="17"/>
                <w:color w:val="auto"/>
                <w:w w:val="91"/>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164,959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245,206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410,165</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31.0%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107"/>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1"/>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5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center"/>
              <w:ind w:right="1300"/>
              <w:spacing w:after="0"/>
              <w:rPr>
                <w:sz w:val="20"/>
                <w:szCs w:val="20"/>
                <w:color w:val="auto"/>
              </w:rPr>
            </w:pPr>
            <w:r>
              <w:rPr>
                <w:rFonts w:ascii="Arial" w:cs="Arial" w:eastAsia="Arial" w:hAnsi="Arial"/>
                <w:sz w:val="17"/>
                <w:szCs w:val="17"/>
                <w:color w:val="auto"/>
                <w:w w:val="95"/>
              </w:rPr>
              <w:t>Total</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217,816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1,103,868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1,321,684</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100.00%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31"/>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1"/>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-171450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-171450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2299335</wp:posOffset>
            </wp:positionH>
            <wp:positionV relativeFrom="paragraph">
              <wp:posOffset>-171450</wp:posOffset>
            </wp:positionV>
            <wp:extent cx="2095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-171450</wp:posOffset>
            </wp:positionV>
            <wp:extent cx="56578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-171450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-171450</wp:posOffset>
            </wp:positionV>
            <wp:extent cx="2095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-171450</wp:posOffset>
            </wp:positionV>
            <wp:extent cx="381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-171450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-171450</wp:posOffset>
            </wp:positionV>
            <wp:extent cx="381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w:t>
      </w:r>
    </w:p>
    <w:p>
      <w:pPr>
        <w:spacing w:after="0" w:line="86" w:lineRule="exact"/>
        <w:rPr>
          <w:sz w:val="20"/>
          <w:szCs w:val="20"/>
          <w:color w:val="auto"/>
        </w:rPr>
      </w:pPr>
    </w:p>
    <w:p>
      <w:pPr>
        <w:ind w:left="460" w:hanging="453"/>
        <w:spacing w:after="0" w:line="294"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a $300 million three-year revolving credit facility, with a one-year extension option, and a $100 million term loan. As of June 30, 2004, $77 million had been drawn on the revolving credit facility.</w:t>
      </w:r>
    </w:p>
    <w:p>
      <w:pPr>
        <w:sectPr>
          <w:pgSz w:w="11900" w:h="16838" w:orient="portrait"/>
          <w:cols w:equalWidth="0" w:num="1">
            <w:col w:w="11400"/>
          </w:cols>
          <w:pgMar w:left="240" w:top="272"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 and Santana Row</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w w:val="91"/>
              </w:rPr>
              <w:t>Projected</w:t>
            </w: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Projected</w:t>
            </w:r>
          </w:p>
        </w:tc>
        <w:tc>
          <w:tcPr>
            <w:tcW w:w="440" w:type="dxa"/>
            <w:vAlign w:val="bottom"/>
            <w:gridSpan w:val="3"/>
          </w:tcPr>
          <w:p>
            <w:pPr>
              <w:ind w:left="20"/>
              <w:spacing w:after="0"/>
              <w:rPr>
                <w:sz w:val="20"/>
                <w:szCs w:val="20"/>
                <w:color w:val="auto"/>
              </w:rPr>
            </w:pPr>
            <w:r>
              <w:rPr>
                <w:rFonts w:ascii="Arial" w:cs="Arial" w:eastAsia="Arial" w:hAnsi="Arial"/>
                <w:sz w:val="13"/>
                <w:szCs w:val="13"/>
                <w:b w:val="1"/>
                <w:bCs w:val="1"/>
                <w:color w:val="auto"/>
                <w:w w:val="89"/>
              </w:rPr>
              <w:t>Cost to</w:t>
            </w:r>
          </w:p>
        </w:tc>
      </w:tr>
      <w:tr>
        <w:trPr>
          <w:trHeight w:val="173"/>
        </w:trPr>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2680" w:type="dxa"/>
            <w:vAlign w:val="bottom"/>
            <w:gridSpan w:val="3"/>
          </w:tcPr>
          <w:p>
            <w:pPr>
              <w:ind w:left="320"/>
              <w:spacing w:after="0"/>
              <w:rPr>
                <w:sz w:val="20"/>
                <w:szCs w:val="20"/>
                <w:color w:val="auto"/>
              </w:rPr>
            </w:pPr>
            <w:r>
              <w:rPr>
                <w:rFonts w:ascii="Arial" w:cs="Arial" w:eastAsia="Arial" w:hAnsi="Arial"/>
                <w:sz w:val="13"/>
                <w:szCs w:val="13"/>
                <w:b w:val="1"/>
                <w:bCs w:val="1"/>
                <w:color w:val="auto"/>
              </w:rPr>
              <w:t>Location</w:t>
            </w:r>
          </w:p>
        </w:tc>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Opportunity</w:t>
            </w:r>
          </w:p>
        </w:tc>
        <w:tc>
          <w:tcPr>
            <w:tcW w:w="122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ROI (2)</w:t>
            </w: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Cost (1)</w:t>
            </w:r>
          </w:p>
        </w:tc>
        <w:tc>
          <w:tcPr>
            <w:tcW w:w="8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2"/>
              </w:rPr>
              <w:t>Date</w:t>
            </w:r>
          </w:p>
        </w:tc>
      </w:tr>
      <w:tr>
        <w:trPr>
          <w:trHeight w:val="94"/>
        </w:trPr>
        <w:tc>
          <w:tcPr>
            <w:tcW w:w="680" w:type="dxa"/>
            <w:vAlign w:val="bottom"/>
            <w:tcBorders>
              <w:bottom w:val="single" w:sz="8" w:color="auto"/>
            </w:tcBorders>
          </w:tcPr>
          <w:p>
            <w:pPr>
              <w:spacing w:after="0"/>
              <w:rPr>
                <w:sz w:val="8"/>
                <w:szCs w:val="8"/>
                <w:color w:val="auto"/>
              </w:rPr>
            </w:pPr>
          </w:p>
        </w:tc>
        <w:tc>
          <w:tcPr>
            <w:tcW w:w="200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101"/>
        </w:trPr>
        <w:tc>
          <w:tcPr>
            <w:tcW w:w="6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4"/>
        </w:trPr>
        <w:tc>
          <w:tcPr>
            <w:tcW w:w="5040" w:type="dxa"/>
            <w:vAlign w:val="bottom"/>
            <w:gridSpan w:val="5"/>
            <w:shd w:val="clear" w:color="auto" w:fill="CCEEFF"/>
          </w:tcPr>
          <w:p>
            <w:pPr>
              <w:spacing w:after="0"/>
              <w:rPr>
                <w:sz w:val="20"/>
                <w:szCs w:val="20"/>
                <w:color w:val="auto"/>
              </w:rPr>
            </w:pPr>
            <w:r>
              <w:rPr>
                <w:rFonts w:ascii="Arial" w:cs="Arial" w:eastAsia="Arial" w:hAnsi="Arial"/>
                <w:sz w:val="17"/>
                <w:szCs w:val="17"/>
                <w:b w:val="1"/>
                <w:bCs w:val="1"/>
                <w:i w:val="1"/>
                <w:iCs w:val="1"/>
                <w:color w:val="auto"/>
              </w:rPr>
              <w:t>Projects Anticipated to Stabilize in 2004 (3)</w:t>
            </w:r>
          </w:p>
        </w:tc>
        <w:tc>
          <w:tcPr>
            <w:tcW w:w="9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06"/>
        </w:trPr>
        <w:tc>
          <w:tcPr>
            <w:tcW w:w="2360" w:type="dxa"/>
            <w:vAlign w:val="bottom"/>
            <w:gridSpan w:val="2"/>
          </w:tcPr>
          <w:p>
            <w:pPr>
              <w:spacing w:after="0"/>
              <w:rPr>
                <w:sz w:val="20"/>
                <w:szCs w:val="20"/>
                <w:color w:val="auto"/>
              </w:rPr>
            </w:pPr>
            <w:r>
              <w:rPr>
                <w:rFonts w:ascii="Arial" w:cs="Arial" w:eastAsia="Arial" w:hAnsi="Arial"/>
                <w:sz w:val="17"/>
                <w:szCs w:val="17"/>
                <w:color w:val="auto"/>
              </w:rPr>
              <w:t>Santana Row Phase II</w:t>
            </w:r>
          </w:p>
        </w:tc>
        <w:tc>
          <w:tcPr>
            <w:tcW w:w="2680" w:type="dxa"/>
            <w:vAlign w:val="bottom"/>
            <w:gridSpan w:val="3"/>
          </w:tcPr>
          <w:p>
            <w:pPr>
              <w:ind w:left="320"/>
              <w:spacing w:after="0"/>
              <w:rPr>
                <w:sz w:val="20"/>
                <w:szCs w:val="20"/>
                <w:color w:val="auto"/>
              </w:rPr>
            </w:pPr>
            <w:r>
              <w:rPr>
                <w:rFonts w:ascii="Arial" w:cs="Arial" w:eastAsia="Arial" w:hAnsi="Arial"/>
                <w:sz w:val="17"/>
                <w:szCs w:val="17"/>
                <w:color w:val="auto"/>
              </w:rPr>
              <w:t>San Jose, CA</w:t>
            </w:r>
          </w:p>
        </w:tc>
        <w:tc>
          <w:tcPr>
            <w:tcW w:w="3680" w:type="dxa"/>
            <w:vAlign w:val="bottom"/>
            <w:gridSpan w:val="2"/>
          </w:tcPr>
          <w:p>
            <w:pPr>
              <w:spacing w:after="0"/>
              <w:rPr>
                <w:sz w:val="20"/>
                <w:szCs w:val="20"/>
                <w:color w:val="auto"/>
              </w:rPr>
            </w:pPr>
            <w:r>
              <w:rPr>
                <w:rFonts w:ascii="Arial" w:cs="Arial" w:eastAsia="Arial" w:hAnsi="Arial"/>
                <w:sz w:val="17"/>
                <w:szCs w:val="17"/>
                <w:color w:val="auto"/>
              </w:rPr>
              <w:t>Two new pad sites (Best Buy and The</w:t>
            </w: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80" w:type="dxa"/>
            <w:vAlign w:val="bottom"/>
            <w:gridSpan w:val="2"/>
          </w:tcPr>
          <w:p>
            <w:pPr>
              <w:ind w:left="200"/>
              <w:spacing w:after="0"/>
              <w:rPr>
                <w:sz w:val="20"/>
                <w:szCs w:val="20"/>
                <w:color w:val="auto"/>
              </w:rPr>
            </w:pPr>
            <w:r>
              <w:rPr>
                <w:rFonts w:ascii="Arial" w:cs="Arial" w:eastAsia="Arial" w:hAnsi="Arial"/>
                <w:sz w:val="17"/>
                <w:szCs w:val="17"/>
                <w:color w:val="auto"/>
              </w:rPr>
              <w:t>Container Store) and additional parking</w:t>
            </w:r>
          </w:p>
        </w:tc>
        <w:tc>
          <w:tcPr>
            <w:tcW w:w="1220" w:type="dxa"/>
            <w:vAlign w:val="bottom"/>
            <w:gridSpan w:val="2"/>
          </w:tcPr>
          <w:p>
            <w:pPr>
              <w:jc w:val="right"/>
              <w:ind w:right="520"/>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26.6</w:t>
            </w:r>
          </w:p>
        </w:tc>
        <w:tc>
          <w:tcPr>
            <w:tcW w:w="5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25.7</w:t>
            </w:r>
          </w:p>
        </w:tc>
      </w:tr>
      <w:tr>
        <w:trPr>
          <w:trHeight w:val="215"/>
        </w:trPr>
        <w:tc>
          <w:tcPr>
            <w:tcW w:w="2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Santana Row Phase III</w:t>
            </w:r>
          </w:p>
        </w:tc>
        <w:tc>
          <w:tcPr>
            <w:tcW w:w="2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San Jose, CA</w:t>
            </w: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Pad site (theater)</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06"/>
        </w:trPr>
        <w:tc>
          <w:tcPr>
            <w:tcW w:w="2360" w:type="dxa"/>
            <w:vAlign w:val="bottom"/>
            <w:gridSpan w:val="2"/>
          </w:tcPr>
          <w:p>
            <w:pPr>
              <w:spacing w:after="0"/>
              <w:rPr>
                <w:sz w:val="20"/>
                <w:szCs w:val="20"/>
                <w:color w:val="auto"/>
              </w:rPr>
            </w:pPr>
            <w:r>
              <w:rPr>
                <w:rFonts w:ascii="Arial" w:cs="Arial" w:eastAsia="Arial" w:hAnsi="Arial"/>
                <w:sz w:val="17"/>
                <w:szCs w:val="17"/>
                <w:color w:val="auto"/>
              </w:rPr>
              <w:t>Garden Market</w:t>
            </w:r>
          </w:p>
        </w:tc>
        <w:tc>
          <w:tcPr>
            <w:tcW w:w="2680" w:type="dxa"/>
            <w:vAlign w:val="bottom"/>
            <w:gridSpan w:val="3"/>
          </w:tcPr>
          <w:p>
            <w:pPr>
              <w:ind w:left="320"/>
              <w:spacing w:after="0"/>
              <w:rPr>
                <w:sz w:val="20"/>
                <w:szCs w:val="20"/>
                <w:color w:val="auto"/>
              </w:rPr>
            </w:pPr>
            <w:r>
              <w:rPr>
                <w:rFonts w:ascii="Arial" w:cs="Arial" w:eastAsia="Arial" w:hAnsi="Arial"/>
                <w:sz w:val="17"/>
                <w:szCs w:val="17"/>
                <w:color w:val="auto"/>
              </w:rPr>
              <w:t>Western Springs, IL</w:t>
            </w:r>
          </w:p>
        </w:tc>
        <w:tc>
          <w:tcPr>
            <w:tcW w:w="3680" w:type="dxa"/>
            <w:vAlign w:val="bottom"/>
            <w:gridSpan w:val="2"/>
          </w:tcPr>
          <w:p>
            <w:pPr>
              <w:spacing w:after="0"/>
              <w:rPr>
                <w:sz w:val="20"/>
                <w:szCs w:val="20"/>
                <w:color w:val="auto"/>
              </w:rPr>
            </w:pPr>
            <w:r>
              <w:rPr>
                <w:rFonts w:ascii="Arial" w:cs="Arial" w:eastAsia="Arial" w:hAnsi="Arial"/>
                <w:sz w:val="17"/>
                <w:szCs w:val="17"/>
                <w:color w:val="auto"/>
              </w:rPr>
              <w:t>Expansion, re-tenanting (new grocer) and</w:t>
            </w: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80" w:type="dxa"/>
            <w:vAlign w:val="bottom"/>
            <w:gridSpan w:val="2"/>
          </w:tcPr>
          <w:p>
            <w:pPr>
              <w:ind w:left="200"/>
              <w:spacing w:after="0"/>
              <w:rPr>
                <w:sz w:val="20"/>
                <w:szCs w:val="20"/>
                <w:color w:val="auto"/>
              </w:rPr>
            </w:pPr>
            <w:r>
              <w:rPr>
                <w:rFonts w:ascii="Arial" w:cs="Arial" w:eastAsia="Arial" w:hAnsi="Arial"/>
                <w:sz w:val="17"/>
                <w:szCs w:val="17"/>
                <w:color w:val="auto"/>
              </w:rPr>
              <w:t>new pad site (existing drug store)</w:t>
            </w:r>
          </w:p>
        </w:tc>
        <w:tc>
          <w:tcPr>
            <w:tcW w:w="1220" w:type="dxa"/>
            <w:vAlign w:val="bottom"/>
            <w:gridSpan w:val="2"/>
          </w:tcPr>
          <w:p>
            <w:pPr>
              <w:jc w:val="right"/>
              <w:ind w:right="52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2.6</w:t>
            </w:r>
          </w:p>
        </w:tc>
        <w:tc>
          <w:tcPr>
            <w:tcW w:w="5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2.6</w:t>
            </w:r>
          </w:p>
        </w:tc>
      </w:tr>
      <w:tr>
        <w:trPr>
          <w:trHeight w:val="207"/>
        </w:trPr>
        <w:tc>
          <w:tcPr>
            <w:tcW w:w="2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Bristol Plaza</w:t>
            </w:r>
          </w:p>
        </w:tc>
        <w:tc>
          <w:tcPr>
            <w:tcW w:w="2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Bristol, CT</w:t>
            </w: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relocation, canopy and façade</w:t>
            </w: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23"/>
        </w:trPr>
        <w:tc>
          <w:tcPr>
            <w:tcW w:w="6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renovation</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06"/>
        </w:trPr>
        <w:tc>
          <w:tcPr>
            <w:tcW w:w="2360" w:type="dxa"/>
            <w:vAlign w:val="bottom"/>
            <w:gridSpan w:val="2"/>
          </w:tcPr>
          <w:p>
            <w:pPr>
              <w:spacing w:after="0"/>
              <w:rPr>
                <w:sz w:val="20"/>
                <w:szCs w:val="20"/>
                <w:color w:val="auto"/>
              </w:rPr>
            </w:pPr>
            <w:r>
              <w:rPr>
                <w:rFonts w:ascii="Arial" w:cs="Arial" w:eastAsia="Arial" w:hAnsi="Arial"/>
                <w:sz w:val="17"/>
                <w:szCs w:val="17"/>
                <w:color w:val="auto"/>
              </w:rPr>
              <w:t>Perring Plaza</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Arial" w:cs="Arial" w:eastAsia="Arial" w:hAnsi="Arial"/>
                <w:sz w:val="17"/>
                <w:szCs w:val="17"/>
                <w:color w:val="auto"/>
              </w:rPr>
              <w:t>Re-tenanting (sporting goods and small</w:t>
            </w: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80" w:type="dxa"/>
            <w:vAlign w:val="bottom"/>
            <w:gridSpan w:val="3"/>
          </w:tcPr>
          <w:p>
            <w:pPr>
              <w:ind w:left="320"/>
              <w:spacing w:after="0"/>
              <w:rPr>
                <w:sz w:val="20"/>
                <w:szCs w:val="20"/>
                <w:color w:val="auto"/>
              </w:rPr>
            </w:pPr>
            <w:r>
              <w:rPr>
                <w:rFonts w:ascii="Arial" w:cs="Arial" w:eastAsia="Arial" w:hAnsi="Arial"/>
                <w:sz w:val="17"/>
                <w:szCs w:val="17"/>
                <w:color w:val="auto"/>
              </w:rPr>
              <w:t>Baltimore, MD</w:t>
            </w:r>
          </w:p>
        </w:tc>
        <w:tc>
          <w:tcPr>
            <w:tcW w:w="3680" w:type="dxa"/>
            <w:vAlign w:val="bottom"/>
            <w:gridSpan w:val="2"/>
          </w:tcPr>
          <w:p>
            <w:pPr>
              <w:spacing w:after="0"/>
              <w:rPr>
                <w:sz w:val="20"/>
                <w:szCs w:val="20"/>
                <w:color w:val="auto"/>
              </w:rPr>
            </w:pPr>
            <w:r>
              <w:rPr>
                <w:rFonts w:ascii="Arial" w:cs="Arial" w:eastAsia="Arial" w:hAnsi="Arial"/>
                <w:sz w:val="17"/>
                <w:szCs w:val="17"/>
                <w:color w:val="auto"/>
              </w:rPr>
              <w:t>shops)</w:t>
            </w:r>
          </w:p>
        </w:tc>
        <w:tc>
          <w:tcPr>
            <w:tcW w:w="1220" w:type="dxa"/>
            <w:vAlign w:val="bottom"/>
            <w:gridSpan w:val="2"/>
          </w:tcPr>
          <w:p>
            <w:pPr>
              <w:jc w:val="right"/>
              <w:ind w:right="520"/>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1.3</w:t>
            </w:r>
          </w:p>
        </w:tc>
        <w:tc>
          <w:tcPr>
            <w:tcW w:w="5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0.1</w:t>
            </w:r>
          </w:p>
        </w:tc>
      </w:tr>
      <w:tr>
        <w:trPr>
          <w:trHeight w:val="215"/>
        </w:trPr>
        <w:tc>
          <w:tcPr>
            <w:tcW w:w="2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Bethesda Row</w:t>
            </w:r>
          </w:p>
        </w:tc>
        <w:tc>
          <w:tcPr>
            <w:tcW w:w="2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Bethesda, MD</w:t>
            </w: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pad site (fitness equipment)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4"/>
        </w:trPr>
        <w:tc>
          <w:tcPr>
            <w:tcW w:w="2360" w:type="dxa"/>
            <w:vAlign w:val="bottom"/>
            <w:gridSpan w:val="2"/>
          </w:tcPr>
          <w:p>
            <w:pPr>
              <w:spacing w:after="0"/>
              <w:rPr>
                <w:sz w:val="20"/>
                <w:szCs w:val="20"/>
                <w:color w:val="auto"/>
              </w:rPr>
            </w:pPr>
            <w:r>
              <w:rPr>
                <w:rFonts w:ascii="Arial" w:cs="Arial" w:eastAsia="Arial" w:hAnsi="Arial"/>
                <w:sz w:val="17"/>
                <w:szCs w:val="17"/>
                <w:color w:val="auto"/>
              </w:rPr>
              <w:t>Old Town Center</w:t>
            </w:r>
          </w:p>
        </w:tc>
        <w:tc>
          <w:tcPr>
            <w:tcW w:w="2680" w:type="dxa"/>
            <w:vAlign w:val="bottom"/>
            <w:gridSpan w:val="3"/>
          </w:tcPr>
          <w:p>
            <w:pPr>
              <w:ind w:left="320"/>
              <w:spacing w:after="0"/>
              <w:rPr>
                <w:sz w:val="20"/>
                <w:szCs w:val="20"/>
                <w:color w:val="auto"/>
              </w:rPr>
            </w:pPr>
            <w:r>
              <w:rPr>
                <w:rFonts w:ascii="Arial" w:cs="Arial" w:eastAsia="Arial" w:hAnsi="Arial"/>
                <w:sz w:val="17"/>
                <w:szCs w:val="17"/>
                <w:color w:val="auto"/>
              </w:rPr>
              <w:t>Los Gatos, CA</w:t>
            </w:r>
          </w:p>
        </w:tc>
        <w:tc>
          <w:tcPr>
            <w:tcW w:w="3680" w:type="dxa"/>
            <w:vAlign w:val="bottom"/>
            <w:gridSpan w:val="2"/>
          </w:tcPr>
          <w:p>
            <w:pPr>
              <w:spacing w:after="0"/>
              <w:rPr>
                <w:sz w:val="20"/>
                <w:szCs w:val="20"/>
                <w:color w:val="auto"/>
              </w:rPr>
            </w:pPr>
            <w:r>
              <w:rPr>
                <w:rFonts w:ascii="Arial" w:cs="Arial" w:eastAsia="Arial" w:hAnsi="Arial"/>
                <w:sz w:val="17"/>
                <w:szCs w:val="17"/>
                <w:color w:val="auto"/>
              </w:rPr>
              <w:t>Re-tenanting (office) and site improvements</w:t>
            </w:r>
          </w:p>
        </w:tc>
        <w:tc>
          <w:tcPr>
            <w:tcW w:w="1220" w:type="dxa"/>
            <w:vAlign w:val="bottom"/>
            <w:gridSpan w:val="2"/>
          </w:tcPr>
          <w:p>
            <w:pPr>
              <w:jc w:val="right"/>
              <w:ind w:right="520"/>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0.8</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0.8</w:t>
            </w:r>
          </w:p>
        </w:tc>
      </w:tr>
      <w:tr>
        <w:trPr>
          <w:trHeight w:val="214"/>
        </w:trPr>
        <w:tc>
          <w:tcPr>
            <w:tcW w:w="2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Shops at Willow Lawn</w:t>
            </w:r>
          </w:p>
        </w:tc>
        <w:tc>
          <w:tcPr>
            <w:tcW w:w="2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Richmond, VA</w:t>
            </w: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expansion</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4"/>
        </w:trPr>
        <w:tc>
          <w:tcPr>
            <w:tcW w:w="2360" w:type="dxa"/>
            <w:vAlign w:val="bottom"/>
            <w:gridSpan w:val="2"/>
          </w:tcPr>
          <w:p>
            <w:pPr>
              <w:spacing w:after="0"/>
              <w:rPr>
                <w:sz w:val="20"/>
                <w:szCs w:val="20"/>
                <w:color w:val="auto"/>
              </w:rPr>
            </w:pPr>
            <w:r>
              <w:rPr>
                <w:rFonts w:ascii="Arial" w:cs="Arial" w:eastAsia="Arial" w:hAnsi="Arial"/>
                <w:sz w:val="17"/>
                <w:szCs w:val="17"/>
                <w:color w:val="auto"/>
              </w:rPr>
              <w:t>Lawrence Park</w:t>
            </w:r>
          </w:p>
        </w:tc>
        <w:tc>
          <w:tcPr>
            <w:tcW w:w="2680" w:type="dxa"/>
            <w:vAlign w:val="bottom"/>
            <w:gridSpan w:val="3"/>
          </w:tcPr>
          <w:p>
            <w:pPr>
              <w:ind w:left="320"/>
              <w:spacing w:after="0"/>
              <w:rPr>
                <w:sz w:val="20"/>
                <w:szCs w:val="20"/>
                <w:color w:val="auto"/>
              </w:rPr>
            </w:pPr>
            <w:r>
              <w:rPr>
                <w:rFonts w:ascii="Arial" w:cs="Arial" w:eastAsia="Arial" w:hAnsi="Arial"/>
                <w:sz w:val="17"/>
                <w:szCs w:val="17"/>
                <w:color w:val="auto"/>
              </w:rPr>
              <w:t>Broomall, PA</w:t>
            </w:r>
          </w:p>
        </w:tc>
        <w:tc>
          <w:tcPr>
            <w:tcW w:w="3680" w:type="dxa"/>
            <w:vAlign w:val="bottom"/>
            <w:gridSpan w:val="2"/>
          </w:tcPr>
          <w:p>
            <w:pPr>
              <w:spacing w:after="0"/>
              <w:rPr>
                <w:sz w:val="20"/>
                <w:szCs w:val="20"/>
                <w:color w:val="auto"/>
              </w:rPr>
            </w:pPr>
            <w:r>
              <w:rPr>
                <w:rFonts w:ascii="Arial" w:cs="Arial" w:eastAsia="Arial" w:hAnsi="Arial"/>
                <w:sz w:val="17"/>
                <w:szCs w:val="17"/>
                <w:color w:val="auto"/>
              </w:rPr>
              <w:t>Grocer expansion</w:t>
            </w:r>
          </w:p>
        </w:tc>
        <w:tc>
          <w:tcPr>
            <w:tcW w:w="1220" w:type="dxa"/>
            <w:vAlign w:val="bottom"/>
            <w:gridSpan w:val="2"/>
          </w:tcPr>
          <w:p>
            <w:pPr>
              <w:jc w:val="right"/>
              <w:ind w:right="520"/>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0.3</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0.3</w:t>
            </w:r>
          </w:p>
        </w:tc>
      </w:tr>
      <w:tr>
        <w:trPr>
          <w:trHeight w:val="214"/>
        </w:trPr>
        <w:tc>
          <w:tcPr>
            <w:tcW w:w="2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Laurel</w:t>
            </w:r>
          </w:p>
        </w:tc>
        <w:tc>
          <w:tcPr>
            <w:tcW w:w="2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Laurel, MD</w:t>
            </w: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expansion</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&gt;20%</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21"/>
        </w:trPr>
        <w:tc>
          <w:tcPr>
            <w:tcW w:w="2360" w:type="dxa"/>
            <w:vAlign w:val="bottom"/>
            <w:gridSpan w:val="2"/>
          </w:tcPr>
          <w:p>
            <w:pPr>
              <w:spacing w:after="0"/>
              <w:rPr>
                <w:sz w:val="20"/>
                <w:szCs w:val="20"/>
                <w:color w:val="auto"/>
              </w:rPr>
            </w:pPr>
            <w:r>
              <w:rPr>
                <w:rFonts w:ascii="Arial" w:cs="Arial" w:eastAsia="Arial" w:hAnsi="Arial"/>
                <w:sz w:val="17"/>
                <w:szCs w:val="17"/>
                <w:color w:val="auto"/>
              </w:rPr>
              <w:t>Wildwood</w:t>
            </w:r>
          </w:p>
        </w:tc>
        <w:tc>
          <w:tcPr>
            <w:tcW w:w="2680" w:type="dxa"/>
            <w:vAlign w:val="bottom"/>
            <w:gridSpan w:val="3"/>
          </w:tcPr>
          <w:p>
            <w:pPr>
              <w:ind w:left="320"/>
              <w:spacing w:after="0"/>
              <w:rPr>
                <w:sz w:val="20"/>
                <w:szCs w:val="20"/>
                <w:color w:val="auto"/>
              </w:rPr>
            </w:pPr>
            <w:r>
              <w:rPr>
                <w:rFonts w:ascii="Arial" w:cs="Arial" w:eastAsia="Arial" w:hAnsi="Arial"/>
                <w:sz w:val="17"/>
                <w:szCs w:val="17"/>
                <w:color w:val="auto"/>
              </w:rPr>
              <w:t>Bethesda, MD</w:t>
            </w:r>
          </w:p>
        </w:tc>
        <w:tc>
          <w:tcPr>
            <w:tcW w:w="3680" w:type="dxa"/>
            <w:vAlign w:val="bottom"/>
            <w:gridSpan w:val="2"/>
          </w:tcPr>
          <w:p>
            <w:pPr>
              <w:spacing w:after="0"/>
              <w:rPr>
                <w:sz w:val="20"/>
                <w:szCs w:val="20"/>
                <w:color w:val="auto"/>
              </w:rPr>
            </w:pPr>
            <w:r>
              <w:rPr>
                <w:rFonts w:ascii="Arial" w:cs="Arial" w:eastAsia="Arial" w:hAnsi="Arial"/>
                <w:sz w:val="17"/>
                <w:szCs w:val="17"/>
                <w:color w:val="auto"/>
              </w:rPr>
              <w:t>Pad expansion and re-tenanting (bank)</w:t>
            </w:r>
          </w:p>
        </w:tc>
        <w:tc>
          <w:tcPr>
            <w:tcW w:w="1220" w:type="dxa"/>
            <w:vAlign w:val="bottom"/>
            <w:gridSpan w:val="2"/>
          </w:tcPr>
          <w:p>
            <w:pPr>
              <w:jc w:val="right"/>
              <w:ind w:right="520"/>
              <w:spacing w:after="0"/>
              <w:rPr>
                <w:sz w:val="20"/>
                <w:szCs w:val="20"/>
                <w:color w:val="auto"/>
              </w:rPr>
            </w:pPr>
            <w:r>
              <w:rPr>
                <w:rFonts w:ascii="Arial" w:cs="Arial" w:eastAsia="Arial" w:hAnsi="Arial"/>
                <w:sz w:val="17"/>
                <w:szCs w:val="17"/>
                <w:color w:val="auto"/>
              </w:rPr>
              <w:t>&gt;20%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0.4</w:t>
            </w:r>
          </w:p>
        </w:tc>
        <w:tc>
          <w:tcPr>
            <w:tcW w:w="5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0.3</w:t>
            </w:r>
          </w:p>
        </w:tc>
      </w:tr>
      <w:tr>
        <w:trPr>
          <w:trHeight w:val="100"/>
        </w:trPr>
        <w:tc>
          <w:tcPr>
            <w:tcW w:w="680" w:type="dxa"/>
            <w:vAlign w:val="bottom"/>
          </w:tcPr>
          <w:p>
            <w:pPr>
              <w:spacing w:after="0"/>
              <w:rPr>
                <w:sz w:val="8"/>
                <w:szCs w:val="8"/>
                <w:color w:val="auto"/>
              </w:rPr>
            </w:pPr>
          </w:p>
        </w:tc>
        <w:tc>
          <w:tcPr>
            <w:tcW w:w="200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101"/>
        </w:trPr>
        <w:tc>
          <w:tcPr>
            <w:tcW w:w="6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4"/>
        </w:trPr>
        <w:tc>
          <w:tcPr>
            <w:tcW w:w="5040" w:type="dxa"/>
            <w:vAlign w:val="bottom"/>
            <w:gridSpan w:val="5"/>
            <w:shd w:val="clear" w:color="auto" w:fill="CCEEFF"/>
          </w:tcPr>
          <w:p>
            <w:pPr>
              <w:ind w:left="440"/>
              <w:spacing w:after="0"/>
              <w:rPr>
                <w:sz w:val="20"/>
                <w:szCs w:val="20"/>
                <w:color w:val="auto"/>
              </w:rPr>
            </w:pPr>
            <w:r>
              <w:rPr>
                <w:rFonts w:ascii="Arial" w:cs="Arial" w:eastAsia="Arial" w:hAnsi="Arial"/>
                <w:sz w:val="17"/>
                <w:szCs w:val="17"/>
                <w:b w:val="1"/>
                <w:bCs w:val="1"/>
                <w:i w:val="1"/>
                <w:iCs w:val="1"/>
                <w:color w:val="auto"/>
              </w:rPr>
              <w:t>Subtotal: Projects Anticipated to Stabilize in 2004 (3) (4)</w:t>
            </w:r>
          </w:p>
        </w:tc>
        <w:tc>
          <w:tcPr>
            <w:tcW w:w="9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b w:val="1"/>
                <w:bCs w:val="1"/>
                <w:color w:val="auto"/>
              </w:rPr>
              <w:t>15%</w:t>
            </w:r>
          </w:p>
        </w:tc>
        <w:tc>
          <w:tcPr>
            <w:tcW w:w="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33.4</w:t>
            </w:r>
          </w:p>
        </w:tc>
      </w:tr>
      <w:tr>
        <w:trPr>
          <w:trHeight w:val="131"/>
        </w:trPr>
        <w:tc>
          <w:tcPr>
            <w:tcW w:w="680" w:type="dxa"/>
            <w:vAlign w:val="bottom"/>
          </w:tcPr>
          <w:p>
            <w:pPr>
              <w:spacing w:after="0"/>
              <w:rPr>
                <w:sz w:val="11"/>
                <w:szCs w:val="11"/>
                <w:color w:val="auto"/>
              </w:rPr>
            </w:pPr>
          </w:p>
        </w:tc>
        <w:tc>
          <w:tcPr>
            <w:tcW w:w="200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r>
      <w:tr>
        <w:trPr>
          <w:trHeight w:val="104"/>
        </w:trPr>
        <w:tc>
          <w:tcPr>
            <w:tcW w:w="6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214"/>
        </w:trPr>
        <w:tc>
          <w:tcPr>
            <w:tcW w:w="5040" w:type="dxa"/>
            <w:vAlign w:val="bottom"/>
            <w:gridSpan w:val="5"/>
            <w:shd w:val="clear" w:color="auto" w:fill="CCEEFF"/>
          </w:tcPr>
          <w:p>
            <w:pPr>
              <w:spacing w:after="0"/>
              <w:rPr>
                <w:sz w:val="20"/>
                <w:szCs w:val="20"/>
                <w:color w:val="auto"/>
              </w:rPr>
            </w:pPr>
            <w:r>
              <w:rPr>
                <w:rFonts w:ascii="Arial" w:cs="Arial" w:eastAsia="Arial" w:hAnsi="Arial"/>
                <w:sz w:val="17"/>
                <w:szCs w:val="17"/>
                <w:b w:val="1"/>
                <w:bCs w:val="1"/>
                <w:i w:val="1"/>
                <w:iCs w:val="1"/>
                <w:color w:val="auto"/>
              </w:rPr>
              <w:t>Projects Anticipated to Stabilize in 2005 (3)</w:t>
            </w:r>
          </w:p>
        </w:tc>
        <w:tc>
          <w:tcPr>
            <w:tcW w:w="9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4"/>
        </w:trPr>
        <w:tc>
          <w:tcPr>
            <w:tcW w:w="2360" w:type="dxa"/>
            <w:vAlign w:val="bottom"/>
            <w:gridSpan w:val="2"/>
          </w:tcPr>
          <w:p>
            <w:pPr>
              <w:spacing w:after="0"/>
              <w:rPr>
                <w:sz w:val="20"/>
                <w:szCs w:val="20"/>
                <w:color w:val="auto"/>
              </w:rPr>
            </w:pPr>
            <w:r>
              <w:rPr>
                <w:rFonts w:ascii="Arial" w:cs="Arial" w:eastAsia="Arial" w:hAnsi="Arial"/>
                <w:sz w:val="17"/>
                <w:szCs w:val="17"/>
                <w:color w:val="auto"/>
              </w:rPr>
              <w:t>Houston Street</w:t>
            </w:r>
          </w:p>
        </w:tc>
        <w:tc>
          <w:tcPr>
            <w:tcW w:w="2680" w:type="dxa"/>
            <w:vAlign w:val="bottom"/>
            <w:gridSpan w:val="3"/>
          </w:tcPr>
          <w:p>
            <w:pPr>
              <w:ind w:left="320"/>
              <w:spacing w:after="0"/>
              <w:rPr>
                <w:sz w:val="20"/>
                <w:szCs w:val="20"/>
                <w:color w:val="auto"/>
              </w:rPr>
            </w:pPr>
            <w:r>
              <w:rPr>
                <w:rFonts w:ascii="Arial" w:cs="Arial" w:eastAsia="Arial" w:hAnsi="Arial"/>
                <w:sz w:val="17"/>
                <w:szCs w:val="17"/>
                <w:color w:val="auto"/>
              </w:rPr>
              <w:t>San Antonio, TX</w:t>
            </w:r>
          </w:p>
        </w:tc>
        <w:tc>
          <w:tcPr>
            <w:tcW w:w="3680" w:type="dxa"/>
            <w:vAlign w:val="bottom"/>
            <w:gridSpan w:val="2"/>
          </w:tcPr>
          <w:p>
            <w:pPr>
              <w:spacing w:after="0"/>
              <w:rPr>
                <w:sz w:val="20"/>
                <w:szCs w:val="20"/>
                <w:color w:val="auto"/>
              </w:rPr>
            </w:pPr>
            <w:r>
              <w:rPr>
                <w:rFonts w:ascii="Arial" w:cs="Arial" w:eastAsia="Arial" w:hAnsi="Arial"/>
                <w:sz w:val="17"/>
                <w:szCs w:val="17"/>
                <w:color w:val="auto"/>
              </w:rPr>
              <w:t>Retail and ground lease to Hotel Valencia</w:t>
            </w:r>
          </w:p>
        </w:tc>
        <w:tc>
          <w:tcPr>
            <w:tcW w:w="1220" w:type="dxa"/>
            <w:vAlign w:val="bottom"/>
            <w:gridSpan w:val="2"/>
          </w:tcPr>
          <w:p>
            <w:pPr>
              <w:jc w:val="right"/>
              <w:ind w:right="520"/>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11.4</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11.8</w:t>
            </w:r>
          </w:p>
        </w:tc>
      </w:tr>
      <w:tr>
        <w:trPr>
          <w:trHeight w:val="206"/>
        </w:trPr>
        <w:tc>
          <w:tcPr>
            <w:tcW w:w="2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 Cynwyd</w:t>
            </w:r>
          </w:p>
        </w:tc>
        <w:tc>
          <w:tcPr>
            <w:tcW w:w="2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Philadelphia, PA</w:t>
            </w: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re-location and expansion and re-</w:t>
            </w: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23"/>
        </w:trPr>
        <w:tc>
          <w:tcPr>
            <w:tcW w:w="6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tenanting (new health club)</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&gt;20%</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4"/>
        </w:trPr>
        <w:tc>
          <w:tcPr>
            <w:tcW w:w="2360" w:type="dxa"/>
            <w:vAlign w:val="bottom"/>
            <w:gridSpan w:val="2"/>
          </w:tcPr>
          <w:p>
            <w:pPr>
              <w:spacing w:after="0"/>
              <w:rPr>
                <w:sz w:val="20"/>
                <w:szCs w:val="20"/>
                <w:color w:val="auto"/>
              </w:rPr>
            </w:pPr>
            <w:r>
              <w:rPr>
                <w:rFonts w:ascii="Arial" w:cs="Arial" w:eastAsia="Arial" w:hAnsi="Arial"/>
                <w:sz w:val="17"/>
                <w:szCs w:val="17"/>
                <w:color w:val="auto"/>
              </w:rPr>
              <w:t>Brick Plaza</w:t>
            </w:r>
          </w:p>
        </w:tc>
        <w:tc>
          <w:tcPr>
            <w:tcW w:w="2680" w:type="dxa"/>
            <w:vAlign w:val="bottom"/>
            <w:gridSpan w:val="3"/>
          </w:tcPr>
          <w:p>
            <w:pPr>
              <w:ind w:left="320"/>
              <w:spacing w:after="0"/>
              <w:rPr>
                <w:sz w:val="20"/>
                <w:szCs w:val="20"/>
                <w:color w:val="auto"/>
              </w:rPr>
            </w:pPr>
            <w:r>
              <w:rPr>
                <w:rFonts w:ascii="Arial" w:cs="Arial" w:eastAsia="Arial" w:hAnsi="Arial"/>
                <w:sz w:val="17"/>
                <w:szCs w:val="17"/>
                <w:color w:val="auto"/>
              </w:rPr>
              <w:t>Brick, NJ</w:t>
            </w:r>
          </w:p>
        </w:tc>
        <w:tc>
          <w:tcPr>
            <w:tcW w:w="3680" w:type="dxa"/>
            <w:vAlign w:val="bottom"/>
            <w:gridSpan w:val="2"/>
          </w:tcPr>
          <w:p>
            <w:pPr>
              <w:spacing w:after="0"/>
              <w:rPr>
                <w:sz w:val="20"/>
                <w:szCs w:val="20"/>
                <w:color w:val="auto"/>
              </w:rPr>
            </w:pPr>
            <w:r>
              <w:rPr>
                <w:rFonts w:ascii="Arial" w:cs="Arial" w:eastAsia="Arial" w:hAnsi="Arial"/>
                <w:sz w:val="17"/>
                <w:szCs w:val="17"/>
                <w:color w:val="auto"/>
              </w:rPr>
              <w:t>Re-tenanting (electronics)</w:t>
            </w:r>
          </w:p>
        </w:tc>
        <w:tc>
          <w:tcPr>
            <w:tcW w:w="1220" w:type="dxa"/>
            <w:vAlign w:val="bottom"/>
            <w:gridSpan w:val="2"/>
          </w:tcPr>
          <w:p>
            <w:pPr>
              <w:jc w:val="right"/>
              <w:ind w:right="520"/>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2.2</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214"/>
        </w:trPr>
        <w:tc>
          <w:tcPr>
            <w:tcW w:w="2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Andorra</w:t>
            </w:r>
          </w:p>
        </w:tc>
        <w:tc>
          <w:tcPr>
            <w:tcW w:w="2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Philadelphia, PA</w:t>
            </w: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Re-tenanting (new health club)</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14"/>
        </w:trPr>
        <w:tc>
          <w:tcPr>
            <w:tcW w:w="2360" w:type="dxa"/>
            <w:vAlign w:val="bottom"/>
            <w:gridSpan w:val="2"/>
          </w:tcPr>
          <w:p>
            <w:pPr>
              <w:spacing w:after="0"/>
              <w:rPr>
                <w:sz w:val="20"/>
                <w:szCs w:val="20"/>
                <w:color w:val="auto"/>
              </w:rPr>
            </w:pPr>
            <w:r>
              <w:rPr>
                <w:rFonts w:ascii="Arial" w:cs="Arial" w:eastAsia="Arial" w:hAnsi="Arial"/>
                <w:sz w:val="17"/>
                <w:szCs w:val="17"/>
                <w:color w:val="auto"/>
              </w:rPr>
              <w:t>Leesburg Plaza - Peebles</w:t>
            </w:r>
          </w:p>
        </w:tc>
        <w:tc>
          <w:tcPr>
            <w:tcW w:w="2680" w:type="dxa"/>
            <w:vAlign w:val="bottom"/>
            <w:gridSpan w:val="3"/>
          </w:tcPr>
          <w:p>
            <w:pPr>
              <w:ind w:left="320"/>
              <w:spacing w:after="0"/>
              <w:rPr>
                <w:sz w:val="20"/>
                <w:szCs w:val="20"/>
                <w:color w:val="auto"/>
              </w:rPr>
            </w:pPr>
            <w:r>
              <w:rPr>
                <w:rFonts w:ascii="Arial" w:cs="Arial" w:eastAsia="Arial" w:hAnsi="Arial"/>
                <w:sz w:val="17"/>
                <w:szCs w:val="17"/>
                <w:color w:val="auto"/>
              </w:rPr>
              <w:t>Leesburg, VA</w:t>
            </w:r>
          </w:p>
        </w:tc>
        <w:tc>
          <w:tcPr>
            <w:tcW w:w="3680" w:type="dxa"/>
            <w:vAlign w:val="bottom"/>
            <w:gridSpan w:val="2"/>
          </w:tcPr>
          <w:p>
            <w:pPr>
              <w:spacing w:after="0"/>
              <w:rPr>
                <w:sz w:val="20"/>
                <w:szCs w:val="20"/>
                <w:color w:val="auto"/>
              </w:rPr>
            </w:pPr>
            <w:r>
              <w:rPr>
                <w:rFonts w:ascii="Arial" w:cs="Arial" w:eastAsia="Arial" w:hAnsi="Arial"/>
                <w:sz w:val="17"/>
                <w:szCs w:val="17"/>
                <w:color w:val="auto"/>
              </w:rPr>
              <w:t>Re-tenanting (office supply &amp; auto supply)</w:t>
            </w:r>
          </w:p>
        </w:tc>
        <w:tc>
          <w:tcPr>
            <w:tcW w:w="1220" w:type="dxa"/>
            <w:vAlign w:val="bottom"/>
            <w:gridSpan w:val="2"/>
          </w:tcPr>
          <w:p>
            <w:pPr>
              <w:jc w:val="right"/>
              <w:ind w:right="520"/>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2.7</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0.3</w:t>
            </w:r>
          </w:p>
        </w:tc>
      </w:tr>
      <w:tr>
        <w:trPr>
          <w:trHeight w:val="206"/>
        </w:trPr>
        <w:tc>
          <w:tcPr>
            <w:tcW w:w="2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Pan Am</w:t>
            </w:r>
          </w:p>
        </w:tc>
        <w:tc>
          <w:tcPr>
            <w:tcW w:w="2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Fairfax, VA</w:t>
            </w: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expansion, small shop re-tenanting</w:t>
            </w: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23"/>
        </w:trPr>
        <w:tc>
          <w:tcPr>
            <w:tcW w:w="6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and site improvements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14"/>
        </w:trPr>
        <w:tc>
          <w:tcPr>
            <w:tcW w:w="2360" w:type="dxa"/>
            <w:vAlign w:val="bottom"/>
            <w:gridSpan w:val="2"/>
          </w:tcPr>
          <w:p>
            <w:pPr>
              <w:spacing w:after="0"/>
              <w:rPr>
                <w:sz w:val="20"/>
                <w:szCs w:val="20"/>
                <w:color w:val="auto"/>
              </w:rPr>
            </w:pPr>
            <w:r>
              <w:rPr>
                <w:rFonts w:ascii="Arial" w:cs="Arial" w:eastAsia="Arial" w:hAnsi="Arial"/>
                <w:sz w:val="17"/>
                <w:szCs w:val="17"/>
                <w:color w:val="auto"/>
              </w:rPr>
              <w:t>Greenlawn Plaza</w:t>
            </w:r>
          </w:p>
        </w:tc>
        <w:tc>
          <w:tcPr>
            <w:tcW w:w="2680" w:type="dxa"/>
            <w:vAlign w:val="bottom"/>
            <w:gridSpan w:val="3"/>
          </w:tcPr>
          <w:p>
            <w:pPr>
              <w:ind w:left="320"/>
              <w:spacing w:after="0"/>
              <w:rPr>
                <w:sz w:val="20"/>
                <w:szCs w:val="20"/>
                <w:color w:val="auto"/>
              </w:rPr>
            </w:pPr>
            <w:r>
              <w:rPr>
                <w:rFonts w:ascii="Arial" w:cs="Arial" w:eastAsia="Arial" w:hAnsi="Arial"/>
                <w:sz w:val="17"/>
                <w:szCs w:val="17"/>
                <w:color w:val="auto"/>
              </w:rPr>
              <w:t>Greenlawn, NY</w:t>
            </w:r>
          </w:p>
        </w:tc>
        <w:tc>
          <w:tcPr>
            <w:tcW w:w="3680" w:type="dxa"/>
            <w:vAlign w:val="bottom"/>
            <w:gridSpan w:val="2"/>
          </w:tcPr>
          <w:p>
            <w:pPr>
              <w:spacing w:after="0"/>
              <w:rPr>
                <w:sz w:val="20"/>
                <w:szCs w:val="20"/>
                <w:color w:val="auto"/>
              </w:rPr>
            </w:pPr>
            <w:r>
              <w:rPr>
                <w:rFonts w:ascii="Arial" w:cs="Arial" w:eastAsia="Arial" w:hAnsi="Arial"/>
                <w:sz w:val="17"/>
                <w:szCs w:val="17"/>
                <w:color w:val="auto"/>
              </w:rPr>
              <w:t>Re-tenanting and new pad site (child care)</w:t>
            </w:r>
          </w:p>
        </w:tc>
        <w:tc>
          <w:tcPr>
            <w:tcW w:w="1220" w:type="dxa"/>
            <w:vAlign w:val="bottom"/>
            <w:gridSpan w:val="2"/>
          </w:tcPr>
          <w:p>
            <w:pPr>
              <w:jc w:val="right"/>
              <w:ind w:right="520"/>
              <w:spacing w:after="0"/>
              <w:rPr>
                <w:sz w:val="20"/>
                <w:szCs w:val="20"/>
                <w:color w:val="auto"/>
              </w:rPr>
            </w:pPr>
            <w:r>
              <w:rPr>
                <w:rFonts w:ascii="Arial" w:cs="Arial" w:eastAsia="Arial" w:hAnsi="Arial"/>
                <w:sz w:val="17"/>
                <w:szCs w:val="17"/>
                <w:color w:val="auto"/>
              </w:rPr>
              <w:t>&gt;20%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2.1</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1.2</w:t>
            </w:r>
          </w:p>
        </w:tc>
      </w:tr>
      <w:tr>
        <w:trPr>
          <w:trHeight w:val="214"/>
        </w:trPr>
        <w:tc>
          <w:tcPr>
            <w:tcW w:w="2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Brunswick</w:t>
            </w:r>
          </w:p>
        </w:tc>
        <w:tc>
          <w:tcPr>
            <w:tcW w:w="2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North Brunswick, NJ</w:t>
            </w: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Re-tenanting (new health club)</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06"/>
        </w:trPr>
        <w:tc>
          <w:tcPr>
            <w:tcW w:w="2360" w:type="dxa"/>
            <w:vAlign w:val="bottom"/>
            <w:gridSpan w:val="2"/>
          </w:tcPr>
          <w:p>
            <w:pPr>
              <w:spacing w:after="0"/>
              <w:rPr>
                <w:sz w:val="20"/>
                <w:szCs w:val="20"/>
                <w:color w:val="auto"/>
              </w:rPr>
            </w:pPr>
            <w:r>
              <w:rPr>
                <w:rFonts w:ascii="Arial" w:cs="Arial" w:eastAsia="Arial" w:hAnsi="Arial"/>
                <w:sz w:val="17"/>
                <w:szCs w:val="17"/>
                <w:color w:val="auto"/>
              </w:rPr>
              <w:t>Rutgers Plaza</w:t>
            </w:r>
          </w:p>
        </w:tc>
        <w:tc>
          <w:tcPr>
            <w:tcW w:w="2680" w:type="dxa"/>
            <w:vAlign w:val="bottom"/>
            <w:gridSpan w:val="3"/>
          </w:tcPr>
          <w:p>
            <w:pPr>
              <w:ind w:left="320"/>
              <w:spacing w:after="0"/>
              <w:rPr>
                <w:sz w:val="20"/>
                <w:szCs w:val="20"/>
                <w:color w:val="auto"/>
              </w:rPr>
            </w:pPr>
            <w:r>
              <w:rPr>
                <w:rFonts w:ascii="Arial" w:cs="Arial" w:eastAsia="Arial" w:hAnsi="Arial"/>
                <w:sz w:val="17"/>
                <w:szCs w:val="17"/>
                <w:color w:val="auto"/>
              </w:rPr>
              <w:t>Franklin, NJ</w:t>
            </w:r>
          </w:p>
        </w:tc>
        <w:tc>
          <w:tcPr>
            <w:tcW w:w="3680" w:type="dxa"/>
            <w:vAlign w:val="bottom"/>
            <w:gridSpan w:val="2"/>
          </w:tcPr>
          <w:p>
            <w:pPr>
              <w:spacing w:after="0"/>
              <w:rPr>
                <w:sz w:val="20"/>
                <w:szCs w:val="20"/>
                <w:color w:val="auto"/>
              </w:rPr>
            </w:pPr>
            <w:r>
              <w:rPr>
                <w:rFonts w:ascii="Arial" w:cs="Arial" w:eastAsia="Arial" w:hAnsi="Arial"/>
                <w:sz w:val="17"/>
                <w:szCs w:val="17"/>
                <w:color w:val="auto"/>
              </w:rPr>
              <w:t>Grocer re-location and expansion and backfill</w:t>
            </w: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80" w:type="dxa"/>
            <w:vAlign w:val="bottom"/>
            <w:gridSpan w:val="2"/>
          </w:tcPr>
          <w:p>
            <w:pPr>
              <w:ind w:left="200"/>
              <w:spacing w:after="0"/>
              <w:rPr>
                <w:sz w:val="20"/>
                <w:szCs w:val="20"/>
                <w:color w:val="auto"/>
              </w:rPr>
            </w:pPr>
            <w:r>
              <w:rPr>
                <w:rFonts w:ascii="Arial" w:cs="Arial" w:eastAsia="Arial" w:hAnsi="Arial"/>
                <w:sz w:val="17"/>
                <w:szCs w:val="17"/>
                <w:color w:val="auto"/>
              </w:rPr>
              <w:t>of existing grocer space</w:t>
            </w:r>
          </w:p>
        </w:tc>
        <w:tc>
          <w:tcPr>
            <w:tcW w:w="1220" w:type="dxa"/>
            <w:vAlign w:val="bottom"/>
            <w:gridSpan w:val="2"/>
          </w:tcPr>
          <w:p>
            <w:pPr>
              <w:jc w:val="right"/>
              <w:ind w:right="520"/>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1.4</w:t>
            </w:r>
          </w:p>
        </w:tc>
        <w:tc>
          <w:tcPr>
            <w:tcW w:w="5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0.0</w:t>
            </w:r>
          </w:p>
        </w:tc>
      </w:tr>
      <w:tr>
        <w:trPr>
          <w:trHeight w:val="215"/>
        </w:trPr>
        <w:tc>
          <w:tcPr>
            <w:tcW w:w="2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Hauppauge Shopping Center</w:t>
            </w:r>
          </w:p>
        </w:tc>
        <w:tc>
          <w:tcPr>
            <w:tcW w:w="2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Hauppauge, NY</w:t>
            </w:r>
          </w:p>
        </w:tc>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Pad site re-tenanting (restaurant)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107"/>
        </w:trPr>
        <w:tc>
          <w:tcPr>
            <w:tcW w:w="680" w:type="dxa"/>
            <w:vAlign w:val="bottom"/>
          </w:tcPr>
          <w:p>
            <w:pPr>
              <w:spacing w:after="0"/>
              <w:rPr>
                <w:sz w:val="9"/>
                <w:szCs w:val="9"/>
                <w:color w:val="auto"/>
              </w:rPr>
            </w:pPr>
          </w:p>
        </w:tc>
        <w:tc>
          <w:tcPr>
            <w:tcW w:w="200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r>
      <w:tr>
        <w:trPr>
          <w:trHeight w:val="101"/>
        </w:trPr>
        <w:tc>
          <w:tcPr>
            <w:tcW w:w="6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4"/>
        </w:trPr>
        <w:tc>
          <w:tcPr>
            <w:tcW w:w="5040" w:type="dxa"/>
            <w:vAlign w:val="bottom"/>
            <w:gridSpan w:val="5"/>
            <w:shd w:val="clear" w:color="auto" w:fill="CCEEFF"/>
          </w:tcPr>
          <w:p>
            <w:pPr>
              <w:ind w:left="440"/>
              <w:spacing w:after="0"/>
              <w:rPr>
                <w:sz w:val="20"/>
                <w:szCs w:val="20"/>
                <w:color w:val="auto"/>
              </w:rPr>
            </w:pPr>
            <w:r>
              <w:rPr>
                <w:rFonts w:ascii="Arial" w:cs="Arial" w:eastAsia="Arial" w:hAnsi="Arial"/>
                <w:sz w:val="17"/>
                <w:szCs w:val="17"/>
                <w:b w:val="1"/>
                <w:bCs w:val="1"/>
                <w:i w:val="1"/>
                <w:iCs w:val="1"/>
                <w:color w:val="auto"/>
              </w:rPr>
              <w:t>Subtotal: Projects Anticipated to Stabilize in 2005 (3) (4)</w:t>
            </w:r>
          </w:p>
        </w:tc>
        <w:tc>
          <w:tcPr>
            <w:tcW w:w="9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b w:val="1"/>
                <w:bCs w:val="1"/>
                <w:color w:val="auto"/>
              </w:rPr>
              <w:t>13%</w:t>
            </w:r>
          </w:p>
        </w:tc>
        <w:tc>
          <w:tcPr>
            <w:tcW w:w="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19.9</w:t>
            </w:r>
          </w:p>
        </w:tc>
      </w:tr>
      <w:tr>
        <w:trPr>
          <w:trHeight w:val="131"/>
        </w:trPr>
        <w:tc>
          <w:tcPr>
            <w:tcW w:w="680" w:type="dxa"/>
            <w:vAlign w:val="bottom"/>
          </w:tcPr>
          <w:p>
            <w:pPr>
              <w:spacing w:after="0"/>
              <w:rPr>
                <w:sz w:val="11"/>
                <w:szCs w:val="11"/>
                <w:color w:val="auto"/>
              </w:rPr>
            </w:pPr>
          </w:p>
        </w:tc>
        <w:tc>
          <w:tcPr>
            <w:tcW w:w="200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r>
      <w:tr>
        <w:trPr>
          <w:trHeight w:val="104"/>
        </w:trPr>
        <w:tc>
          <w:tcPr>
            <w:tcW w:w="6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214"/>
        </w:trPr>
        <w:tc>
          <w:tcPr>
            <w:tcW w:w="5040" w:type="dxa"/>
            <w:vAlign w:val="bottom"/>
            <w:gridSpan w:val="5"/>
            <w:shd w:val="clear" w:color="auto" w:fill="CCEEFF"/>
          </w:tcPr>
          <w:p>
            <w:pPr>
              <w:spacing w:after="0"/>
              <w:rPr>
                <w:sz w:val="20"/>
                <w:szCs w:val="20"/>
                <w:color w:val="auto"/>
              </w:rPr>
            </w:pPr>
            <w:r>
              <w:rPr>
                <w:rFonts w:ascii="Arial" w:cs="Arial" w:eastAsia="Arial" w:hAnsi="Arial"/>
                <w:sz w:val="17"/>
                <w:szCs w:val="17"/>
                <w:b w:val="1"/>
                <w:bCs w:val="1"/>
                <w:i w:val="1"/>
                <w:iCs w:val="1"/>
                <w:color w:val="auto"/>
              </w:rPr>
              <w:t>Total: Projects Anticipated to Stabilize in 2004 and 2005 (3) (4)</w:t>
            </w:r>
          </w:p>
        </w:tc>
        <w:tc>
          <w:tcPr>
            <w:tcW w:w="9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b w:val="1"/>
                <w:bCs w:val="1"/>
                <w:color w:val="auto"/>
              </w:rPr>
              <w:t>14%</w:t>
            </w:r>
          </w:p>
        </w:tc>
        <w:tc>
          <w:tcPr>
            <w:tcW w:w="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53.3</w:t>
            </w:r>
          </w:p>
        </w:tc>
      </w:tr>
      <w:tr>
        <w:trPr>
          <w:trHeight w:val="131"/>
        </w:trPr>
        <w:tc>
          <w:tcPr>
            <w:tcW w:w="6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-2674620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-2674620</wp:posOffset>
            </wp:positionV>
            <wp:extent cx="381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-2674620</wp:posOffset>
            </wp:positionV>
            <wp:extent cx="3441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4170" cy="2984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-2674620</wp:posOffset>
            </wp:positionV>
            <wp:extent cx="28511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5115" cy="2984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-327025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-327025</wp:posOffset>
            </wp:positionV>
            <wp:extent cx="381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-327025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6645910</wp:posOffset>
            </wp:positionH>
            <wp:positionV relativeFrom="paragraph">
              <wp:posOffset>-327025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-327025</wp:posOffset>
            </wp:positionV>
            <wp:extent cx="2095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-327025</wp:posOffset>
            </wp:positionV>
            <wp:extent cx="28511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5115" cy="2984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-29210</wp:posOffset>
            </wp:positionV>
            <wp:extent cx="381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6645910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-29210</wp:posOffset>
            </wp:positionV>
            <wp:extent cx="2095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7045960</wp:posOffset>
            </wp:positionH>
            <wp:positionV relativeFrom="paragraph">
              <wp:posOffset>-29210</wp:posOffset>
            </wp:positionV>
            <wp:extent cx="2095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217" w:lineRule="exact"/>
        <w:rPr>
          <w:sz w:val="20"/>
          <w:szCs w:val="20"/>
          <w:color w:val="auto"/>
        </w:rPr>
      </w:pPr>
    </w:p>
    <w:p>
      <w:pPr>
        <w:jc w:val="both"/>
        <w:ind w:right="40"/>
        <w:spacing w:after="0" w:line="282" w:lineRule="auto"/>
        <w:rPr>
          <w:sz w:val="20"/>
          <w:szCs w:val="20"/>
          <w:color w:val="auto"/>
        </w:rPr>
      </w:pPr>
      <w:r>
        <w:rPr>
          <w:rFonts w:ascii="Arial" w:cs="Arial" w:eastAsia="Arial" w:hAnsi="Arial"/>
          <w:sz w:val="17"/>
          <w:szCs w:val="17"/>
          <w:b w:val="1"/>
          <w:bCs w:val="1"/>
          <w:color w:val="auto"/>
        </w:rPr>
        <w:t>Anticipated Future Redevelopments Stabilizing After 2005 include the final phase of Bethesda Row, Mercer Mall, Fresh Meadows, Mount Vernon/South Valley, Leesburg Plaza, Houston Street, Rockville Town Square, Santana Row Phase IV and future phases, the Village at Shirlington and Shops at Willow Lawn. (3) (5)</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Santana Row Summary (as of June 30, 2004)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4"/>
          </w:tcPr>
          <w:p>
            <w:pPr>
              <w:jc w:val="right"/>
              <w:ind w:right="840"/>
              <w:spacing w:after="0"/>
              <w:rPr>
                <w:sz w:val="20"/>
                <w:szCs w:val="20"/>
                <w:color w:val="auto"/>
              </w:rPr>
            </w:pPr>
            <w:r>
              <w:rPr>
                <w:rFonts w:ascii="Arial" w:cs="Arial" w:eastAsia="Arial" w:hAnsi="Arial"/>
                <w:sz w:val="13"/>
                <w:szCs w:val="13"/>
                <w:b w:val="1"/>
                <w:bCs w:val="1"/>
                <w:color w:val="auto"/>
                <w:w w:val="93"/>
              </w:rPr>
              <w:t>Retail Summary</w:t>
            </w:r>
          </w:p>
        </w:tc>
        <w:tc>
          <w:tcPr>
            <w:tcW w:w="320" w:type="dxa"/>
            <w:vAlign w:val="bottom"/>
          </w:tcPr>
          <w:p>
            <w:pPr>
              <w:spacing w:after="0"/>
              <w:rPr>
                <w:sz w:val="15"/>
                <w:szCs w:val="15"/>
                <w:color w:val="auto"/>
              </w:rPr>
            </w:pPr>
          </w:p>
        </w:tc>
        <w:tc>
          <w:tcPr>
            <w:tcW w:w="2200" w:type="dxa"/>
            <w:vAlign w:val="bottom"/>
            <w:gridSpan w:val="5"/>
          </w:tcPr>
          <w:p>
            <w:pPr>
              <w:ind w:left="160"/>
              <w:spacing w:after="0"/>
              <w:rPr>
                <w:sz w:val="20"/>
                <w:szCs w:val="20"/>
                <w:color w:val="auto"/>
              </w:rPr>
            </w:pPr>
            <w:r>
              <w:rPr>
                <w:rFonts w:ascii="Arial" w:cs="Arial" w:eastAsia="Arial" w:hAnsi="Arial"/>
                <w:sz w:val="13"/>
                <w:szCs w:val="13"/>
                <w:b w:val="1"/>
                <w:bCs w:val="1"/>
                <w:color w:val="auto"/>
              </w:rPr>
              <w:t>Residential Summary</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7"/>
          </w:tcPr>
          <w:p>
            <w:pPr>
              <w:ind w:left="80"/>
              <w:spacing w:after="0"/>
              <w:rPr>
                <w:sz w:val="20"/>
                <w:szCs w:val="20"/>
                <w:color w:val="auto"/>
              </w:rPr>
            </w:pPr>
            <w:r>
              <w:rPr>
                <w:rFonts w:ascii="Arial" w:cs="Arial" w:eastAsia="Arial" w:hAnsi="Arial"/>
                <w:sz w:val="13"/>
                <w:szCs w:val="13"/>
                <w:b w:val="1"/>
                <w:bCs w:val="1"/>
                <w:color w:val="auto"/>
              </w:rPr>
              <w:t>Financial Summary ($ millions)</w:t>
            </w:r>
          </w:p>
        </w:tc>
      </w:tr>
      <w:tr>
        <w:trPr>
          <w:trHeight w:val="94"/>
        </w:trPr>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235"/>
        </w:trPr>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Anticipated</w:t>
            </w:r>
          </w:p>
        </w:tc>
        <w:tc>
          <w:tcPr>
            <w:tcW w:w="920" w:type="dxa"/>
            <w:vAlign w:val="bottom"/>
          </w:tcPr>
          <w:p>
            <w:pPr>
              <w:spacing w:after="0"/>
              <w:rPr>
                <w:sz w:val="20"/>
                <w:szCs w:val="20"/>
                <w:color w:val="auto"/>
              </w:rPr>
            </w:pPr>
          </w:p>
        </w:tc>
      </w:tr>
      <w:tr>
        <w:trPr>
          <w:trHeight w:val="147"/>
        </w:trPr>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2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6"/>
              </w:rPr>
              <w:t>Total</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Projected</w:t>
            </w:r>
          </w:p>
        </w:tc>
        <w:tc>
          <w:tcPr>
            <w:tcW w:w="80" w:type="dxa"/>
            <w:vAlign w:val="bottom"/>
          </w:tcPr>
          <w:p>
            <w:pPr>
              <w:spacing w:after="0"/>
              <w:rPr>
                <w:sz w:val="12"/>
                <w:szCs w:val="12"/>
                <w:color w:val="auto"/>
              </w:rPr>
            </w:pPr>
          </w:p>
        </w:tc>
        <w:tc>
          <w:tcPr>
            <w:tcW w:w="5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Cost to</w:t>
            </w:r>
          </w:p>
        </w:tc>
        <w:tc>
          <w:tcPr>
            <w:tcW w:w="100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2"/>
              </w:rPr>
              <w:t>Stabilized</w:t>
            </w:r>
          </w:p>
        </w:tc>
        <w:tc>
          <w:tcPr>
            <w:tcW w:w="920" w:type="dxa"/>
            <w:vAlign w:val="bottom"/>
          </w:tcPr>
          <w:p>
            <w:pPr>
              <w:jc w:val="right"/>
              <w:ind w:right="40"/>
              <w:spacing w:after="0" w:line="148" w:lineRule="exact"/>
              <w:rPr>
                <w:sz w:val="20"/>
                <w:szCs w:val="20"/>
                <w:color w:val="auto"/>
              </w:rPr>
            </w:pPr>
            <w:r>
              <w:rPr>
                <w:rFonts w:ascii="Arial" w:cs="Arial" w:eastAsia="Arial" w:hAnsi="Arial"/>
                <w:sz w:val="13"/>
                <w:szCs w:val="13"/>
                <w:b w:val="1"/>
                <w:bCs w:val="1"/>
                <w:color w:val="auto"/>
              </w:rPr>
              <w:t>Anticipated</w:t>
            </w:r>
          </w:p>
        </w:tc>
      </w:tr>
      <w:tr>
        <w:trPr>
          <w:trHeight w:val="173"/>
        </w:trPr>
        <w:tc>
          <w:tcPr>
            <w:tcW w:w="340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c>
          <w:tcPr>
            <w:tcW w:w="5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Stores</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91"/>
              </w:rPr>
              <w:t>Square Feet</w:t>
            </w:r>
          </w:p>
        </w:tc>
        <w:tc>
          <w:tcPr>
            <w:tcW w:w="16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3"/>
              </w:rPr>
              <w:t>% Leased</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92"/>
              </w:rPr>
              <w:t>Units</w:t>
            </w:r>
          </w:p>
        </w:tc>
        <w:tc>
          <w:tcPr>
            <w:tcW w:w="160" w:type="dxa"/>
            <w:vAlign w:val="bottom"/>
          </w:tcPr>
          <w:p>
            <w:pPr>
              <w:spacing w:after="0"/>
              <w:rPr>
                <w:sz w:val="15"/>
                <w:szCs w:val="15"/>
                <w:color w:val="auto"/>
              </w:rPr>
            </w:pPr>
          </w:p>
        </w:tc>
        <w:tc>
          <w:tcPr>
            <w:tcW w:w="1140" w:type="dxa"/>
            <w:vAlign w:val="bottom"/>
            <w:gridSpan w:val="2"/>
          </w:tcPr>
          <w:p>
            <w:pPr>
              <w:ind w:left="260"/>
              <w:spacing w:after="0"/>
              <w:rPr>
                <w:sz w:val="20"/>
                <w:szCs w:val="20"/>
                <w:color w:val="auto"/>
              </w:rPr>
            </w:pPr>
            <w:r>
              <w:rPr>
                <w:rFonts w:ascii="Arial" w:cs="Arial" w:eastAsia="Arial" w:hAnsi="Arial"/>
                <w:sz w:val="13"/>
                <w:szCs w:val="13"/>
                <w:b w:val="1"/>
                <w:bCs w:val="1"/>
                <w:color w:val="auto"/>
              </w:rPr>
              <w:t>Rent (6)</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3"/>
              </w:rPr>
              <w:t>% Leased</w:t>
            </w:r>
          </w:p>
        </w:tc>
        <w:tc>
          <w:tcPr>
            <w:tcW w:w="12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5"/>
                <w:szCs w:val="15"/>
                <w:color w:val="auto"/>
              </w:rPr>
            </w:pPr>
          </w:p>
        </w:tc>
        <w:tc>
          <w:tcPr>
            <w:tcW w:w="580" w:type="dxa"/>
            <w:vAlign w:val="bottom"/>
            <w:gridSpan w:val="3"/>
          </w:tcPr>
          <w:p>
            <w:pPr>
              <w:ind w:left="80"/>
              <w:spacing w:after="0"/>
              <w:rPr>
                <w:sz w:val="20"/>
                <w:szCs w:val="20"/>
                <w:color w:val="auto"/>
              </w:rPr>
            </w:pPr>
            <w:r>
              <w:rPr>
                <w:rFonts w:ascii="Arial" w:cs="Arial" w:eastAsia="Arial" w:hAnsi="Arial"/>
                <w:sz w:val="13"/>
                <w:szCs w:val="13"/>
                <w:b w:val="1"/>
                <w:bCs w:val="1"/>
                <w:color w:val="auto"/>
              </w:rPr>
              <w:t>Date</w:t>
            </w: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Yield (7)</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w w:val="93"/>
              </w:rPr>
              <w:t>Stabilization (3)</w:t>
            </w:r>
          </w:p>
        </w:tc>
      </w:tr>
      <w:tr>
        <w:trPr>
          <w:trHeight w:val="94"/>
        </w:trPr>
        <w:tc>
          <w:tcPr>
            <w:tcW w:w="9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101"/>
        </w:trPr>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14"/>
        </w:trPr>
        <w:tc>
          <w:tcPr>
            <w:tcW w:w="34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6"/>
              </w:rPr>
              <w:t>Phase I - Retail, residential and Hotel Valencia</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444,549</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88%</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9"/>
              </w:rPr>
              <w:t>$ 1.67 - $2.96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443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w:t>
            </w:r>
          </w:p>
        </w:tc>
      </w:tr>
      <w:tr>
        <w:trPr>
          <w:trHeight w:val="214"/>
        </w:trPr>
        <w:tc>
          <w:tcPr>
            <w:tcW w:w="3400" w:type="dxa"/>
            <w:vAlign w:val="bottom"/>
            <w:gridSpan w:val="3"/>
          </w:tcPr>
          <w:p>
            <w:pPr>
              <w:spacing w:after="0"/>
              <w:rPr>
                <w:sz w:val="20"/>
                <w:szCs w:val="20"/>
                <w:color w:val="auto"/>
              </w:rPr>
            </w:pPr>
            <w:r>
              <w:rPr>
                <w:rFonts w:ascii="Arial" w:cs="Arial" w:eastAsia="Arial" w:hAnsi="Arial"/>
                <w:sz w:val="17"/>
                <w:szCs w:val="17"/>
                <w:color w:val="auto"/>
              </w:rPr>
              <w:t>Phase II - Best Buy and The Container Store</w:t>
            </w:r>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83,991</w:t>
            </w:r>
          </w:p>
        </w:tc>
        <w:tc>
          <w:tcPr>
            <w:tcW w:w="1060" w:type="dxa"/>
            <w:vAlign w:val="bottom"/>
            <w:gridSpan w:val="3"/>
          </w:tcPr>
          <w:p>
            <w:pPr>
              <w:jc w:val="right"/>
              <w:ind w:right="180"/>
              <w:spacing w:after="0"/>
              <w:rPr>
                <w:sz w:val="20"/>
                <w:szCs w:val="20"/>
                <w:color w:val="auto"/>
              </w:rPr>
            </w:pPr>
            <w:r>
              <w:rPr>
                <w:rFonts w:ascii="Arial" w:cs="Arial" w:eastAsia="Arial" w:hAnsi="Arial"/>
                <w:sz w:val="17"/>
                <w:szCs w:val="17"/>
                <w:color w:val="auto"/>
              </w:rPr>
              <w:t>100%</w:t>
            </w:r>
          </w:p>
        </w:tc>
        <w:tc>
          <w:tcPr>
            <w:tcW w:w="32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7"/>
                <w:szCs w:val="17"/>
                <w:color w:val="auto"/>
              </w:rPr>
              <w:t>n/a</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17%</w:t>
            </w:r>
          </w:p>
        </w:tc>
        <w:tc>
          <w:tcPr>
            <w:tcW w:w="920" w:type="dxa"/>
            <w:vAlign w:val="bottom"/>
          </w:tcPr>
          <w:p>
            <w:pPr>
              <w:jc w:val="right"/>
              <w:spacing w:after="0"/>
              <w:rPr>
                <w:sz w:val="20"/>
                <w:szCs w:val="20"/>
                <w:color w:val="auto"/>
              </w:rPr>
            </w:pPr>
            <w:r>
              <w:rPr>
                <w:rFonts w:ascii="Arial" w:cs="Arial" w:eastAsia="Arial" w:hAnsi="Arial"/>
                <w:sz w:val="17"/>
                <w:szCs w:val="17"/>
                <w:color w:val="auto"/>
              </w:rPr>
              <w:t>2004</w:t>
            </w:r>
          </w:p>
        </w:tc>
      </w:tr>
      <w:tr>
        <w:trPr>
          <w:trHeight w:val="214"/>
        </w:trPr>
        <w:tc>
          <w:tcPr>
            <w:tcW w:w="3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Phase III - CineArts theater building</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28,525</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n/a</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r>
      <w:tr>
        <w:trPr>
          <w:trHeight w:val="221"/>
        </w:trPr>
        <w:tc>
          <w:tcPr>
            <w:tcW w:w="3400" w:type="dxa"/>
            <w:vAlign w:val="bottom"/>
            <w:gridSpan w:val="3"/>
          </w:tcPr>
          <w:p>
            <w:pPr>
              <w:spacing w:after="0"/>
              <w:rPr>
                <w:sz w:val="20"/>
                <w:szCs w:val="20"/>
                <w:color w:val="auto"/>
              </w:rPr>
            </w:pPr>
            <w:r>
              <w:rPr>
                <w:rFonts w:ascii="Arial" w:cs="Arial" w:eastAsia="Arial" w:hAnsi="Arial"/>
                <w:sz w:val="17"/>
                <w:szCs w:val="17"/>
                <w:color w:val="auto"/>
              </w:rPr>
              <w:t>Phase IV - Building 7 residential re-build</w:t>
            </w:r>
          </w:p>
        </w:tc>
        <w:tc>
          <w:tcPr>
            <w:tcW w:w="52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n/a</w:t>
            </w:r>
          </w:p>
        </w:tc>
        <w:tc>
          <w:tcPr>
            <w:tcW w:w="320" w:type="dxa"/>
            <w:vAlign w:val="bottom"/>
          </w:tcPr>
          <w:p>
            <w:pPr>
              <w:jc w:val="right"/>
              <w:spacing w:after="0"/>
              <w:rPr>
                <w:sz w:val="20"/>
                <w:szCs w:val="20"/>
                <w:color w:val="auto"/>
              </w:rPr>
            </w:pPr>
            <w:r>
              <w:rPr>
                <w:rFonts w:ascii="Arial" w:cs="Arial" w:eastAsia="Arial" w:hAnsi="Arial"/>
                <w:sz w:val="17"/>
                <w:szCs w:val="17"/>
                <w:color w:val="auto"/>
              </w:rPr>
              <w:t>256</w:t>
            </w:r>
          </w:p>
        </w:tc>
        <w:tc>
          <w:tcPr>
            <w:tcW w:w="1120" w:type="dxa"/>
            <w:vAlign w:val="bottom"/>
            <w:gridSpan w:val="2"/>
          </w:tcPr>
          <w:p>
            <w:pPr>
              <w:ind w:left="160"/>
              <w:spacing w:after="0"/>
              <w:rPr>
                <w:sz w:val="20"/>
                <w:szCs w:val="20"/>
                <w:color w:val="auto"/>
              </w:rPr>
            </w:pPr>
            <w:r>
              <w:rPr>
                <w:rFonts w:ascii="Arial" w:cs="Arial" w:eastAsia="Arial" w:hAnsi="Arial"/>
                <w:sz w:val="17"/>
                <w:szCs w:val="17"/>
                <w:color w:val="auto"/>
                <w:w w:val="89"/>
              </w:rPr>
              <w:t>$ 2.05 - $2.39</w:t>
            </w:r>
          </w:p>
        </w:tc>
        <w:tc>
          <w:tcPr>
            <w:tcW w:w="1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11%</w:t>
            </w:r>
          </w:p>
        </w:tc>
        <w:tc>
          <w:tcPr>
            <w:tcW w:w="920" w:type="dxa"/>
            <w:vAlign w:val="bottom"/>
          </w:tcPr>
          <w:p>
            <w:pPr>
              <w:jc w:val="right"/>
              <w:spacing w:after="0"/>
              <w:rPr>
                <w:sz w:val="20"/>
                <w:szCs w:val="20"/>
                <w:color w:val="auto"/>
              </w:rPr>
            </w:pPr>
            <w:r>
              <w:rPr>
                <w:rFonts w:ascii="Arial" w:cs="Arial" w:eastAsia="Arial" w:hAnsi="Arial"/>
                <w:sz w:val="17"/>
                <w:szCs w:val="17"/>
                <w:color w:val="auto"/>
              </w:rPr>
              <w:t>2006</w:t>
            </w:r>
          </w:p>
        </w:tc>
      </w:tr>
      <w:tr>
        <w:trPr>
          <w:trHeight w:val="100"/>
        </w:trPr>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101"/>
        </w:trPr>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14"/>
        </w:trPr>
        <w:tc>
          <w:tcPr>
            <w:tcW w:w="34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557,065</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90%</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99%</w:t>
            </w:r>
          </w:p>
        </w:tc>
        <w:tc>
          <w:tcPr>
            <w:tcW w:w="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484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6.2%</w:t>
            </w:r>
          </w:p>
        </w:tc>
        <w:tc>
          <w:tcPr>
            <w:tcW w:w="920" w:type="dxa"/>
            <w:vAlign w:val="bottom"/>
            <w:shd w:val="clear" w:color="auto" w:fill="CCEEFF"/>
          </w:tcPr>
          <w:p>
            <w:pPr>
              <w:spacing w:after="0"/>
              <w:rPr>
                <w:sz w:val="18"/>
                <w:szCs w:val="18"/>
                <w:color w:val="auto"/>
              </w:rPr>
            </w:pPr>
          </w:p>
        </w:tc>
      </w:tr>
      <w:tr>
        <w:trPr>
          <w:trHeight w:val="131"/>
        </w:trPr>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1"/>
        </w:trPr>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2384425</wp:posOffset>
            </wp:positionH>
            <wp:positionV relativeFrom="paragraph">
              <wp:posOffset>-171450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2163445</wp:posOffset>
            </wp:positionH>
            <wp:positionV relativeFrom="paragraph">
              <wp:posOffset>-171450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-171450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-171450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-171450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3404870</wp:posOffset>
            </wp:positionH>
            <wp:positionV relativeFrom="paragraph">
              <wp:posOffset>-171450</wp:posOffset>
            </wp:positionV>
            <wp:extent cx="381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-171450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-171450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-171450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5004435</wp:posOffset>
            </wp:positionH>
            <wp:positionV relativeFrom="paragraph">
              <wp:posOffset>-171450</wp:posOffset>
            </wp:positionV>
            <wp:extent cx="381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-171450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-171450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-171450</wp:posOffset>
            </wp:positionV>
            <wp:extent cx="2095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5668010</wp:posOffset>
            </wp:positionH>
            <wp:positionV relativeFrom="paragraph">
              <wp:posOffset>-171450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-171450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5744210</wp:posOffset>
            </wp:positionH>
            <wp:positionV relativeFrom="paragraph">
              <wp:posOffset>-171450</wp:posOffset>
            </wp:positionV>
            <wp:extent cx="2095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-171450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6450330</wp:posOffset>
            </wp:positionH>
            <wp:positionV relativeFrom="paragraph">
              <wp:posOffset>-171450</wp:posOffset>
            </wp:positionV>
            <wp:extent cx="381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Notes:</w:t>
      </w:r>
    </w:p>
    <w:p>
      <w:pPr>
        <w:spacing w:after="0" w:line="26" w:lineRule="exact"/>
        <w:rPr>
          <w:sz w:val="20"/>
          <w:szCs w:val="20"/>
          <w:color w:val="auto"/>
        </w:rPr>
      </w:pPr>
    </w:p>
    <w:p>
      <w:pPr>
        <w:ind w:left="460" w:right="320" w:hanging="453"/>
        <w:spacing w:after="0" w:line="263" w:lineRule="auto"/>
        <w:tabs>
          <w:tab w:leader="none" w:pos="46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There is no guaranty that the Trust will ultimately complete any or all of these redevelopment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460" w:right="80" w:hanging="453"/>
        <w:spacing w:after="0" w:line="279" w:lineRule="auto"/>
        <w:tabs>
          <w:tab w:leader="none" w:pos="46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previously being paid for the redevelopment space or space taken out of service as a result of the redevelopment. Projected ROI does NOT include peripheral impacts, such as the impact on future lease rollovers at the property or the impact on the long-term value of the property.</w:t>
      </w:r>
    </w:p>
    <w:p>
      <w:pPr>
        <w:spacing w:after="0" w:line="1" w:lineRule="exact"/>
        <w:rPr>
          <w:rFonts w:ascii="Arial" w:cs="Arial" w:eastAsia="Arial" w:hAnsi="Arial"/>
          <w:sz w:val="16"/>
          <w:szCs w:val="16"/>
          <w:b w:val="1"/>
          <w:bCs w:val="1"/>
          <w:i w:val="1"/>
          <w:iCs w:val="1"/>
          <w:color w:val="auto"/>
        </w:rPr>
      </w:pPr>
    </w:p>
    <w:p>
      <w:pPr>
        <w:ind w:left="460" w:hanging="453"/>
        <w:spacing w:after="0"/>
        <w:tabs>
          <w:tab w:leader="none" w:pos="46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Anticipated Stabilization is the year in which 95% occupancy of the redeveloped space is anticipated to be achieved.</w:t>
      </w:r>
    </w:p>
    <w:p>
      <w:pPr>
        <w:spacing w:after="0" w:line="18" w:lineRule="exact"/>
        <w:rPr>
          <w:rFonts w:ascii="Arial" w:cs="Arial" w:eastAsia="Arial" w:hAnsi="Arial"/>
          <w:sz w:val="17"/>
          <w:szCs w:val="17"/>
          <w:b w:val="1"/>
          <w:bCs w:val="1"/>
          <w:i w:val="1"/>
          <w:iCs w:val="1"/>
          <w:color w:val="auto"/>
        </w:rPr>
      </w:pPr>
    </w:p>
    <w:p>
      <w:pPr>
        <w:ind w:left="460" w:hanging="453"/>
        <w:spacing w:after="0"/>
        <w:tabs>
          <w:tab w:leader="none" w:pos="46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All subtotals and totals reflect cost weighted-average ROIs.</w:t>
      </w:r>
    </w:p>
    <w:p>
      <w:pPr>
        <w:sectPr>
          <w:pgSz w:w="11900" w:h="16838" w:orient="portrait"/>
          <w:cols w:equalWidth="0" w:num="1">
            <w:col w:w="11420"/>
          </w:cols>
          <w:pgMar w:left="240" w:top="272" w:right="239" w:bottom="0" w:gutter="0" w:footer="0" w:header="0"/>
        </w:sectPr>
      </w:pPr>
    </w:p>
    <w:bookmarkStart w:id="17" w:name="page18"/>
    <w:bookmarkEnd w:id="17"/>
    <w:p>
      <w:pPr>
        <w:ind w:left="453" w:right="60" w:hanging="453"/>
        <w:spacing w:after="0" w:line="267" w:lineRule="auto"/>
        <w:tabs>
          <w:tab w:leader="none" w:pos="453"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These future redevelopment opportunities are being explored by the Trust. There is no guaranty that the Trust will ultimately pursue or complete any or all of these opportunities.</w:t>
      </w:r>
    </w:p>
    <w:p>
      <w:pPr>
        <w:jc w:val="both"/>
        <w:ind w:left="453" w:hanging="453"/>
        <w:spacing w:after="0" w:line="263" w:lineRule="auto"/>
        <w:tabs>
          <w:tab w:leader="none" w:pos="453"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Range of gross rents. Market conditions have generally not required concessions on renewals, but have required concessions of up to one month on new 12 month leases. Overall average gross rent for Phase I is $2.05 per square foot per month and $2.21 per square foot per month for Phase IV. The range of rents above reflect the size and type of residential offerings for each phase.</w:t>
      </w:r>
    </w:p>
    <w:p>
      <w:pPr>
        <w:ind w:left="453" w:hanging="453"/>
        <w:spacing w:after="0"/>
        <w:tabs>
          <w:tab w:leader="none" w:pos="453"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Calculated as stabilized Property Operating Income (POI) divided by cost.</w:t>
      </w:r>
    </w:p>
    <w:p>
      <w:pPr>
        <w:sectPr>
          <w:pgSz w:w="11900" w:h="16838" w:orient="portrait"/>
          <w:cols w:equalWidth="0" w:num="1">
            <w:col w:w="11373"/>
          </w:cols>
          <w:pgMar w:left="247" w:top="131" w:right="27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2004 Acquisitions and Dispositions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June 30, 2004</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Acquisitions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center"/>
              <w:ind w:right="820"/>
              <w:spacing w:after="0"/>
              <w:rPr>
                <w:sz w:val="20"/>
                <w:szCs w:val="20"/>
                <w:color w:val="auto"/>
              </w:rPr>
            </w:pPr>
            <w:r>
              <w:rPr>
                <w:rFonts w:ascii="Arial" w:cs="Arial" w:eastAsia="Arial" w:hAnsi="Arial"/>
                <w:sz w:val="13"/>
                <w:szCs w:val="13"/>
                <w:b w:val="1"/>
                <w:bCs w:val="1"/>
                <w:color w:val="auto"/>
                <w:w w:val="88"/>
              </w:rPr>
              <w:t>Purchase</w:t>
            </w:r>
          </w:p>
        </w:tc>
        <w:tc>
          <w:tcPr>
            <w:tcW w:w="88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73"/>
        </w:trPr>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1940" w:type="dxa"/>
            <w:vAlign w:val="bottom"/>
            <w:gridSpan w:val="3"/>
          </w:tcPr>
          <w:p>
            <w:pPr>
              <w:ind w:left="680"/>
              <w:spacing w:after="0"/>
              <w:rPr>
                <w:sz w:val="20"/>
                <w:szCs w:val="20"/>
                <w:color w:val="auto"/>
              </w:rPr>
            </w:pPr>
            <w:r>
              <w:rPr>
                <w:rFonts w:ascii="Arial" w:cs="Arial" w:eastAsia="Arial" w:hAnsi="Arial"/>
                <w:sz w:val="13"/>
                <w:szCs w:val="13"/>
                <w:b w:val="1"/>
                <w:bCs w:val="1"/>
                <w:color w:val="auto"/>
              </w:rPr>
              <w:t>Property</w:t>
            </w:r>
          </w:p>
        </w:tc>
        <w:tc>
          <w:tcPr>
            <w:tcW w:w="2100" w:type="dxa"/>
            <w:vAlign w:val="bottom"/>
            <w:gridSpan w:val="3"/>
          </w:tcPr>
          <w:p>
            <w:pPr>
              <w:ind w:left="240"/>
              <w:spacing w:after="0"/>
              <w:rPr>
                <w:sz w:val="20"/>
                <w:szCs w:val="20"/>
                <w:color w:val="auto"/>
              </w:rPr>
            </w:pPr>
            <w:r>
              <w:rPr>
                <w:rFonts w:ascii="Arial" w:cs="Arial" w:eastAsia="Arial" w:hAnsi="Arial"/>
                <w:sz w:val="13"/>
                <w:szCs w:val="13"/>
                <w:b w:val="1"/>
                <w:bCs w:val="1"/>
                <w:color w:val="auto"/>
              </w:rPr>
              <w:t>City / State</w:t>
            </w:r>
          </w:p>
        </w:tc>
        <w:tc>
          <w:tcPr>
            <w:tcW w:w="1220" w:type="dxa"/>
            <w:vAlign w:val="bottom"/>
            <w:gridSpan w:val="3"/>
          </w:tcPr>
          <w:p>
            <w:pPr>
              <w:ind w:left="220"/>
              <w:spacing w:after="0"/>
              <w:rPr>
                <w:sz w:val="20"/>
                <w:szCs w:val="20"/>
                <w:color w:val="auto"/>
              </w:rPr>
            </w:pPr>
            <w:r>
              <w:rPr>
                <w:rFonts w:ascii="Arial" w:cs="Arial" w:eastAsia="Arial" w:hAnsi="Arial"/>
                <w:sz w:val="13"/>
                <w:szCs w:val="13"/>
                <w:b w:val="1"/>
                <w:bCs w:val="1"/>
                <w:color w:val="auto"/>
              </w:rPr>
              <w:t>GLA</w:t>
            </w:r>
          </w:p>
        </w:tc>
        <w:tc>
          <w:tcPr>
            <w:tcW w:w="140" w:type="dxa"/>
            <w:vAlign w:val="bottom"/>
          </w:tcPr>
          <w:p>
            <w:pPr>
              <w:spacing w:after="0"/>
              <w:rPr>
                <w:sz w:val="15"/>
                <w:szCs w:val="15"/>
                <w:color w:val="auto"/>
              </w:rPr>
            </w:pPr>
          </w:p>
        </w:tc>
        <w:tc>
          <w:tcPr>
            <w:tcW w:w="1420" w:type="dxa"/>
            <w:vAlign w:val="bottom"/>
            <w:gridSpan w:val="3"/>
          </w:tcPr>
          <w:p>
            <w:pPr>
              <w:jc w:val="center"/>
              <w:ind w:right="820"/>
              <w:spacing w:after="0"/>
              <w:rPr>
                <w:sz w:val="20"/>
                <w:szCs w:val="20"/>
                <w:color w:val="auto"/>
              </w:rPr>
            </w:pPr>
            <w:r>
              <w:rPr>
                <w:rFonts w:ascii="Arial" w:cs="Arial" w:eastAsia="Arial" w:hAnsi="Arial"/>
                <w:sz w:val="13"/>
                <w:szCs w:val="13"/>
                <w:b w:val="1"/>
                <w:bCs w:val="1"/>
                <w:color w:val="auto"/>
                <w:w w:val="89"/>
              </w:rPr>
              <w:t>price</w:t>
            </w:r>
          </w:p>
        </w:tc>
        <w:tc>
          <w:tcPr>
            <w:tcW w:w="3420" w:type="dxa"/>
            <w:vAlign w:val="bottom"/>
            <w:gridSpan w:val="2"/>
          </w:tcPr>
          <w:p>
            <w:pPr>
              <w:spacing w:after="0"/>
              <w:rPr>
                <w:sz w:val="20"/>
                <w:szCs w:val="20"/>
                <w:color w:val="auto"/>
              </w:rPr>
            </w:pPr>
            <w:r>
              <w:rPr>
                <w:rFonts w:ascii="Arial" w:cs="Arial" w:eastAsia="Arial" w:hAnsi="Arial"/>
                <w:sz w:val="13"/>
                <w:szCs w:val="13"/>
                <w:b w:val="1"/>
                <w:bCs w:val="1"/>
                <w:color w:val="auto"/>
              </w:rPr>
              <w:t>Anchor tenants</w:t>
            </w:r>
          </w:p>
        </w:tc>
      </w:tr>
      <w:tr>
        <w:trPr>
          <w:trHeight w:val="94"/>
        </w:trPr>
        <w:tc>
          <w:tcPr>
            <w:tcW w:w="2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r>
      <w:tr>
        <w:trPr>
          <w:trHeight w:val="248"/>
        </w:trPr>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gridSpan w:val="4"/>
          </w:tcPr>
          <w:p>
            <w:pPr>
              <w:jc w:val="center"/>
              <w:ind w:right="680"/>
              <w:spacing w:after="0"/>
              <w:rPr>
                <w:sz w:val="20"/>
                <w:szCs w:val="20"/>
                <w:color w:val="auto"/>
              </w:rPr>
            </w:pPr>
            <w:r>
              <w:rPr>
                <w:rFonts w:ascii="Arial" w:cs="Arial" w:eastAsia="Arial" w:hAnsi="Arial"/>
                <w:sz w:val="13"/>
                <w:szCs w:val="13"/>
                <w:b w:val="1"/>
                <w:bCs w:val="1"/>
                <w:color w:val="auto"/>
                <w:w w:val="89"/>
              </w:rPr>
              <w:t>(in thousands)</w:t>
            </w:r>
          </w:p>
        </w:tc>
        <w:tc>
          <w:tcPr>
            <w:tcW w:w="88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06"/>
        </w:trPr>
        <w:tc>
          <w:tcPr>
            <w:tcW w:w="118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8"/>
              </w:rPr>
              <w:t>March 31, 2004</w:t>
            </w:r>
          </w:p>
        </w:tc>
        <w:tc>
          <w:tcPr>
            <w:tcW w:w="194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Westgate Mall</w:t>
            </w:r>
          </w:p>
        </w:tc>
        <w:tc>
          <w:tcPr>
            <w:tcW w:w="210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San Jose, CA</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637,211</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97,000</w:t>
            </w:r>
          </w:p>
        </w:tc>
        <w:tc>
          <w:tcPr>
            <w:tcW w:w="66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Target, Safeway, Burlington Coat Factory, Ross</w:t>
            </w:r>
          </w:p>
        </w:tc>
      </w:tr>
      <w:tr>
        <w:trPr>
          <w:trHeight w:val="223"/>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Dress for Less, Nordstrom Rack</w:t>
            </w:r>
          </w:p>
        </w:tc>
      </w:tr>
      <w:tr>
        <w:trPr>
          <w:trHeight w:val="107"/>
        </w:trPr>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540" w:type="dxa"/>
            <w:vAlign w:val="bottom"/>
          </w:tcPr>
          <w:p>
            <w:pPr>
              <w:spacing w:after="0"/>
              <w:rPr>
                <w:sz w:val="9"/>
                <w:szCs w:val="9"/>
                <w:color w:val="auto"/>
              </w:rPr>
            </w:pPr>
          </w:p>
        </w:tc>
      </w:tr>
      <w:tr>
        <w:trPr>
          <w:trHeight w:val="101"/>
        </w:trPr>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214"/>
        </w:trPr>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637,211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97,000</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r>
      <w:tr>
        <w:trPr>
          <w:trHeight w:val="131"/>
        </w:trPr>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425"/>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94"/>
        </w:trPr>
        <w:tc>
          <w:tcPr>
            <w:tcW w:w="1180" w:type="dxa"/>
            <w:vAlign w:val="bottom"/>
            <w:gridSpan w:val="3"/>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Dispositions</w:t>
            </w:r>
          </w:p>
        </w:tc>
        <w:tc>
          <w:tcPr>
            <w:tcW w:w="6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r>
      <w:tr>
        <w:trPr>
          <w:trHeight w:val="375"/>
        </w:trPr>
        <w:tc>
          <w:tcPr>
            <w:tcW w:w="9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Date</w:t>
            </w:r>
          </w:p>
        </w:tc>
        <w:tc>
          <w:tcPr>
            <w:tcW w:w="28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gridSpan w:val="3"/>
          </w:tcPr>
          <w:p>
            <w:pPr>
              <w:ind w:left="680"/>
              <w:spacing w:after="0"/>
              <w:rPr>
                <w:sz w:val="20"/>
                <w:szCs w:val="20"/>
                <w:color w:val="auto"/>
              </w:rPr>
            </w:pPr>
            <w:r>
              <w:rPr>
                <w:rFonts w:ascii="Arial" w:cs="Arial" w:eastAsia="Arial" w:hAnsi="Arial"/>
                <w:sz w:val="13"/>
                <w:szCs w:val="13"/>
                <w:b w:val="1"/>
                <w:bCs w:val="1"/>
                <w:color w:val="auto"/>
              </w:rPr>
              <w:t>Property</w:t>
            </w:r>
          </w:p>
        </w:tc>
        <w:tc>
          <w:tcPr>
            <w:tcW w:w="2100" w:type="dxa"/>
            <w:vAlign w:val="bottom"/>
            <w:tcBorders>
              <w:top w:val="single" w:sz="8" w:color="CCEEFF"/>
            </w:tcBorders>
            <w:gridSpan w:val="3"/>
          </w:tcPr>
          <w:p>
            <w:pPr>
              <w:ind w:left="240"/>
              <w:spacing w:after="0"/>
              <w:rPr>
                <w:sz w:val="20"/>
                <w:szCs w:val="20"/>
                <w:color w:val="auto"/>
              </w:rPr>
            </w:pPr>
            <w:r>
              <w:rPr>
                <w:rFonts w:ascii="Arial" w:cs="Arial" w:eastAsia="Arial" w:hAnsi="Arial"/>
                <w:sz w:val="13"/>
                <w:szCs w:val="13"/>
                <w:b w:val="1"/>
                <w:bCs w:val="1"/>
                <w:color w:val="auto"/>
              </w:rPr>
              <w:t>City / State</w:t>
            </w:r>
          </w:p>
        </w:tc>
        <w:tc>
          <w:tcPr>
            <w:tcW w:w="1220" w:type="dxa"/>
            <w:vAlign w:val="bottom"/>
            <w:tcBorders>
              <w:top w:val="single" w:sz="8" w:color="CCEEFF"/>
            </w:tcBorders>
            <w:gridSpan w:val="3"/>
          </w:tcPr>
          <w:p>
            <w:pPr>
              <w:spacing w:after="0"/>
              <w:rPr>
                <w:sz w:val="20"/>
                <w:szCs w:val="20"/>
                <w:color w:val="auto"/>
              </w:rPr>
            </w:pPr>
            <w:r>
              <w:rPr>
                <w:rFonts w:ascii="Arial" w:cs="Arial" w:eastAsia="Arial" w:hAnsi="Arial"/>
                <w:sz w:val="13"/>
                <w:szCs w:val="13"/>
                <w:b w:val="1"/>
                <w:bCs w:val="1"/>
                <w:color w:val="auto"/>
              </w:rPr>
              <w:t>GLA</w:t>
            </w:r>
          </w:p>
        </w:tc>
        <w:tc>
          <w:tcPr>
            <w:tcW w:w="1560" w:type="dxa"/>
            <w:vAlign w:val="bottom"/>
            <w:tcBorders>
              <w:top w:val="single" w:sz="8" w:color="CCEEFF"/>
            </w:tcBorders>
            <w:gridSpan w:val="4"/>
          </w:tcPr>
          <w:p>
            <w:pPr>
              <w:spacing w:after="0"/>
              <w:rPr>
                <w:sz w:val="20"/>
                <w:szCs w:val="20"/>
                <w:color w:val="auto"/>
              </w:rPr>
            </w:pPr>
            <w:r>
              <w:rPr>
                <w:rFonts w:ascii="Arial" w:cs="Arial" w:eastAsia="Arial" w:hAnsi="Arial"/>
                <w:sz w:val="13"/>
                <w:szCs w:val="13"/>
                <w:b w:val="1"/>
                <w:bCs w:val="1"/>
                <w:color w:val="auto"/>
              </w:rPr>
              <w:t>Sales Price</w:t>
            </w:r>
          </w:p>
        </w:tc>
        <w:tc>
          <w:tcPr>
            <w:tcW w:w="88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spacing w:after="0"/>
              <w:rPr>
                <w:sz w:val="24"/>
                <w:szCs w:val="24"/>
                <w:color w:val="auto"/>
              </w:rPr>
            </w:pPr>
          </w:p>
        </w:tc>
      </w:tr>
      <w:tr>
        <w:trPr>
          <w:trHeight w:val="94"/>
        </w:trPr>
        <w:tc>
          <w:tcPr>
            <w:tcW w:w="2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680" w:type="dxa"/>
            <w:vAlign w:val="bottom"/>
            <w:gridSpan w:val="2"/>
          </w:tcPr>
          <w:p>
            <w:pPr>
              <w:spacing w:after="0"/>
              <w:rPr>
                <w:sz w:val="8"/>
                <w:szCs w:val="8"/>
                <w:color w:val="auto"/>
              </w:rPr>
            </w:pPr>
          </w:p>
        </w:tc>
        <w:tc>
          <w:tcPr>
            <w:tcW w:w="8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248"/>
        </w:trPr>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gridSpan w:val="4"/>
          </w:tcPr>
          <w:p>
            <w:pPr>
              <w:jc w:val="center"/>
              <w:ind w:right="680"/>
              <w:spacing w:after="0"/>
              <w:rPr>
                <w:sz w:val="20"/>
                <w:szCs w:val="20"/>
                <w:color w:val="auto"/>
              </w:rPr>
            </w:pPr>
            <w:r>
              <w:rPr>
                <w:rFonts w:ascii="Arial" w:cs="Arial" w:eastAsia="Arial" w:hAnsi="Arial"/>
                <w:sz w:val="13"/>
                <w:szCs w:val="13"/>
                <w:b w:val="1"/>
                <w:bCs w:val="1"/>
                <w:color w:val="auto"/>
                <w:w w:val="89"/>
              </w:rPr>
              <w:t>(in thousands)</w:t>
            </w:r>
          </w:p>
        </w:tc>
        <w:tc>
          <w:tcPr>
            <w:tcW w:w="88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06"/>
        </w:trPr>
        <w:tc>
          <w:tcPr>
            <w:tcW w:w="1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June 3, 2004</w:t>
            </w:r>
          </w:p>
        </w:tc>
        <w:tc>
          <w:tcPr>
            <w:tcW w:w="194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Village at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r>
      <w:tr>
        <w:trPr>
          <w:trHeight w:val="214"/>
        </w:trPr>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Shirlington</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r>
      <w:tr>
        <w:trPr>
          <w:trHeight w:val="223"/>
        </w:trPr>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(land parcel)</w:t>
            </w:r>
          </w:p>
        </w:tc>
        <w:tc>
          <w:tcPr>
            <w:tcW w:w="210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Arlington, VA</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4,934(1)</w:t>
            </w:r>
          </w:p>
        </w:tc>
        <w:tc>
          <w:tcPr>
            <w:tcW w:w="88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r>
      <w:tr>
        <w:trPr>
          <w:trHeight w:val="206"/>
        </w:trPr>
        <w:tc>
          <w:tcPr>
            <w:tcW w:w="1180" w:type="dxa"/>
            <w:vAlign w:val="bottom"/>
            <w:gridSpan w:val="3"/>
          </w:tcPr>
          <w:p>
            <w:pPr>
              <w:spacing w:after="0"/>
              <w:rPr>
                <w:sz w:val="20"/>
                <w:szCs w:val="20"/>
                <w:color w:val="auto"/>
              </w:rPr>
            </w:pPr>
            <w:r>
              <w:rPr>
                <w:rFonts w:ascii="Arial" w:cs="Arial" w:eastAsia="Arial" w:hAnsi="Arial"/>
                <w:sz w:val="17"/>
                <w:szCs w:val="17"/>
                <w:color w:val="auto"/>
              </w:rPr>
              <w:t>June 14, 2004</w:t>
            </w:r>
          </w:p>
        </w:tc>
        <w:tc>
          <w:tcPr>
            <w:tcW w:w="1940" w:type="dxa"/>
            <w:vAlign w:val="bottom"/>
            <w:gridSpan w:val="3"/>
          </w:tcPr>
          <w:p>
            <w:pPr>
              <w:ind w:left="680"/>
              <w:spacing w:after="0"/>
              <w:rPr>
                <w:sz w:val="20"/>
                <w:szCs w:val="20"/>
                <w:color w:val="auto"/>
              </w:rPr>
            </w:pPr>
            <w:r>
              <w:rPr>
                <w:rFonts w:ascii="Arial" w:cs="Arial" w:eastAsia="Arial" w:hAnsi="Arial"/>
                <w:sz w:val="17"/>
                <w:szCs w:val="17"/>
                <w:color w:val="auto"/>
              </w:rPr>
              <w:t>Magruder’s</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21"/>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gridSpan w:val="3"/>
          </w:tcPr>
          <w:p>
            <w:pPr>
              <w:ind w:left="680"/>
              <w:spacing w:after="0"/>
              <w:rPr>
                <w:sz w:val="20"/>
                <w:szCs w:val="20"/>
                <w:color w:val="auto"/>
              </w:rPr>
            </w:pPr>
            <w:r>
              <w:rPr>
                <w:rFonts w:ascii="Arial" w:cs="Arial" w:eastAsia="Arial" w:hAnsi="Arial"/>
                <w:sz w:val="17"/>
                <w:szCs w:val="17"/>
                <w:color w:val="auto"/>
              </w:rPr>
              <w:t>Center</w:t>
            </w:r>
          </w:p>
        </w:tc>
        <w:tc>
          <w:tcPr>
            <w:tcW w:w="2100" w:type="dxa"/>
            <w:vAlign w:val="bottom"/>
            <w:gridSpan w:val="3"/>
          </w:tcPr>
          <w:p>
            <w:pPr>
              <w:ind w:left="240"/>
              <w:spacing w:after="0"/>
              <w:rPr>
                <w:sz w:val="20"/>
                <w:szCs w:val="20"/>
                <w:color w:val="auto"/>
              </w:rPr>
            </w:pPr>
            <w:r>
              <w:rPr>
                <w:rFonts w:ascii="Arial" w:cs="Arial" w:eastAsia="Arial" w:hAnsi="Arial"/>
                <w:sz w:val="17"/>
                <w:szCs w:val="17"/>
                <w:color w:val="auto"/>
              </w:rPr>
              <w:t>Rockville, MD</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109,000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7"/>
                <w:szCs w:val="17"/>
                <w:color w:val="auto"/>
              </w:rPr>
              <w:t>14,350(2)</w:t>
            </w:r>
          </w:p>
        </w:tc>
        <w:tc>
          <w:tcPr>
            <w:tcW w:w="88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109"/>
        </w:trPr>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540" w:type="dxa"/>
            <w:vAlign w:val="bottom"/>
          </w:tcPr>
          <w:p>
            <w:pPr>
              <w:spacing w:after="0"/>
              <w:rPr>
                <w:sz w:val="9"/>
                <w:szCs w:val="9"/>
                <w:color w:val="auto"/>
              </w:rPr>
            </w:pPr>
          </w:p>
        </w:tc>
      </w:tr>
      <w:tr>
        <w:trPr>
          <w:trHeight w:val="101"/>
        </w:trPr>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214"/>
        </w:trPr>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19,284</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r>
      <w:tr>
        <w:trPr>
          <w:trHeight w:val="131"/>
        </w:trPr>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211"/>
        </w:trPr>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-2102485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-2102485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-2102485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-2102485</wp:posOffset>
            </wp:positionV>
            <wp:extent cx="2095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-2102485</wp:posOffset>
            </wp:positionV>
            <wp:extent cx="381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-171450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-171450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-171450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-171450</wp:posOffset>
            </wp:positionV>
            <wp:extent cx="2095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-171450</wp:posOffset>
            </wp:positionV>
            <wp:extent cx="381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Notes:</w:t>
      </w:r>
    </w:p>
    <w:p>
      <w:pPr>
        <w:spacing w:after="0" w:line="86" w:lineRule="exact"/>
        <w:rPr>
          <w:sz w:val="20"/>
          <w:szCs w:val="20"/>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June 3, 2004 land was sold to a third-party tenant pursuant to a purchase option in a ground lease at the Village at Shirlington.</w:t>
      </w:r>
    </w:p>
    <w:p>
      <w:pPr>
        <w:spacing w:after="0" w:line="25" w:lineRule="exact"/>
        <w:rPr>
          <w:rFonts w:ascii="Arial" w:cs="Arial" w:eastAsia="Arial" w:hAnsi="Arial"/>
          <w:sz w:val="17"/>
          <w:szCs w:val="17"/>
          <w:color w:val="auto"/>
        </w:rPr>
      </w:pPr>
    </w:p>
    <w:p>
      <w:pPr>
        <w:ind w:left="460" w:right="20" w:hanging="453"/>
        <w:spacing w:after="0" w:line="286"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June 14, 2004 the Magruder’s Center was conveyed to the City of Rockville in lieu of condemnation in order to facilitate the redevelopment of Rockville Town Center.</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Subsequent Event:</w:t>
      </w:r>
    </w:p>
    <w:p>
      <w:pPr>
        <w:spacing w:after="0" w:line="86" w:lineRule="exact"/>
        <w:rPr>
          <w:sz w:val="20"/>
          <w:szCs w:val="20"/>
          <w:color w:val="auto"/>
        </w:rPr>
      </w:pPr>
    </w:p>
    <w:p>
      <w:pPr>
        <w:ind w:right="560"/>
        <w:spacing w:after="0" w:line="294" w:lineRule="auto"/>
        <w:rPr>
          <w:sz w:val="20"/>
          <w:szCs w:val="20"/>
          <w:color w:val="auto"/>
        </w:rPr>
      </w:pPr>
      <w:r>
        <w:rPr>
          <w:rFonts w:ascii="Arial" w:cs="Arial" w:eastAsia="Arial" w:hAnsi="Arial"/>
          <w:sz w:val="17"/>
          <w:szCs w:val="17"/>
          <w:color w:val="auto"/>
        </w:rPr>
        <w:t>In July 2004, we contributed Plaza del Mercado, a property valued at $20.6 million to a newly formed joint venture in which we own 30% of the equity and received $18.6 million of net proceeds.</w:t>
      </w:r>
    </w:p>
    <w:p>
      <w:pPr>
        <w:sectPr>
          <w:pgSz w:w="11900" w:h="16838" w:orient="portrait"/>
          <w:cols w:equalWidth="0" w:num="1">
            <w:col w:w="11420"/>
          </w:cols>
          <w:pgMar w:left="240" w:top="272" w:right="239" w:bottom="1440" w:gutter="0" w:footer="0" w:header="0"/>
        </w:sectPr>
      </w:pPr>
    </w:p>
    <w:bookmarkStart w:id="19" w:name="page20"/>
    <w:bookmarkEnd w:id="1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Mortgage or</w:t>
            </w:r>
          </w:p>
        </w:tc>
        <w:tc>
          <w:tcPr>
            <w:tcW w:w="12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w w:val="96"/>
              </w:rPr>
              <w:t>Grocery</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r>
      <w:tr>
        <w:trPr>
          <w:trHeight w:val="147"/>
        </w:trPr>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9"/>
              </w:rPr>
              <w:t>Year</w:t>
            </w:r>
          </w:p>
        </w:tc>
        <w:tc>
          <w:tcPr>
            <w:tcW w:w="112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6"/>
              </w:rPr>
              <w:t>Total</w:t>
            </w:r>
          </w:p>
        </w:tc>
        <w:tc>
          <w:tcPr>
            <w:tcW w:w="96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w w:val="92"/>
              </w:rPr>
              <w:t>Ownership</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Capital Lease</w:t>
            </w:r>
          </w:p>
        </w:tc>
        <w:tc>
          <w:tcPr>
            <w:tcW w:w="12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b w:val="1"/>
                <w:bCs w:val="1"/>
                <w:color w:val="auto"/>
              </w:rPr>
              <w:t>Anchor</w:t>
            </w:r>
          </w:p>
        </w:tc>
        <w:tc>
          <w:tcPr>
            <w:tcW w:w="12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Grocery</w:t>
            </w:r>
          </w:p>
        </w:tc>
        <w:tc>
          <w:tcPr>
            <w:tcW w:w="10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Principal</w:t>
            </w:r>
          </w:p>
        </w:tc>
      </w:tr>
      <w:tr>
        <w:trPr>
          <w:trHeight w:val="173"/>
        </w:trPr>
        <w:tc>
          <w:tcPr>
            <w:tcW w:w="1260" w:type="dxa"/>
            <w:vAlign w:val="bottom"/>
            <w:gridSpan w:val="8"/>
          </w:tcPr>
          <w:p>
            <w:pPr>
              <w:spacing w:after="0"/>
              <w:rPr>
                <w:sz w:val="20"/>
                <w:szCs w:val="20"/>
                <w:color w:val="auto"/>
              </w:rPr>
            </w:pPr>
            <w:r>
              <w:rPr>
                <w:rFonts w:ascii="Arial" w:cs="Arial" w:eastAsia="Arial" w:hAnsi="Arial"/>
                <w:sz w:val="13"/>
                <w:szCs w:val="13"/>
                <w:b w:val="1"/>
                <w:bCs w:val="1"/>
                <w:color w:val="auto"/>
              </w:rPr>
              <w:t>Property Name</w:t>
            </w:r>
          </w:p>
        </w:tc>
        <w:tc>
          <w:tcPr>
            <w:tcW w:w="6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3"/>
                <w:szCs w:val="13"/>
                <w:b w:val="1"/>
                <w:bCs w:val="1"/>
                <w:color w:val="auto"/>
                <w:w w:val="90"/>
              </w:rPr>
              <w:t>Type(1)</w:t>
            </w:r>
          </w:p>
        </w:tc>
        <w:tc>
          <w:tcPr>
            <w:tcW w:w="10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Arial" w:cs="Arial" w:eastAsia="Arial" w:hAnsi="Arial"/>
                <w:sz w:val="13"/>
                <w:szCs w:val="13"/>
                <w:b w:val="1"/>
                <w:bCs w:val="1"/>
                <w:color w:val="auto"/>
              </w:rPr>
              <w:t>MSA Description</w:t>
            </w:r>
          </w:p>
        </w:tc>
        <w:tc>
          <w:tcPr>
            <w:tcW w:w="12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Acquired</w:t>
            </w: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Investment</w:t>
            </w: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8"/>
              </w:rPr>
              <w:t>Percentage</w:t>
            </w: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GLA (2)</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3"/>
              </w:rPr>
              <w:t>% Leased</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Obligation</w:t>
            </w:r>
          </w:p>
        </w:tc>
        <w:tc>
          <w:tcPr>
            <w:tcW w:w="12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rPr>
              <w:t>GLA (3)</w:t>
            </w: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8"/>
              </w:rPr>
              <w:t>Anchor (3)</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2"/>
              </w:rPr>
              <w:t>Tenants</w:t>
            </w:r>
          </w:p>
        </w:tc>
      </w:tr>
      <w:tr>
        <w:trPr>
          <w:trHeight w:val="94"/>
        </w:trPr>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r>
        <w:trPr>
          <w:trHeight w:val="248"/>
        </w:trPr>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(in thousands)</w:t>
            </w: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1"/>
              </w:rPr>
              <w:t>(in thousands)</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74"/>
        </w:trPr>
        <w:tc>
          <w:tcPr>
            <w:tcW w:w="980" w:type="dxa"/>
            <w:vAlign w:val="bottom"/>
            <w:tcBorders>
              <w:bottom w:val="single" w:sz="8" w:color="auto"/>
            </w:tcBorders>
            <w:gridSpan w:val="5"/>
            <w:shd w:val="clear" w:color="auto" w:fill="CCEEFF"/>
          </w:tcPr>
          <w:p>
            <w:pPr>
              <w:spacing w:after="0" w:line="174" w:lineRule="exact"/>
              <w:rPr>
                <w:sz w:val="20"/>
                <w:szCs w:val="20"/>
                <w:color w:val="auto"/>
              </w:rPr>
            </w:pPr>
            <w:r>
              <w:rPr>
                <w:rFonts w:ascii="Arial" w:cs="Arial" w:eastAsia="Arial" w:hAnsi="Arial"/>
                <w:sz w:val="17"/>
                <w:szCs w:val="17"/>
                <w:b w:val="1"/>
                <w:bCs w:val="1"/>
                <w:color w:val="auto"/>
                <w:w w:val="98"/>
              </w:rPr>
              <w:t>Mid-Atlantic</w:t>
            </w:r>
          </w:p>
        </w:tc>
        <w:tc>
          <w:tcPr>
            <w:tcW w:w="280" w:type="dxa"/>
            <w:vAlign w:val="bottom"/>
            <w:tcBorders>
              <w:bottom w:val="single" w:sz="8" w:color="CCEEFF"/>
            </w:tcBorders>
            <w:gridSpan w:val="3"/>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94"/>
        </w:trPr>
        <w:tc>
          <w:tcPr>
            <w:tcW w:w="220" w:type="dxa"/>
            <w:vAlign w:val="bottom"/>
            <w:shd w:val="clear" w:color="auto" w:fill="CCEEFF"/>
          </w:tcPr>
          <w:p>
            <w:pPr>
              <w:spacing w:after="0"/>
              <w:rPr>
                <w:sz w:val="16"/>
                <w:szCs w:val="16"/>
                <w:color w:val="auto"/>
              </w:rPr>
            </w:pPr>
          </w:p>
        </w:tc>
        <w:tc>
          <w:tcPr>
            <w:tcW w:w="1040" w:type="dxa"/>
            <w:vAlign w:val="bottom"/>
            <w:gridSpan w:val="7"/>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Region</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281"/>
        </w:trPr>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0"/>
              </w:rPr>
              <w:t>Washington</w:t>
            </w:r>
          </w:p>
        </w:tc>
        <w:tc>
          <w:tcPr>
            <w:tcW w:w="3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4"/>
        </w:trPr>
        <w:tc>
          <w:tcPr>
            <w:tcW w:w="220" w:type="dxa"/>
            <w:vAlign w:val="bottom"/>
          </w:tcPr>
          <w:p>
            <w:pPr>
              <w:spacing w:after="0"/>
              <w:rPr>
                <w:sz w:val="16"/>
                <w:szCs w:val="16"/>
                <w:color w:val="auto"/>
              </w:rPr>
            </w:pPr>
          </w:p>
        </w:tc>
        <w:tc>
          <w:tcPr>
            <w:tcW w:w="1040" w:type="dxa"/>
            <w:vAlign w:val="bottom"/>
            <w:gridSpan w:val="7"/>
          </w:tcPr>
          <w:p>
            <w:pPr>
              <w:spacing w:after="0" w:line="194" w:lineRule="exact"/>
              <w:rPr>
                <w:sz w:val="20"/>
                <w:szCs w:val="20"/>
                <w:color w:val="auto"/>
              </w:rPr>
            </w:pPr>
            <w:r>
              <w:rPr>
                <w:rFonts w:ascii="Arial" w:cs="Arial" w:eastAsia="Arial" w:hAnsi="Arial"/>
                <w:sz w:val="17"/>
                <w:szCs w:val="17"/>
                <w:b w:val="1"/>
                <w:bCs w:val="1"/>
                <w:color w:val="auto"/>
                <w:w w:val="99"/>
              </w:rPr>
              <w:t>Metropolitan</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980" w:type="dxa"/>
            <w:vAlign w:val="bottom"/>
            <w:tcBorders>
              <w:top w:val="single" w:sz="8" w:color="auto"/>
            </w:tcBorders>
            <w:gridSpan w:val="6"/>
          </w:tcPr>
          <w:p>
            <w:pPr>
              <w:spacing w:after="0" w:line="194" w:lineRule="exact"/>
              <w:rPr>
                <w:sz w:val="20"/>
                <w:szCs w:val="20"/>
                <w:color w:val="auto"/>
              </w:rPr>
            </w:pPr>
            <w:r>
              <w:rPr>
                <w:rFonts w:ascii="Arial" w:cs="Arial" w:eastAsia="Arial" w:hAnsi="Arial"/>
                <w:sz w:val="17"/>
                <w:szCs w:val="17"/>
                <w:b w:val="1"/>
                <w:bCs w:val="1"/>
                <w:color w:val="auto"/>
              </w:rPr>
              <w:t>Area</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6"/>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Bethesda Row</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SR</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1993-98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80,269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440,000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12,576</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8"/>
              </w:rPr>
              <w:t>40,000</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Giant Food</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Barnes &amp;</w:t>
            </w:r>
          </w:p>
        </w:tc>
      </w:tr>
      <w:tr>
        <w:trPr>
          <w:trHeight w:val="214"/>
        </w:trPr>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Noble /</w:t>
            </w:r>
          </w:p>
        </w:tc>
      </w:tr>
      <w:tr>
        <w:trPr>
          <w:trHeight w:val="214"/>
        </w:trPr>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Landmark</w:t>
            </w:r>
          </w:p>
        </w:tc>
      </w:tr>
      <w:tr>
        <w:trPr>
          <w:trHeight w:val="223"/>
        </w:trPr>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Theater</w:t>
            </w: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Congressional</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1965</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66,312(5)</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64.1%</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339,000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820" w:type="dxa"/>
            <w:vAlign w:val="bottom"/>
          </w:tcPr>
          <w:p>
            <w:pPr>
              <w:spacing w:after="0"/>
              <w:rPr>
                <w:sz w:val="17"/>
                <w:szCs w:val="17"/>
                <w:color w:val="auto"/>
              </w:rPr>
            </w:pPr>
          </w:p>
        </w:tc>
        <w:tc>
          <w:tcPr>
            <w:tcW w:w="660" w:type="dxa"/>
            <w:vAlign w:val="bottom"/>
            <w:gridSpan w:val="2"/>
          </w:tcPr>
          <w:p>
            <w:pPr>
              <w:ind w:left="180"/>
              <w:spacing w:after="0"/>
              <w:rPr>
                <w:sz w:val="20"/>
                <w:szCs w:val="20"/>
                <w:color w:val="auto"/>
              </w:rPr>
            </w:pPr>
            <w:r>
              <w:rPr>
                <w:rFonts w:ascii="Arial" w:cs="Arial" w:eastAsia="Arial" w:hAnsi="Arial"/>
                <w:sz w:val="17"/>
                <w:szCs w:val="17"/>
                <w:color w:val="auto"/>
                <w:w w:val="88"/>
              </w:rPr>
              <w:t>28,000</w:t>
            </w: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Whole</w:t>
            </w:r>
          </w:p>
        </w:tc>
        <w:tc>
          <w:tcPr>
            <w:tcW w:w="1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Buy Buy Baby</w:t>
            </w:r>
          </w:p>
        </w:tc>
      </w:tr>
      <w:tr>
        <w:trPr>
          <w:trHeight w:val="214"/>
        </w:trPr>
        <w:tc>
          <w:tcPr>
            <w:tcW w:w="220" w:type="dxa"/>
            <w:vAlign w:val="bottom"/>
          </w:tcPr>
          <w:p>
            <w:pPr>
              <w:spacing w:after="0"/>
              <w:rPr>
                <w:sz w:val="18"/>
                <w:szCs w:val="18"/>
                <w:color w:val="auto"/>
              </w:rPr>
            </w:pPr>
          </w:p>
        </w:tc>
        <w:tc>
          <w:tcPr>
            <w:tcW w:w="1040" w:type="dxa"/>
            <w:vAlign w:val="bottom"/>
            <w:gridSpan w:val="7"/>
          </w:tcPr>
          <w:p>
            <w:pPr>
              <w:spacing w:after="0"/>
              <w:rPr>
                <w:sz w:val="20"/>
                <w:szCs w:val="20"/>
                <w:color w:val="auto"/>
              </w:rPr>
            </w:pPr>
            <w:r>
              <w:rPr>
                <w:rFonts w:ascii="Arial" w:cs="Arial" w:eastAsia="Arial" w:hAnsi="Arial"/>
                <w:sz w:val="17"/>
                <w:szCs w:val="17"/>
                <w:color w:val="auto"/>
              </w:rPr>
              <w:t>Plaza</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Foods</w:t>
            </w:r>
          </w:p>
        </w:tc>
        <w:tc>
          <w:tcPr>
            <w:tcW w:w="10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 Container</w:t>
            </w: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Store / Tower</w:t>
            </w:r>
          </w:p>
        </w:tc>
      </w:tr>
      <w:tr>
        <w:trPr>
          <w:trHeight w:val="207"/>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Courthouse</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220" w:type="dxa"/>
            <w:vAlign w:val="bottom"/>
            <w:shd w:val="clear" w:color="auto" w:fill="CCEEFF"/>
          </w:tcPr>
          <w:p>
            <w:pPr>
              <w:spacing w:after="0"/>
              <w:rPr>
                <w:sz w:val="19"/>
                <w:szCs w:val="19"/>
                <w:color w:val="auto"/>
              </w:rPr>
            </w:pPr>
          </w:p>
        </w:tc>
        <w:tc>
          <w:tcPr>
            <w:tcW w:w="10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Center</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Falls Plaza</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1967</w:t>
            </w:r>
          </w:p>
        </w:tc>
        <w:tc>
          <w:tcPr>
            <w:tcW w:w="820" w:type="dxa"/>
            <w:vAlign w:val="bottom"/>
          </w:tcPr>
          <w:p>
            <w:pPr>
              <w:jc w:val="right"/>
              <w:spacing w:after="0"/>
              <w:rPr>
                <w:sz w:val="20"/>
                <w:szCs w:val="20"/>
                <w:color w:val="auto"/>
              </w:rPr>
            </w:pPr>
            <w:r>
              <w:rPr>
                <w:rFonts w:ascii="Arial" w:cs="Arial" w:eastAsia="Arial" w:hAnsi="Arial"/>
                <w:sz w:val="17"/>
                <w:szCs w:val="17"/>
                <w:color w:val="auto"/>
              </w:rPr>
              <w:t>8,152</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73,000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820" w:type="dxa"/>
            <w:vAlign w:val="bottom"/>
          </w:tcPr>
          <w:p>
            <w:pPr>
              <w:spacing w:after="0"/>
              <w:rPr>
                <w:sz w:val="17"/>
                <w:szCs w:val="17"/>
                <w:color w:val="auto"/>
              </w:rPr>
            </w:pPr>
          </w:p>
        </w:tc>
        <w:tc>
          <w:tcPr>
            <w:tcW w:w="660" w:type="dxa"/>
            <w:vAlign w:val="bottom"/>
            <w:gridSpan w:val="2"/>
          </w:tcPr>
          <w:p>
            <w:pPr>
              <w:ind w:left="180"/>
              <w:spacing w:after="0"/>
              <w:rPr>
                <w:sz w:val="20"/>
                <w:szCs w:val="20"/>
                <w:color w:val="auto"/>
              </w:rPr>
            </w:pPr>
            <w:r>
              <w:rPr>
                <w:rFonts w:ascii="Arial" w:cs="Arial" w:eastAsia="Arial" w:hAnsi="Arial"/>
                <w:sz w:val="17"/>
                <w:szCs w:val="17"/>
                <w:color w:val="auto"/>
                <w:w w:val="88"/>
              </w:rPr>
              <w:t>51,000</w:t>
            </w: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Giant Food</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7"/>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Falls Plaza-East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1972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71,000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CVS / Staples</w:t>
            </w:r>
          </w:p>
        </w:tc>
      </w:tr>
      <w:tr>
        <w:trPr>
          <w:trHeight w:val="223"/>
        </w:trPr>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Federal Plaza</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1989</w:t>
            </w:r>
          </w:p>
        </w:tc>
        <w:tc>
          <w:tcPr>
            <w:tcW w:w="820" w:type="dxa"/>
            <w:vAlign w:val="bottom"/>
          </w:tcPr>
          <w:p>
            <w:pPr>
              <w:jc w:val="right"/>
              <w:spacing w:after="0"/>
              <w:rPr>
                <w:sz w:val="20"/>
                <w:szCs w:val="20"/>
                <w:color w:val="auto"/>
              </w:rPr>
            </w:pPr>
            <w:r>
              <w:rPr>
                <w:rFonts w:ascii="Arial" w:cs="Arial" w:eastAsia="Arial" w:hAnsi="Arial"/>
                <w:sz w:val="17"/>
                <w:szCs w:val="17"/>
                <w:color w:val="auto"/>
              </w:rPr>
              <w:t>61,996</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247,000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820" w:type="dxa"/>
            <w:vAlign w:val="bottom"/>
          </w:tcPr>
          <w:p>
            <w:pPr>
              <w:jc w:val="right"/>
              <w:spacing w:after="0"/>
              <w:rPr>
                <w:sz w:val="20"/>
                <w:szCs w:val="20"/>
                <w:color w:val="auto"/>
              </w:rPr>
            </w:pPr>
            <w:r>
              <w:rPr>
                <w:rFonts w:ascii="Arial" w:cs="Arial" w:eastAsia="Arial" w:hAnsi="Arial"/>
                <w:sz w:val="17"/>
                <w:szCs w:val="17"/>
                <w:color w:val="auto"/>
              </w:rPr>
              <w:t>35,331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TJ Maxx /</w:t>
            </w: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CompUSA /</w:t>
            </w: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Ross</w:t>
            </w:r>
          </w:p>
        </w:tc>
      </w:tr>
      <w:tr>
        <w:trPr>
          <w:trHeight w:val="207"/>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Friendship</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SR</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2001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33,309</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119,000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Borders /</w:t>
            </w:r>
          </w:p>
        </w:tc>
      </w:tr>
      <w:tr>
        <w:trPr>
          <w:trHeight w:val="214"/>
        </w:trPr>
        <w:tc>
          <w:tcPr>
            <w:tcW w:w="220" w:type="dxa"/>
            <w:vAlign w:val="bottom"/>
            <w:shd w:val="clear" w:color="auto" w:fill="CCEEFF"/>
          </w:tcPr>
          <w:p>
            <w:pPr>
              <w:spacing w:after="0"/>
              <w:rPr>
                <w:sz w:val="18"/>
                <w:szCs w:val="18"/>
                <w:color w:val="auto"/>
              </w:rPr>
            </w:pPr>
          </w:p>
        </w:tc>
        <w:tc>
          <w:tcPr>
            <w:tcW w:w="10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Center</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Linens ’n</w:t>
            </w:r>
          </w:p>
        </w:tc>
      </w:tr>
      <w:tr>
        <w:trPr>
          <w:trHeight w:val="214"/>
        </w:trPr>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Things /</w:t>
            </w:r>
          </w:p>
        </w:tc>
      </w:tr>
      <w:tr>
        <w:trPr>
          <w:trHeight w:val="223"/>
        </w:trPr>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Maggiano’s</w:t>
            </w: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Gaithersburg</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1993</w:t>
            </w:r>
          </w:p>
        </w:tc>
        <w:tc>
          <w:tcPr>
            <w:tcW w:w="1120" w:type="dxa"/>
            <w:vAlign w:val="bottom"/>
            <w:gridSpan w:val="2"/>
          </w:tcPr>
          <w:p>
            <w:pPr>
              <w:jc w:val="right"/>
              <w:ind w:right="300"/>
              <w:spacing w:after="0"/>
              <w:rPr>
                <w:sz w:val="20"/>
                <w:szCs w:val="20"/>
                <w:color w:val="auto"/>
              </w:rPr>
            </w:pPr>
            <w:r>
              <w:rPr>
                <w:rFonts w:ascii="Arial" w:cs="Arial" w:eastAsia="Arial" w:hAnsi="Arial"/>
                <w:sz w:val="17"/>
                <w:szCs w:val="17"/>
                <w:color w:val="auto"/>
              </w:rPr>
              <w:t>23,911</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215,000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90%</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Bed, Bath &amp;</w:t>
            </w:r>
          </w:p>
        </w:tc>
      </w:tr>
      <w:tr>
        <w:trPr>
          <w:trHeight w:val="214"/>
        </w:trPr>
        <w:tc>
          <w:tcPr>
            <w:tcW w:w="220" w:type="dxa"/>
            <w:vAlign w:val="bottom"/>
          </w:tcPr>
          <w:p>
            <w:pPr>
              <w:spacing w:after="0"/>
              <w:rPr>
                <w:sz w:val="18"/>
                <w:szCs w:val="18"/>
                <w:color w:val="auto"/>
              </w:rPr>
            </w:pPr>
          </w:p>
        </w:tc>
        <w:tc>
          <w:tcPr>
            <w:tcW w:w="1040" w:type="dxa"/>
            <w:vAlign w:val="bottom"/>
            <w:gridSpan w:val="7"/>
          </w:tcPr>
          <w:p>
            <w:pPr>
              <w:spacing w:after="0"/>
              <w:rPr>
                <w:sz w:val="20"/>
                <w:szCs w:val="20"/>
                <w:color w:val="auto"/>
              </w:rPr>
            </w:pPr>
            <w:r>
              <w:rPr>
                <w:rFonts w:ascii="Arial" w:cs="Arial" w:eastAsia="Arial" w:hAnsi="Arial"/>
                <w:sz w:val="17"/>
                <w:szCs w:val="17"/>
                <w:color w:val="auto"/>
              </w:rPr>
              <w:t>Square</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Beyond /</w:t>
            </w: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Borders / Ross</w:t>
            </w:r>
          </w:p>
        </w:tc>
      </w:tr>
      <w:tr>
        <w:trPr>
          <w:trHeight w:val="207"/>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Idylwood Plaza</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1994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14,971</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8"/>
              </w:rPr>
              <w:t>30,000</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Whole</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Foods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Laurel</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1986</w:t>
            </w:r>
          </w:p>
        </w:tc>
        <w:tc>
          <w:tcPr>
            <w:tcW w:w="820" w:type="dxa"/>
            <w:vAlign w:val="bottom"/>
          </w:tcPr>
          <w:p>
            <w:pPr>
              <w:jc w:val="right"/>
              <w:spacing w:after="0"/>
              <w:rPr>
                <w:sz w:val="20"/>
                <w:szCs w:val="20"/>
                <w:color w:val="auto"/>
              </w:rPr>
            </w:pPr>
            <w:r>
              <w:rPr>
                <w:rFonts w:ascii="Arial" w:cs="Arial" w:eastAsia="Arial" w:hAnsi="Arial"/>
                <w:sz w:val="17"/>
                <w:szCs w:val="17"/>
                <w:color w:val="auto"/>
              </w:rPr>
              <w:t>45,679</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99.9%</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384,000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820" w:type="dxa"/>
            <w:vAlign w:val="bottom"/>
          </w:tcPr>
          <w:p>
            <w:pPr>
              <w:spacing w:after="0"/>
              <w:rPr>
                <w:sz w:val="17"/>
                <w:szCs w:val="17"/>
                <w:color w:val="auto"/>
              </w:rPr>
            </w:pPr>
          </w:p>
        </w:tc>
        <w:tc>
          <w:tcPr>
            <w:tcW w:w="660" w:type="dxa"/>
            <w:vAlign w:val="bottom"/>
            <w:gridSpan w:val="2"/>
          </w:tcPr>
          <w:p>
            <w:pPr>
              <w:ind w:left="180"/>
              <w:spacing w:after="0"/>
              <w:rPr>
                <w:sz w:val="20"/>
                <w:szCs w:val="20"/>
                <w:color w:val="auto"/>
              </w:rPr>
            </w:pPr>
            <w:r>
              <w:rPr>
                <w:rFonts w:ascii="Arial" w:cs="Arial" w:eastAsia="Arial" w:hAnsi="Arial"/>
                <w:sz w:val="17"/>
                <w:szCs w:val="17"/>
                <w:color w:val="auto"/>
                <w:w w:val="88"/>
              </w:rPr>
              <w:t>61,000</w:t>
            </w: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Giant Food</w:t>
            </w:r>
          </w:p>
        </w:tc>
        <w:tc>
          <w:tcPr>
            <w:tcW w:w="1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Marshalls /</w:t>
            </w: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Toys R Us</w:t>
            </w:r>
          </w:p>
        </w:tc>
      </w:tr>
      <w:tr>
        <w:trPr>
          <w:trHeight w:val="207"/>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Leesburg Plaza</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1998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247,000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8"/>
              </w:rPr>
              <w:t>55,000</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Giant Food</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Pier One</w:t>
            </w:r>
          </w:p>
        </w:tc>
      </w:tr>
      <w:tr>
        <w:trPr>
          <w:trHeight w:val="223"/>
        </w:trPr>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Loehmann’s</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1983</w:t>
            </w:r>
          </w:p>
        </w:tc>
        <w:tc>
          <w:tcPr>
            <w:tcW w:w="820" w:type="dxa"/>
            <w:vAlign w:val="bottom"/>
          </w:tcPr>
          <w:p>
            <w:pPr>
              <w:jc w:val="right"/>
              <w:spacing w:after="0"/>
              <w:rPr>
                <w:sz w:val="20"/>
                <w:szCs w:val="20"/>
                <w:color w:val="auto"/>
              </w:rPr>
            </w:pPr>
            <w:r>
              <w:rPr>
                <w:rFonts w:ascii="Arial" w:cs="Arial" w:eastAsia="Arial" w:hAnsi="Arial"/>
                <w:sz w:val="17"/>
                <w:szCs w:val="17"/>
                <w:color w:val="auto"/>
              </w:rPr>
              <w:t>26,120</w:t>
            </w:r>
          </w:p>
        </w:tc>
        <w:tc>
          <w:tcPr>
            <w:tcW w:w="3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251,000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Bally’s /</w:t>
            </w:r>
          </w:p>
        </w:tc>
      </w:tr>
      <w:tr>
        <w:trPr>
          <w:trHeight w:val="214"/>
        </w:trPr>
        <w:tc>
          <w:tcPr>
            <w:tcW w:w="220" w:type="dxa"/>
            <w:vAlign w:val="bottom"/>
          </w:tcPr>
          <w:p>
            <w:pPr>
              <w:spacing w:after="0"/>
              <w:rPr>
                <w:sz w:val="18"/>
                <w:szCs w:val="18"/>
                <w:color w:val="auto"/>
              </w:rPr>
            </w:pPr>
          </w:p>
        </w:tc>
        <w:tc>
          <w:tcPr>
            <w:tcW w:w="1040" w:type="dxa"/>
            <w:vAlign w:val="bottom"/>
            <w:gridSpan w:val="7"/>
          </w:tcPr>
          <w:p>
            <w:pPr>
              <w:spacing w:after="0"/>
              <w:rPr>
                <w:sz w:val="20"/>
                <w:szCs w:val="20"/>
                <w:color w:val="auto"/>
              </w:rPr>
            </w:pPr>
            <w:r>
              <w:rPr>
                <w:rFonts w:ascii="Arial" w:cs="Arial" w:eastAsia="Arial" w:hAnsi="Arial"/>
                <w:sz w:val="17"/>
                <w:szCs w:val="17"/>
                <w:color w:val="auto"/>
              </w:rPr>
              <w:t>Plaza</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Linens ’n</w:t>
            </w: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Things /</w:t>
            </w: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Loehmann’s</w:t>
            </w:r>
          </w:p>
        </w:tc>
      </w:tr>
      <w:tr>
        <w:trPr>
          <w:trHeight w:val="207"/>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Mid-Pike Plaza</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1982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17,305</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304,000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Linens ’n</w:t>
            </w:r>
          </w:p>
        </w:tc>
      </w:tr>
      <w:tr>
        <w:trPr>
          <w:trHeight w:val="214"/>
        </w:trPr>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Things / Toys</w:t>
            </w:r>
          </w:p>
        </w:tc>
      </w:tr>
      <w:tr>
        <w:trPr>
          <w:trHeight w:val="214"/>
        </w:trPr>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R Us / Bally’s</w:t>
            </w:r>
          </w:p>
        </w:tc>
      </w:tr>
      <w:tr>
        <w:trPr>
          <w:trHeight w:val="223"/>
        </w:trPr>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 AC Moore</w:t>
            </w: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Mount Vernon</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2003</w:t>
            </w:r>
          </w:p>
        </w:tc>
        <w:tc>
          <w:tcPr>
            <w:tcW w:w="820" w:type="dxa"/>
            <w:vAlign w:val="bottom"/>
          </w:tcPr>
          <w:p>
            <w:pPr>
              <w:jc w:val="right"/>
              <w:spacing w:after="0"/>
              <w:rPr>
                <w:sz w:val="20"/>
                <w:szCs w:val="20"/>
                <w:color w:val="auto"/>
              </w:rPr>
            </w:pPr>
            <w:r>
              <w:rPr>
                <w:rFonts w:ascii="Arial" w:cs="Arial" w:eastAsia="Arial" w:hAnsi="Arial"/>
                <w:sz w:val="17"/>
                <w:szCs w:val="17"/>
                <w:color w:val="auto"/>
              </w:rPr>
              <w:t>20,299</w:t>
            </w:r>
          </w:p>
        </w:tc>
        <w:tc>
          <w:tcPr>
            <w:tcW w:w="3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254,000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73%</w:t>
            </w:r>
          </w:p>
        </w:tc>
        <w:tc>
          <w:tcPr>
            <w:tcW w:w="820" w:type="dxa"/>
            <w:vAlign w:val="bottom"/>
          </w:tcPr>
          <w:p>
            <w:pPr>
              <w:jc w:val="right"/>
              <w:spacing w:after="0"/>
              <w:rPr>
                <w:sz w:val="20"/>
                <w:szCs w:val="20"/>
                <w:color w:val="auto"/>
              </w:rPr>
            </w:pPr>
            <w:r>
              <w:rPr>
                <w:rFonts w:ascii="Arial" w:cs="Arial" w:eastAsia="Arial" w:hAnsi="Arial"/>
                <w:sz w:val="17"/>
                <w:szCs w:val="17"/>
                <w:color w:val="auto"/>
              </w:rPr>
              <w:t>12,959</w:t>
            </w:r>
          </w:p>
        </w:tc>
        <w:tc>
          <w:tcPr>
            <w:tcW w:w="660" w:type="dxa"/>
            <w:vAlign w:val="bottom"/>
            <w:gridSpan w:val="2"/>
          </w:tcPr>
          <w:p>
            <w:pPr>
              <w:ind w:left="180"/>
              <w:spacing w:after="0"/>
              <w:rPr>
                <w:sz w:val="20"/>
                <w:szCs w:val="20"/>
                <w:color w:val="auto"/>
              </w:rPr>
            </w:pPr>
            <w:r>
              <w:rPr>
                <w:rFonts w:ascii="Arial" w:cs="Arial" w:eastAsia="Arial" w:hAnsi="Arial"/>
                <w:sz w:val="17"/>
                <w:szCs w:val="17"/>
                <w:color w:val="auto"/>
                <w:w w:val="88"/>
              </w:rPr>
              <w:t>54,000</w:t>
            </w: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Shoppers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Food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w w:val="98"/>
              </w:rPr>
              <w:t>Warehouse</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7"/>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Old Keene Mill</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1976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92,000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8"/>
              </w:rPr>
              <w:t>24,000</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Whole</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Foods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Pan Am</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1993</w:t>
            </w:r>
          </w:p>
        </w:tc>
        <w:tc>
          <w:tcPr>
            <w:tcW w:w="820" w:type="dxa"/>
            <w:vAlign w:val="bottom"/>
          </w:tcPr>
          <w:p>
            <w:pPr>
              <w:jc w:val="right"/>
              <w:spacing w:after="0"/>
              <w:rPr>
                <w:sz w:val="20"/>
                <w:szCs w:val="20"/>
                <w:color w:val="auto"/>
              </w:rPr>
            </w:pPr>
            <w:r>
              <w:rPr>
                <w:rFonts w:ascii="Arial" w:cs="Arial" w:eastAsia="Arial" w:hAnsi="Arial"/>
                <w:sz w:val="17"/>
                <w:szCs w:val="17"/>
                <w:color w:val="auto"/>
              </w:rPr>
              <w:t>25,263</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218,000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99%</w:t>
            </w:r>
          </w:p>
        </w:tc>
        <w:tc>
          <w:tcPr>
            <w:tcW w:w="820" w:type="dxa"/>
            <w:vAlign w:val="bottom"/>
          </w:tcPr>
          <w:p>
            <w:pPr>
              <w:spacing w:after="0"/>
              <w:rPr>
                <w:sz w:val="17"/>
                <w:szCs w:val="17"/>
                <w:color w:val="auto"/>
              </w:rPr>
            </w:pPr>
          </w:p>
        </w:tc>
        <w:tc>
          <w:tcPr>
            <w:tcW w:w="660" w:type="dxa"/>
            <w:vAlign w:val="bottom"/>
            <w:gridSpan w:val="2"/>
          </w:tcPr>
          <w:p>
            <w:pPr>
              <w:ind w:left="180"/>
              <w:spacing w:after="0"/>
              <w:rPr>
                <w:sz w:val="20"/>
                <w:szCs w:val="20"/>
                <w:color w:val="auto"/>
              </w:rPr>
            </w:pPr>
            <w:r>
              <w:rPr>
                <w:rFonts w:ascii="Arial" w:cs="Arial" w:eastAsia="Arial" w:hAnsi="Arial"/>
                <w:sz w:val="17"/>
                <w:szCs w:val="17"/>
                <w:color w:val="auto"/>
                <w:w w:val="88"/>
              </w:rPr>
              <w:t>33,000</w:t>
            </w: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Safeway</w:t>
            </w:r>
          </w:p>
        </w:tc>
        <w:tc>
          <w:tcPr>
            <w:tcW w:w="1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Micro Center /</w:t>
            </w: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Michaels</w:t>
            </w:r>
          </w:p>
        </w:tc>
      </w:tr>
      <w:tr>
        <w:trPr>
          <w:trHeight w:val="207"/>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Pentagon Row</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SR</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1999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87,208</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296,000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w:t>
            </w: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8"/>
              </w:rPr>
              <w:t>45,000</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Harris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Bally’s / Bed,</w:t>
            </w:r>
          </w:p>
        </w:tc>
      </w:tr>
      <w:tr>
        <w:trPr>
          <w:trHeight w:val="214"/>
        </w:trPr>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Teeter</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Bath &amp;</w:t>
            </w:r>
          </w:p>
        </w:tc>
      </w:tr>
      <w:tr>
        <w:trPr>
          <w:trHeight w:val="214"/>
        </w:trPr>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Beyond /</w:t>
            </w:r>
          </w:p>
        </w:tc>
      </w:tr>
      <w:tr>
        <w:trPr>
          <w:trHeight w:val="214"/>
        </w:trPr>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DSW / Cost</w:t>
            </w:r>
          </w:p>
        </w:tc>
      </w:tr>
      <w:tr>
        <w:trPr>
          <w:trHeight w:val="223"/>
        </w:trPr>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Plus</w:t>
            </w: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Pike 7</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1997</w:t>
            </w:r>
          </w:p>
        </w:tc>
        <w:tc>
          <w:tcPr>
            <w:tcW w:w="820" w:type="dxa"/>
            <w:vAlign w:val="bottom"/>
          </w:tcPr>
          <w:p>
            <w:pPr>
              <w:jc w:val="right"/>
              <w:spacing w:after="0"/>
              <w:rPr>
                <w:sz w:val="20"/>
                <w:szCs w:val="20"/>
                <w:color w:val="auto"/>
              </w:rPr>
            </w:pPr>
            <w:r>
              <w:rPr>
                <w:rFonts w:ascii="Arial" w:cs="Arial" w:eastAsia="Arial" w:hAnsi="Arial"/>
                <w:sz w:val="17"/>
                <w:szCs w:val="17"/>
                <w:color w:val="auto"/>
              </w:rPr>
              <w:t>33,435</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164,000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97%</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Staples / TJ</w:t>
            </w: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Maxx / Tower</w:t>
            </w:r>
          </w:p>
        </w:tc>
      </w:tr>
      <w:tr>
        <w:trPr>
          <w:trHeight w:val="207"/>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Plaza del</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2003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20,605 (8)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w:t>
            </w: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8"/>
              </w:rPr>
              <w:t>25,000</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Giant Food</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CVS</w:t>
            </w:r>
          </w:p>
        </w:tc>
      </w:tr>
      <w:tr>
        <w:trPr>
          <w:trHeight w:val="223"/>
        </w:trPr>
        <w:tc>
          <w:tcPr>
            <w:tcW w:w="220" w:type="dxa"/>
            <w:vAlign w:val="bottom"/>
            <w:shd w:val="clear" w:color="auto" w:fill="CCEEFF"/>
          </w:tcPr>
          <w:p>
            <w:pPr>
              <w:spacing w:after="0"/>
              <w:rPr>
                <w:sz w:val="19"/>
                <w:szCs w:val="19"/>
                <w:color w:val="auto"/>
              </w:rPr>
            </w:pPr>
          </w:p>
        </w:tc>
        <w:tc>
          <w:tcPr>
            <w:tcW w:w="10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Mercado</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Quince Orchard</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1993</w:t>
            </w:r>
          </w:p>
        </w:tc>
        <w:tc>
          <w:tcPr>
            <w:tcW w:w="820" w:type="dxa"/>
            <w:vAlign w:val="bottom"/>
          </w:tcPr>
          <w:p>
            <w:pPr>
              <w:jc w:val="right"/>
              <w:spacing w:after="0"/>
              <w:rPr>
                <w:sz w:val="20"/>
                <w:szCs w:val="20"/>
                <w:color w:val="auto"/>
              </w:rPr>
            </w:pPr>
            <w:r>
              <w:rPr>
                <w:rFonts w:ascii="Arial" w:cs="Arial" w:eastAsia="Arial" w:hAnsi="Arial"/>
                <w:sz w:val="17"/>
                <w:szCs w:val="17"/>
                <w:color w:val="auto"/>
              </w:rPr>
              <w:t>19,644</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252,000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820" w:type="dxa"/>
            <w:vAlign w:val="bottom"/>
          </w:tcPr>
          <w:p>
            <w:pPr>
              <w:spacing w:after="0"/>
              <w:rPr>
                <w:sz w:val="17"/>
                <w:szCs w:val="17"/>
                <w:color w:val="auto"/>
              </w:rPr>
            </w:pPr>
          </w:p>
        </w:tc>
        <w:tc>
          <w:tcPr>
            <w:tcW w:w="660" w:type="dxa"/>
            <w:vAlign w:val="bottom"/>
            <w:gridSpan w:val="2"/>
          </w:tcPr>
          <w:p>
            <w:pPr>
              <w:ind w:left="180"/>
              <w:spacing w:after="0"/>
              <w:rPr>
                <w:sz w:val="20"/>
                <w:szCs w:val="20"/>
                <w:color w:val="auto"/>
              </w:rPr>
            </w:pPr>
            <w:r>
              <w:rPr>
                <w:rFonts w:ascii="Arial" w:cs="Arial" w:eastAsia="Arial" w:hAnsi="Arial"/>
                <w:sz w:val="17"/>
                <w:szCs w:val="17"/>
                <w:color w:val="auto"/>
                <w:w w:val="88"/>
              </w:rPr>
              <w:t>24,000</w:t>
            </w: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Magruders</w:t>
            </w:r>
          </w:p>
        </w:tc>
        <w:tc>
          <w:tcPr>
            <w:tcW w:w="1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Circuit City /</w:t>
            </w: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Staples</w:t>
            </w:r>
          </w:p>
        </w:tc>
      </w:tr>
      <w:tr>
        <w:trPr>
          <w:trHeight w:val="207"/>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Rockville Town</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SR</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2004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N/A</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N/A</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Magruders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220" w:type="dxa"/>
            <w:vAlign w:val="bottom"/>
            <w:shd w:val="clear" w:color="auto" w:fill="CCEEFF"/>
          </w:tcPr>
          <w:p>
            <w:pPr>
              <w:spacing w:after="0"/>
              <w:rPr>
                <w:sz w:val="19"/>
                <w:szCs w:val="19"/>
                <w:color w:val="auto"/>
              </w:rPr>
            </w:pPr>
          </w:p>
        </w:tc>
        <w:tc>
          <w:tcPr>
            <w:tcW w:w="10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Square</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(signed)</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Rollingwood</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SR</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1971</w:t>
            </w:r>
          </w:p>
        </w:tc>
        <w:tc>
          <w:tcPr>
            <w:tcW w:w="820" w:type="dxa"/>
            <w:vAlign w:val="bottom"/>
          </w:tcPr>
          <w:p>
            <w:pPr>
              <w:jc w:val="right"/>
              <w:spacing w:after="0"/>
              <w:rPr>
                <w:sz w:val="20"/>
                <w:szCs w:val="20"/>
                <w:color w:val="auto"/>
              </w:rPr>
            </w:pPr>
            <w:r>
              <w:rPr>
                <w:rFonts w:ascii="Arial" w:cs="Arial" w:eastAsia="Arial" w:hAnsi="Arial"/>
                <w:sz w:val="17"/>
                <w:szCs w:val="17"/>
                <w:color w:val="auto"/>
              </w:rPr>
              <w:t>6,704</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ind w:left="460"/>
              <w:spacing w:after="0"/>
              <w:rPr>
                <w:sz w:val="20"/>
                <w:szCs w:val="20"/>
                <w:color w:val="auto"/>
              </w:rPr>
            </w:pPr>
            <w:r>
              <w:rPr>
                <w:rFonts w:ascii="Arial" w:cs="Arial" w:eastAsia="Arial" w:hAnsi="Arial"/>
                <w:sz w:val="17"/>
                <w:szCs w:val="17"/>
                <w:color w:val="auto"/>
              </w:rPr>
              <w:t>N/A</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220" w:type="dxa"/>
            <w:vAlign w:val="bottom"/>
          </w:tcPr>
          <w:p>
            <w:pPr>
              <w:spacing w:after="0"/>
              <w:rPr>
                <w:sz w:val="19"/>
                <w:szCs w:val="19"/>
                <w:color w:val="auto"/>
              </w:rPr>
            </w:pPr>
          </w:p>
        </w:tc>
        <w:tc>
          <w:tcPr>
            <w:tcW w:w="1040" w:type="dxa"/>
            <w:vAlign w:val="bottom"/>
            <w:gridSpan w:val="7"/>
          </w:tcPr>
          <w:p>
            <w:pPr>
              <w:spacing w:after="0"/>
              <w:rPr>
                <w:sz w:val="20"/>
                <w:szCs w:val="20"/>
                <w:color w:val="auto"/>
              </w:rPr>
            </w:pPr>
            <w:r>
              <w:rPr>
                <w:rFonts w:ascii="Arial" w:cs="Arial" w:eastAsia="Arial" w:hAnsi="Arial"/>
                <w:sz w:val="17"/>
                <w:szCs w:val="17"/>
                <w:color w:val="auto"/>
              </w:rPr>
              <w:t>Apartments</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7"/>
        </w:trPr>
        <w:tc>
          <w:tcPr>
            <w:tcW w:w="12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Sam’s Park &amp;</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SR</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1995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Petco</w:t>
            </w:r>
          </w:p>
        </w:tc>
      </w:tr>
      <w:tr>
        <w:trPr>
          <w:trHeight w:val="223"/>
        </w:trPr>
        <w:tc>
          <w:tcPr>
            <w:tcW w:w="220" w:type="dxa"/>
            <w:vAlign w:val="bottom"/>
            <w:shd w:val="clear" w:color="auto" w:fill="CCEEFF"/>
          </w:tcPr>
          <w:p>
            <w:pPr>
              <w:spacing w:after="0"/>
              <w:rPr>
                <w:sz w:val="19"/>
                <w:szCs w:val="19"/>
                <w:color w:val="auto"/>
              </w:rPr>
            </w:pPr>
          </w:p>
        </w:tc>
        <w:tc>
          <w:tcPr>
            <w:tcW w:w="10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Shop</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6"/>
        </w:trPr>
        <w:tc>
          <w:tcPr>
            <w:tcW w:w="1260" w:type="dxa"/>
            <w:vAlign w:val="bottom"/>
            <w:gridSpan w:val="8"/>
          </w:tcPr>
          <w:p>
            <w:pPr>
              <w:spacing w:after="0"/>
              <w:rPr>
                <w:sz w:val="20"/>
                <w:szCs w:val="20"/>
                <w:color w:val="auto"/>
              </w:rPr>
            </w:pPr>
            <w:r>
              <w:rPr>
                <w:rFonts w:ascii="Arial" w:cs="Arial" w:eastAsia="Arial" w:hAnsi="Arial"/>
                <w:sz w:val="17"/>
                <w:szCs w:val="17"/>
                <w:color w:val="auto"/>
              </w:rPr>
              <w:t>South Valley</w:t>
            </w: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2003</w:t>
            </w:r>
          </w:p>
        </w:tc>
        <w:tc>
          <w:tcPr>
            <w:tcW w:w="820" w:type="dxa"/>
            <w:vAlign w:val="bottom"/>
          </w:tcPr>
          <w:p>
            <w:pPr>
              <w:jc w:val="right"/>
              <w:spacing w:after="0"/>
              <w:rPr>
                <w:sz w:val="20"/>
                <w:szCs w:val="20"/>
                <w:color w:val="auto"/>
              </w:rPr>
            </w:pPr>
            <w:r>
              <w:rPr>
                <w:rFonts w:ascii="Arial" w:cs="Arial" w:eastAsia="Arial" w:hAnsi="Arial"/>
                <w:sz w:val="17"/>
                <w:szCs w:val="17"/>
                <w:color w:val="auto"/>
              </w:rPr>
              <w:t>14,458</w:t>
            </w:r>
          </w:p>
        </w:tc>
        <w:tc>
          <w:tcPr>
            <w:tcW w:w="3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218,000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85%</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Home Depot /</w:t>
            </w: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TJ Maxx</w:t>
            </w:r>
          </w:p>
        </w:tc>
      </w:tr>
      <w:tr>
        <w:trPr>
          <w:trHeight w:val="124"/>
        </w:trPr>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272"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Tower</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Washington,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1998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106,000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Virginia Fine</w:t>
            </w:r>
          </w:p>
        </w:tc>
        <w:tc>
          <w:tcPr>
            <w:tcW w:w="0" w:type="dxa"/>
            <w:vAlign w:val="bottom"/>
          </w:tcPr>
          <w:p>
            <w:pPr>
              <w:spacing w:after="0"/>
              <w:rPr>
                <w:sz w:val="1"/>
                <w:szCs w:val="1"/>
                <w:color w:val="auto"/>
              </w:rPr>
            </w:pPr>
          </w:p>
        </w:tc>
      </w:tr>
      <w:tr>
        <w:trPr>
          <w:trHeight w:val="223"/>
        </w:trPr>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Wine / Talbots</w:t>
            </w:r>
          </w:p>
        </w:tc>
        <w:tc>
          <w:tcPr>
            <w:tcW w:w="0" w:type="dxa"/>
            <w:vAlign w:val="bottom"/>
          </w:tcPr>
          <w:p>
            <w:pPr>
              <w:spacing w:after="0"/>
              <w:rPr>
                <w:sz w:val="1"/>
                <w:szCs w:val="1"/>
                <w:color w:val="auto"/>
              </w:rPr>
            </w:pPr>
          </w:p>
        </w:tc>
      </w:tr>
      <w:tr>
        <w:trPr>
          <w:trHeight w:val="134"/>
        </w:trPr>
        <w:tc>
          <w:tcPr>
            <w:tcW w:w="1220" w:type="dxa"/>
            <w:vAlign w:val="bottom"/>
            <w:gridSpan w:val="5"/>
            <w:vMerge w:val="restart"/>
          </w:tcPr>
          <w:p>
            <w:pPr>
              <w:spacing w:after="0"/>
              <w:rPr>
                <w:sz w:val="20"/>
                <w:szCs w:val="20"/>
                <w:color w:val="auto"/>
              </w:rPr>
            </w:pPr>
            <w:r>
              <w:rPr>
                <w:rFonts w:ascii="Arial" w:cs="Arial" w:eastAsia="Arial" w:hAnsi="Arial"/>
                <w:sz w:val="17"/>
                <w:szCs w:val="17"/>
                <w:color w:val="auto"/>
              </w:rPr>
              <w:t>Tyson’s Station</w:t>
            </w:r>
          </w:p>
        </w:tc>
        <w:tc>
          <w:tcPr>
            <w:tcW w:w="100" w:type="dxa"/>
            <w:vAlign w:val="bottom"/>
            <w:shd w:val="clear" w:color="auto" w:fill="CCEEFF"/>
          </w:tcPr>
          <w:p>
            <w:pPr>
              <w:spacing w:after="0"/>
              <w:rPr>
                <w:sz w:val="11"/>
                <w:szCs w:val="11"/>
                <w:color w:val="auto"/>
              </w:rPr>
            </w:pPr>
          </w:p>
        </w:tc>
        <w:tc>
          <w:tcPr>
            <w:tcW w:w="440" w:type="dxa"/>
            <w:vAlign w:val="bottom"/>
            <w:vMerge w:val="restart"/>
          </w:tcPr>
          <w:p>
            <w:pPr>
              <w:spacing w:after="0"/>
              <w:rPr>
                <w:sz w:val="20"/>
                <w:szCs w:val="20"/>
                <w:color w:val="auto"/>
              </w:rPr>
            </w:pPr>
            <w:r>
              <w:rPr>
                <w:rFonts w:ascii="Arial" w:cs="Arial" w:eastAsia="Arial" w:hAnsi="Arial"/>
                <w:sz w:val="17"/>
                <w:szCs w:val="17"/>
                <w:color w:val="auto"/>
              </w:rPr>
              <w:t>SC</w:t>
            </w:r>
          </w:p>
        </w:tc>
        <w:tc>
          <w:tcPr>
            <w:tcW w:w="100" w:type="dxa"/>
            <w:vAlign w:val="bottom"/>
            <w:shd w:val="clear" w:color="auto" w:fill="CCEEFF"/>
          </w:tcPr>
          <w:p>
            <w:pPr>
              <w:spacing w:after="0"/>
              <w:rPr>
                <w:sz w:val="11"/>
                <w:szCs w:val="11"/>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auto"/>
              </w:rPr>
              <w:t>Washington,</w:t>
            </w:r>
          </w:p>
        </w:tc>
        <w:tc>
          <w:tcPr>
            <w:tcW w:w="120" w:type="dxa"/>
            <w:vAlign w:val="bottom"/>
            <w:shd w:val="clear" w:color="auto" w:fill="CCEEFF"/>
          </w:tcPr>
          <w:p>
            <w:pPr>
              <w:spacing w:after="0"/>
              <w:rPr>
                <w:sz w:val="11"/>
                <w:szCs w:val="11"/>
                <w:color w:val="auto"/>
              </w:rPr>
            </w:pPr>
          </w:p>
        </w:tc>
        <w:tc>
          <w:tcPr>
            <w:tcW w:w="720" w:type="dxa"/>
            <w:vAlign w:val="bottom"/>
            <w:vMerge w:val="restart"/>
          </w:tcPr>
          <w:p>
            <w:pPr>
              <w:jc w:val="right"/>
              <w:ind w:right="33"/>
              <w:spacing w:after="0"/>
              <w:rPr>
                <w:sz w:val="20"/>
                <w:szCs w:val="20"/>
                <w:color w:val="auto"/>
              </w:rPr>
            </w:pPr>
            <w:r>
              <w:rPr>
                <w:rFonts w:ascii="Arial" w:cs="Arial" w:eastAsia="Arial" w:hAnsi="Arial"/>
                <w:sz w:val="17"/>
                <w:szCs w:val="17"/>
                <w:color w:val="auto"/>
              </w:rPr>
              <w:t>1978</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3,354</w:t>
            </w:r>
          </w:p>
        </w:tc>
        <w:tc>
          <w:tcPr>
            <w:tcW w:w="220" w:type="dxa"/>
            <w:vAlign w:val="bottom"/>
            <w:vMerge w:val="restart"/>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50,000</w:t>
            </w: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6,694</w:t>
            </w:r>
          </w:p>
        </w:tc>
        <w:tc>
          <w:tcPr>
            <w:tcW w:w="120" w:type="dxa"/>
            <w:vAlign w:val="bottom"/>
            <w:shd w:val="clear" w:color="auto" w:fill="CCEEFF"/>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7"/>
                <w:szCs w:val="17"/>
                <w:color w:val="auto"/>
              </w:rPr>
              <w:t>Trader Joes</w:t>
            </w:r>
          </w:p>
        </w:tc>
        <w:tc>
          <w:tcPr>
            <w:tcW w:w="0" w:type="dxa"/>
            <w:vAlign w:val="bottom"/>
          </w:tcPr>
          <w:p>
            <w:pPr>
              <w:spacing w:after="0"/>
              <w:rPr>
                <w:sz w:val="1"/>
                <w:szCs w:val="1"/>
                <w:color w:val="auto"/>
              </w:rPr>
            </w:pPr>
          </w:p>
        </w:tc>
      </w:tr>
      <w:tr>
        <w:trPr>
          <w:trHeight w:val="72"/>
        </w:trPr>
        <w:tc>
          <w:tcPr>
            <w:tcW w:w="12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2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Village at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SR</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1995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32,384</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204,000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Cineplex</w:t>
            </w:r>
          </w:p>
        </w:tc>
        <w:tc>
          <w:tcPr>
            <w:tcW w:w="0" w:type="dxa"/>
            <w:vAlign w:val="bottom"/>
          </w:tcPr>
          <w:p>
            <w:pPr>
              <w:spacing w:after="0"/>
              <w:rPr>
                <w:sz w:val="1"/>
                <w:szCs w:val="1"/>
                <w:color w:val="auto"/>
              </w:rPr>
            </w:pPr>
          </w:p>
        </w:tc>
      </w:tr>
      <w:tr>
        <w:trPr>
          <w:trHeight w:val="214"/>
        </w:trPr>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Shirlington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Odeon,</w:t>
            </w:r>
          </w:p>
        </w:tc>
        <w:tc>
          <w:tcPr>
            <w:tcW w:w="0" w:type="dxa"/>
            <w:vAlign w:val="bottom"/>
          </w:tcPr>
          <w:p>
            <w:pPr>
              <w:spacing w:after="0"/>
              <w:rPr>
                <w:sz w:val="1"/>
                <w:szCs w:val="1"/>
                <w:color w:val="auto"/>
              </w:rPr>
            </w:pPr>
          </w:p>
        </w:tc>
      </w:tr>
      <w:tr>
        <w:trPr>
          <w:trHeight w:val="214"/>
        </w:trPr>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Carlyle Grand</w:t>
            </w:r>
          </w:p>
        </w:tc>
        <w:tc>
          <w:tcPr>
            <w:tcW w:w="0" w:type="dxa"/>
            <w:vAlign w:val="bottom"/>
          </w:tcPr>
          <w:p>
            <w:pPr>
              <w:spacing w:after="0"/>
              <w:rPr>
                <w:sz w:val="1"/>
                <w:szCs w:val="1"/>
                <w:color w:val="auto"/>
              </w:rPr>
            </w:pPr>
          </w:p>
        </w:tc>
      </w:tr>
      <w:tr>
        <w:trPr>
          <w:trHeight w:val="223"/>
        </w:trPr>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Café</w:t>
            </w:r>
          </w:p>
        </w:tc>
        <w:tc>
          <w:tcPr>
            <w:tcW w:w="0" w:type="dxa"/>
            <w:vAlign w:val="bottom"/>
          </w:tcPr>
          <w:p>
            <w:pPr>
              <w:spacing w:after="0"/>
              <w:rPr>
                <w:sz w:val="1"/>
                <w:szCs w:val="1"/>
                <w:color w:val="auto"/>
              </w:rPr>
            </w:pPr>
          </w:p>
        </w:tc>
      </w:tr>
      <w:tr>
        <w:trPr>
          <w:trHeight w:val="206"/>
        </w:trPr>
        <w:tc>
          <w:tcPr>
            <w:tcW w:w="1220" w:type="dxa"/>
            <w:vAlign w:val="bottom"/>
            <w:gridSpan w:val="5"/>
          </w:tcPr>
          <w:p>
            <w:pPr>
              <w:spacing w:after="0"/>
              <w:rPr>
                <w:sz w:val="20"/>
                <w:szCs w:val="20"/>
                <w:color w:val="auto"/>
              </w:rPr>
            </w:pPr>
            <w:r>
              <w:rPr>
                <w:rFonts w:ascii="Arial" w:cs="Arial" w:eastAsia="Arial" w:hAnsi="Arial"/>
                <w:sz w:val="17"/>
                <w:szCs w:val="17"/>
                <w:color w:val="auto"/>
              </w:rPr>
              <w:t>Wildwood</w:t>
            </w:r>
          </w:p>
        </w:tc>
        <w:tc>
          <w:tcPr>
            <w:tcW w:w="540" w:type="dxa"/>
            <w:vAlign w:val="bottom"/>
            <w:gridSpan w:val="2"/>
          </w:tcPr>
          <w:p>
            <w:pPr>
              <w:ind w:left="10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Washington,</w:t>
            </w:r>
          </w:p>
        </w:tc>
        <w:tc>
          <w:tcPr>
            <w:tcW w:w="840" w:type="dxa"/>
            <w:vAlign w:val="bottom"/>
            <w:gridSpan w:val="2"/>
          </w:tcPr>
          <w:p>
            <w:pPr>
              <w:jc w:val="right"/>
              <w:ind w:right="33"/>
              <w:spacing w:after="0"/>
              <w:rPr>
                <w:sz w:val="20"/>
                <w:szCs w:val="20"/>
                <w:color w:val="auto"/>
              </w:rPr>
            </w:pPr>
            <w:r>
              <w:rPr>
                <w:rFonts w:ascii="Arial" w:cs="Arial" w:eastAsia="Arial" w:hAnsi="Arial"/>
                <w:sz w:val="17"/>
                <w:szCs w:val="17"/>
                <w:color w:val="auto"/>
              </w:rPr>
              <w:t>1969</w:t>
            </w:r>
          </w:p>
        </w:tc>
        <w:tc>
          <w:tcPr>
            <w:tcW w:w="820" w:type="dxa"/>
            <w:vAlign w:val="bottom"/>
          </w:tcPr>
          <w:p>
            <w:pPr>
              <w:jc w:val="right"/>
              <w:spacing w:after="0"/>
              <w:rPr>
                <w:sz w:val="20"/>
                <w:szCs w:val="20"/>
                <w:color w:val="auto"/>
              </w:rPr>
            </w:pPr>
            <w:r>
              <w:rPr>
                <w:rFonts w:ascii="Arial" w:cs="Arial" w:eastAsia="Arial" w:hAnsi="Arial"/>
                <w:sz w:val="17"/>
                <w:szCs w:val="17"/>
                <w:color w:val="auto"/>
              </w:rPr>
              <w:t>17,230</w:t>
            </w: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86,000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27,400</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20,000</w:t>
            </w: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Sutton</w:t>
            </w:r>
          </w:p>
        </w:tc>
        <w:tc>
          <w:tcPr>
            <w:tcW w:w="1280" w:type="dxa"/>
            <w:vAlign w:val="bottom"/>
          </w:tcPr>
          <w:p>
            <w:pPr>
              <w:ind w:left="100"/>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DC-MD-VA</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Place</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Gourmet</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725,268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4,885,000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98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8"/>
              </w:rPr>
              <w:t>Mid-Atlantic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000" w:type="dxa"/>
            <w:vAlign w:val="bottom"/>
            <w:gridSpan w:val="4"/>
          </w:tcPr>
          <w:p>
            <w:pPr>
              <w:spacing w:after="0" w:line="194" w:lineRule="exact"/>
              <w:rPr>
                <w:sz w:val="20"/>
                <w:szCs w:val="20"/>
                <w:color w:val="auto"/>
              </w:rPr>
            </w:pPr>
            <w:r>
              <w:rPr>
                <w:rFonts w:ascii="Arial" w:cs="Arial" w:eastAsia="Arial" w:hAnsi="Arial"/>
                <w:sz w:val="17"/>
                <w:szCs w:val="17"/>
                <w:b w:val="1"/>
                <w:bCs w:val="1"/>
                <w:color w:val="auto"/>
              </w:rPr>
              <w:t>Region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b w:val="1"/>
                <w:bCs w:val="1"/>
                <w:color w:val="auto"/>
              </w:rPr>
              <w:t>Other</w:t>
            </w:r>
          </w:p>
        </w:tc>
        <w:tc>
          <w:tcPr>
            <w:tcW w:w="3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Governor Plaza</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SC</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Baltimore, MD</w:t>
            </w:r>
          </w:p>
        </w:tc>
        <w:tc>
          <w:tcPr>
            <w:tcW w:w="8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1985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18,852</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269,000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Bally’s /</w:t>
            </w:r>
          </w:p>
        </w:tc>
        <w:tc>
          <w:tcPr>
            <w:tcW w:w="0" w:type="dxa"/>
            <w:vAlign w:val="bottom"/>
          </w:tcPr>
          <w:p>
            <w:pPr>
              <w:spacing w:after="0"/>
              <w:rPr>
                <w:sz w:val="1"/>
                <w:szCs w:val="1"/>
                <w:color w:val="auto"/>
              </w:rPr>
            </w:pPr>
          </w:p>
        </w:tc>
      </w:tr>
      <w:tr>
        <w:trPr>
          <w:trHeight w:val="214"/>
        </w:trPr>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Comp USA /</w:t>
            </w:r>
          </w:p>
        </w:tc>
        <w:tc>
          <w:tcPr>
            <w:tcW w:w="0" w:type="dxa"/>
            <w:vAlign w:val="bottom"/>
          </w:tcPr>
          <w:p>
            <w:pPr>
              <w:spacing w:after="0"/>
              <w:rPr>
                <w:sz w:val="1"/>
                <w:szCs w:val="1"/>
                <w:color w:val="auto"/>
              </w:rPr>
            </w:pPr>
          </w:p>
        </w:tc>
      </w:tr>
      <w:tr>
        <w:trPr>
          <w:trHeight w:val="214"/>
        </w:trPr>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Syms / Office</w:t>
            </w:r>
          </w:p>
        </w:tc>
        <w:tc>
          <w:tcPr>
            <w:tcW w:w="0" w:type="dxa"/>
            <w:vAlign w:val="bottom"/>
          </w:tcPr>
          <w:p>
            <w:pPr>
              <w:spacing w:after="0"/>
              <w:rPr>
                <w:sz w:val="1"/>
                <w:szCs w:val="1"/>
                <w:color w:val="auto"/>
              </w:rPr>
            </w:pPr>
          </w:p>
        </w:tc>
      </w:tr>
      <w:tr>
        <w:trPr>
          <w:trHeight w:val="223"/>
        </w:trPr>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Depot</w:t>
            </w:r>
          </w:p>
        </w:tc>
        <w:tc>
          <w:tcPr>
            <w:tcW w:w="0" w:type="dxa"/>
            <w:vAlign w:val="bottom"/>
          </w:tcPr>
          <w:p>
            <w:pPr>
              <w:spacing w:after="0"/>
              <w:rPr>
                <w:sz w:val="1"/>
                <w:szCs w:val="1"/>
                <w:color w:val="auto"/>
              </w:rPr>
            </w:pPr>
          </w:p>
        </w:tc>
      </w:tr>
      <w:tr>
        <w:trPr>
          <w:trHeight w:val="206"/>
        </w:trPr>
        <w:tc>
          <w:tcPr>
            <w:tcW w:w="1220" w:type="dxa"/>
            <w:vAlign w:val="bottom"/>
            <w:gridSpan w:val="5"/>
          </w:tcPr>
          <w:p>
            <w:pPr>
              <w:spacing w:after="0"/>
              <w:rPr>
                <w:sz w:val="20"/>
                <w:szCs w:val="20"/>
                <w:color w:val="auto"/>
              </w:rPr>
            </w:pPr>
            <w:r>
              <w:rPr>
                <w:rFonts w:ascii="Arial" w:cs="Arial" w:eastAsia="Arial" w:hAnsi="Arial"/>
                <w:sz w:val="17"/>
                <w:szCs w:val="17"/>
                <w:color w:val="auto"/>
              </w:rPr>
              <w:t>Perring Plaza</w:t>
            </w:r>
          </w:p>
        </w:tc>
        <w:tc>
          <w:tcPr>
            <w:tcW w:w="540" w:type="dxa"/>
            <w:vAlign w:val="bottom"/>
            <w:gridSpan w:val="2"/>
          </w:tcPr>
          <w:p>
            <w:pPr>
              <w:ind w:left="100"/>
              <w:spacing w:after="0"/>
              <w:rPr>
                <w:sz w:val="20"/>
                <w:szCs w:val="20"/>
                <w:color w:val="auto"/>
              </w:rPr>
            </w:pPr>
            <w:r>
              <w:rPr>
                <w:rFonts w:ascii="Arial" w:cs="Arial" w:eastAsia="Arial" w:hAnsi="Arial"/>
                <w:sz w:val="17"/>
                <w:szCs w:val="17"/>
                <w:color w:val="auto"/>
              </w:rPr>
              <w:t>SC</w:t>
            </w:r>
          </w:p>
        </w:tc>
        <w:tc>
          <w:tcPr>
            <w:tcW w:w="1280" w:type="dxa"/>
            <w:vAlign w:val="bottom"/>
            <w:gridSpan w:val="2"/>
          </w:tcPr>
          <w:p>
            <w:pPr>
              <w:ind w:left="100"/>
              <w:spacing w:after="0"/>
              <w:rPr>
                <w:sz w:val="20"/>
                <w:szCs w:val="20"/>
                <w:color w:val="auto"/>
              </w:rPr>
            </w:pPr>
            <w:r>
              <w:rPr>
                <w:rFonts w:ascii="Arial" w:cs="Arial" w:eastAsia="Arial" w:hAnsi="Arial"/>
                <w:sz w:val="17"/>
                <w:szCs w:val="17"/>
                <w:color w:val="auto"/>
              </w:rPr>
              <w:t>Baltimore, MD</w:t>
            </w:r>
          </w:p>
        </w:tc>
        <w:tc>
          <w:tcPr>
            <w:tcW w:w="840" w:type="dxa"/>
            <w:vAlign w:val="bottom"/>
            <w:gridSpan w:val="2"/>
          </w:tcPr>
          <w:p>
            <w:pPr>
              <w:jc w:val="right"/>
              <w:ind w:right="33"/>
              <w:spacing w:after="0"/>
              <w:rPr>
                <w:sz w:val="20"/>
                <w:szCs w:val="20"/>
                <w:color w:val="auto"/>
              </w:rPr>
            </w:pPr>
            <w:r>
              <w:rPr>
                <w:rFonts w:ascii="Arial" w:cs="Arial" w:eastAsia="Arial" w:hAnsi="Arial"/>
                <w:sz w:val="17"/>
                <w:szCs w:val="17"/>
                <w:color w:val="auto"/>
              </w:rPr>
              <w:t>1985</w:t>
            </w:r>
          </w:p>
        </w:tc>
        <w:tc>
          <w:tcPr>
            <w:tcW w:w="820" w:type="dxa"/>
            <w:vAlign w:val="bottom"/>
          </w:tcPr>
          <w:p>
            <w:pPr>
              <w:jc w:val="right"/>
              <w:spacing w:after="0"/>
              <w:rPr>
                <w:sz w:val="20"/>
                <w:szCs w:val="20"/>
                <w:color w:val="auto"/>
              </w:rPr>
            </w:pPr>
            <w:r>
              <w:rPr>
                <w:rFonts w:ascii="Arial" w:cs="Arial" w:eastAsia="Arial" w:hAnsi="Arial"/>
                <w:sz w:val="17"/>
                <w:szCs w:val="17"/>
                <w:color w:val="auto"/>
              </w:rPr>
              <w:t>24,470</w:t>
            </w: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99.9%</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401,000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58,000</w:t>
            </w: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Shoppers</w:t>
            </w:r>
          </w:p>
        </w:tc>
        <w:tc>
          <w:tcPr>
            <w:tcW w:w="1280" w:type="dxa"/>
            <w:vAlign w:val="bottom"/>
          </w:tcPr>
          <w:p>
            <w:pPr>
              <w:ind w:left="100"/>
              <w:spacing w:after="0"/>
              <w:rPr>
                <w:sz w:val="20"/>
                <w:szCs w:val="20"/>
                <w:color w:val="auto"/>
              </w:rPr>
            </w:pPr>
            <w:r>
              <w:rPr>
                <w:rFonts w:ascii="Arial" w:cs="Arial" w:eastAsia="Arial" w:hAnsi="Arial"/>
                <w:sz w:val="17"/>
                <w:szCs w:val="17"/>
                <w:color w:val="auto"/>
              </w:rPr>
              <w:t>Home Depot /</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Food</w:t>
            </w:r>
          </w:p>
        </w:tc>
        <w:tc>
          <w:tcPr>
            <w:tcW w:w="1280" w:type="dxa"/>
            <w:vAlign w:val="bottom"/>
          </w:tcPr>
          <w:p>
            <w:pPr>
              <w:ind w:left="100"/>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w w:val="98"/>
              </w:rPr>
              <w:t>Warehouse</w:t>
            </w:r>
          </w:p>
        </w:tc>
        <w:tc>
          <w:tcPr>
            <w:tcW w:w="1280" w:type="dxa"/>
            <w:vAlign w:val="bottom"/>
          </w:tcPr>
          <w:p>
            <w:pPr>
              <w:ind w:left="100"/>
              <w:spacing w:after="0"/>
              <w:rPr>
                <w:sz w:val="20"/>
                <w:szCs w:val="20"/>
                <w:color w:val="auto"/>
              </w:rPr>
            </w:pPr>
            <w:r>
              <w:rPr>
                <w:rFonts w:ascii="Arial" w:cs="Arial" w:eastAsia="Arial" w:hAnsi="Arial"/>
                <w:sz w:val="17"/>
                <w:szCs w:val="17"/>
                <w:color w:val="auto"/>
              </w:rPr>
              <w:t>Coat Factory</w:t>
            </w:r>
          </w:p>
        </w:tc>
        <w:tc>
          <w:tcPr>
            <w:tcW w:w="0" w:type="dxa"/>
            <w:vAlign w:val="bottom"/>
          </w:tcPr>
          <w:p>
            <w:pPr>
              <w:spacing w:after="0"/>
              <w:rPr>
                <w:sz w:val="1"/>
                <w:szCs w:val="1"/>
                <w:color w:val="auto"/>
              </w:rPr>
            </w:pPr>
          </w:p>
        </w:tc>
      </w:tr>
      <w:tr>
        <w:trPr>
          <w:trHeight w:val="207"/>
        </w:trPr>
        <w:tc>
          <w:tcPr>
            <w:tcW w:w="12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Barracks Road</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SC</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Charlottesville,</w:t>
            </w:r>
          </w:p>
        </w:tc>
        <w:tc>
          <w:tcPr>
            <w:tcW w:w="8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1985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39,734</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483,000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43,980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91,000</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Harris</w:t>
            </w: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VA</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Teeter /</w:t>
            </w: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Kroger</w:t>
            </w: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Barnes &amp;</w:t>
            </w:r>
          </w:p>
        </w:tc>
        <w:tc>
          <w:tcPr>
            <w:tcW w:w="0" w:type="dxa"/>
            <w:vAlign w:val="bottom"/>
          </w:tcPr>
          <w:p>
            <w:pPr>
              <w:spacing w:after="0"/>
              <w:rPr>
                <w:sz w:val="1"/>
                <w:szCs w:val="1"/>
                <w:color w:val="auto"/>
              </w:rPr>
            </w:pPr>
          </w:p>
        </w:tc>
      </w:tr>
      <w:tr>
        <w:trPr>
          <w:trHeight w:val="214"/>
        </w:trPr>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Noble / Old</w:t>
            </w:r>
          </w:p>
        </w:tc>
        <w:tc>
          <w:tcPr>
            <w:tcW w:w="0" w:type="dxa"/>
            <w:vAlign w:val="bottom"/>
          </w:tcPr>
          <w:p>
            <w:pPr>
              <w:spacing w:after="0"/>
              <w:rPr>
                <w:sz w:val="1"/>
                <w:szCs w:val="1"/>
                <w:color w:val="auto"/>
              </w:rPr>
            </w:pPr>
          </w:p>
        </w:tc>
      </w:tr>
      <w:tr>
        <w:trPr>
          <w:trHeight w:val="223"/>
        </w:trPr>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Navy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40" w:right="239" w:bottom="0" w:gutter="0" w:footer="0" w:header="0"/>
        </w:sectPr>
      </w:pPr>
    </w:p>
    <w:tbl>
      <w:tblPr>
        <w:tblLayout w:type="fixed"/>
        <w:tblInd w:w="0" w:type="dxa"/>
        <w:tblCellMar>
          <w:top w:w="0" w:type="dxa"/>
          <w:left w:w="0" w:type="dxa"/>
          <w:bottom w:w="0" w:type="dxa"/>
          <w:right w:w="0" w:type="dxa"/>
        </w:tblCellMar>
      </w:tblPr>
      <w:tr>
        <w:trPr>
          <w:trHeight w:val="206"/>
        </w:trPr>
        <w:tc>
          <w:tcPr>
            <w:tcW w:w="1260" w:type="dxa"/>
            <w:vAlign w:val="bottom"/>
            <w:gridSpan w:val="6"/>
          </w:tcPr>
          <w:p>
            <w:pPr>
              <w:spacing w:after="0"/>
              <w:rPr>
                <w:sz w:val="20"/>
                <w:szCs w:val="20"/>
                <w:color w:val="auto"/>
              </w:rPr>
            </w:pPr>
            <w:r>
              <w:rPr>
                <w:rFonts w:ascii="Arial" w:cs="Arial" w:eastAsia="Arial" w:hAnsi="Arial"/>
                <w:sz w:val="17"/>
                <w:szCs w:val="17"/>
                <w:color w:val="auto"/>
              </w:rPr>
              <w:t>Winter Park</w:t>
            </w:r>
          </w:p>
        </w:tc>
        <w:tc>
          <w:tcPr>
            <w:tcW w:w="440" w:type="dxa"/>
            <w:vAlign w:val="bottom"/>
          </w:tcPr>
          <w:p>
            <w:pPr>
              <w:ind w:left="60"/>
              <w:spacing w:after="0"/>
              <w:rPr>
                <w:sz w:val="20"/>
                <w:szCs w:val="20"/>
                <w:color w:val="auto"/>
              </w:rPr>
            </w:pPr>
            <w:r>
              <w:rPr>
                <w:rFonts w:ascii="Arial" w:cs="Arial" w:eastAsia="Arial" w:hAnsi="Arial"/>
                <w:sz w:val="17"/>
                <w:szCs w:val="17"/>
                <w:color w:val="auto"/>
              </w:rPr>
              <w:t>SR</w:t>
            </w:r>
          </w:p>
        </w:tc>
        <w:tc>
          <w:tcPr>
            <w:tcW w:w="1400" w:type="dxa"/>
            <w:vAlign w:val="bottom"/>
          </w:tcPr>
          <w:p>
            <w:pPr>
              <w:ind w:left="160"/>
              <w:spacing w:after="0"/>
              <w:rPr>
                <w:sz w:val="20"/>
                <w:szCs w:val="20"/>
                <w:color w:val="auto"/>
              </w:rPr>
            </w:pPr>
            <w:r>
              <w:rPr>
                <w:rFonts w:ascii="Arial" w:cs="Arial" w:eastAsia="Arial" w:hAnsi="Arial"/>
                <w:sz w:val="17"/>
                <w:szCs w:val="17"/>
                <w:color w:val="auto"/>
              </w:rPr>
              <w:t>Orlando, FL</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1996</w:t>
            </w:r>
          </w:p>
        </w:tc>
        <w:tc>
          <w:tcPr>
            <w:tcW w:w="820" w:type="dxa"/>
            <w:vAlign w:val="bottom"/>
          </w:tcPr>
          <w:p>
            <w:pPr>
              <w:jc w:val="right"/>
              <w:spacing w:after="0"/>
              <w:rPr>
                <w:sz w:val="20"/>
                <w:szCs w:val="20"/>
                <w:color w:val="auto"/>
              </w:rPr>
            </w:pPr>
            <w:r>
              <w:rPr>
                <w:rFonts w:ascii="Arial" w:cs="Arial" w:eastAsia="Arial" w:hAnsi="Arial"/>
                <w:sz w:val="17"/>
                <w:szCs w:val="17"/>
                <w:color w:val="auto"/>
              </w:rPr>
              <w:t>6,878</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4"/>
        </w:trPr>
        <w:tc>
          <w:tcPr>
            <w:tcW w:w="1260" w:type="dxa"/>
            <w:vAlign w:val="bottom"/>
            <w:gridSpan w:val="6"/>
          </w:tcPr>
          <w:p>
            <w:pPr>
              <w:spacing w:after="0"/>
              <w:rPr>
                <w:sz w:val="20"/>
                <w:szCs w:val="20"/>
                <w:color w:val="auto"/>
              </w:rPr>
            </w:pPr>
            <w:r>
              <w:rPr>
                <w:rFonts w:ascii="Arial" w:cs="Arial" w:eastAsia="Arial" w:hAnsi="Arial"/>
                <w:sz w:val="17"/>
                <w:szCs w:val="17"/>
                <w:color w:val="auto"/>
              </w:rPr>
              <w:t>Eastgate</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Raleigh-</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1986</w:t>
            </w:r>
          </w:p>
        </w:tc>
        <w:tc>
          <w:tcPr>
            <w:tcW w:w="820" w:type="dxa"/>
            <w:vAlign w:val="bottom"/>
          </w:tcPr>
          <w:p>
            <w:pPr>
              <w:jc w:val="right"/>
              <w:spacing w:after="0"/>
              <w:rPr>
                <w:sz w:val="20"/>
                <w:szCs w:val="20"/>
                <w:color w:val="auto"/>
              </w:rPr>
            </w:pPr>
            <w:r>
              <w:rPr>
                <w:rFonts w:ascii="Arial" w:cs="Arial" w:eastAsia="Arial" w:hAnsi="Arial"/>
                <w:sz w:val="17"/>
                <w:szCs w:val="17"/>
                <w:color w:val="auto"/>
              </w:rPr>
              <w:t>17,377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Durham-</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Chapel Hill,</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NC</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60" w:type="dxa"/>
            <w:vAlign w:val="bottom"/>
            <w:gridSpan w:val="6"/>
          </w:tcPr>
          <w:p>
            <w:pPr>
              <w:spacing w:after="0"/>
              <w:rPr>
                <w:sz w:val="20"/>
                <w:szCs w:val="20"/>
                <w:color w:val="auto"/>
              </w:rPr>
            </w:pPr>
            <w:r>
              <w:rPr>
                <w:rFonts w:ascii="Arial" w:cs="Arial" w:eastAsia="Arial" w:hAnsi="Arial"/>
                <w:sz w:val="17"/>
                <w:szCs w:val="17"/>
                <w:color w:val="auto"/>
              </w:rPr>
              <w:t>Shops at Willow</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Richmond-</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1983</w:t>
            </w:r>
          </w:p>
        </w:tc>
        <w:tc>
          <w:tcPr>
            <w:tcW w:w="820" w:type="dxa"/>
            <w:vAlign w:val="bottom"/>
          </w:tcPr>
          <w:p>
            <w:pPr>
              <w:jc w:val="right"/>
              <w:spacing w:after="0"/>
              <w:rPr>
                <w:sz w:val="20"/>
                <w:szCs w:val="20"/>
                <w:color w:val="auto"/>
              </w:rPr>
            </w:pPr>
            <w:r>
              <w:rPr>
                <w:rFonts w:ascii="Arial" w:cs="Arial" w:eastAsia="Arial" w:hAnsi="Arial"/>
                <w:sz w:val="17"/>
                <w:szCs w:val="17"/>
                <w:color w:val="auto"/>
              </w:rPr>
              <w:t>60,984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99.9%</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7"/>
                <w:szCs w:val="17"/>
                <w:color w:val="auto"/>
              </w:rPr>
              <w:t>Lawn</w:t>
            </w:r>
          </w:p>
        </w:tc>
        <w:tc>
          <w:tcPr>
            <w:tcW w:w="44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Petersburg,</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VA</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168,295</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ind w:left="160"/>
              <w:spacing w:after="0"/>
              <w:rPr>
                <w:sz w:val="20"/>
                <w:szCs w:val="20"/>
                <w:color w:val="auto"/>
              </w:rPr>
            </w:pPr>
            <w:r>
              <w:rPr>
                <w:rFonts w:ascii="Arial" w:cs="Arial" w:eastAsia="Arial" w:hAnsi="Arial"/>
                <w:sz w:val="17"/>
                <w:szCs w:val="17"/>
                <w:b w:val="1"/>
                <w:bCs w:val="1"/>
                <w:color w:val="auto"/>
              </w:rPr>
              <w:t>Total Mid-</w:t>
            </w:r>
          </w:p>
        </w:tc>
        <w:tc>
          <w:tcPr>
            <w:tcW w:w="7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893,563</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7"/>
                <w:szCs w:val="17"/>
                <w:b w:val="1"/>
                <w:bCs w:val="1"/>
                <w:color w:val="auto"/>
              </w:rPr>
              <w:t>Atlantic</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260" w:type="dxa"/>
            <w:vAlign w:val="bottom"/>
            <w:gridSpan w:val="6"/>
            <w:vMerge w:val="restart"/>
          </w:tcPr>
          <w:p>
            <w:pPr>
              <w:spacing w:after="0"/>
              <w:rPr>
                <w:sz w:val="20"/>
                <w:szCs w:val="20"/>
                <w:color w:val="auto"/>
              </w:rPr>
            </w:pPr>
            <w:r>
              <w:rPr>
                <w:rFonts w:ascii="Arial" w:cs="Arial" w:eastAsia="Arial" w:hAnsi="Arial"/>
                <w:sz w:val="17"/>
                <w:szCs w:val="17"/>
                <w:b w:val="1"/>
                <w:bCs w:val="1"/>
                <w:color w:val="auto"/>
              </w:rPr>
              <w:t>Northeast</w:t>
            </w:r>
          </w:p>
        </w:tc>
        <w:tc>
          <w:tcPr>
            <w:tcW w:w="440" w:type="dxa"/>
            <w:vAlign w:val="bottom"/>
          </w:tcPr>
          <w:p>
            <w:pPr>
              <w:spacing w:after="0"/>
              <w:rPr>
                <w:sz w:val="19"/>
                <w:szCs w:val="19"/>
                <w:color w:val="auto"/>
              </w:rPr>
            </w:pPr>
          </w:p>
        </w:tc>
        <w:tc>
          <w:tcPr>
            <w:tcW w:w="1400" w:type="dxa"/>
            <w:vAlign w:val="bottom"/>
          </w:tcPr>
          <w:p>
            <w:pPr>
              <w:ind w:left="160"/>
              <w:spacing w:after="0"/>
              <w:rPr>
                <w:sz w:val="20"/>
                <w:szCs w:val="20"/>
                <w:color w:val="auto"/>
              </w:rPr>
            </w:pPr>
            <w:r>
              <w:rPr>
                <w:rFonts w:ascii="Arial" w:cs="Arial" w:eastAsia="Arial" w:hAnsi="Arial"/>
                <w:sz w:val="17"/>
                <w:szCs w:val="17"/>
                <w:b w:val="1"/>
                <w:bCs w:val="1"/>
                <w:color w:val="auto"/>
              </w:rPr>
              <w:t>Region</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20" w:type="dxa"/>
            <w:vAlign w:val="bottom"/>
          </w:tcPr>
          <w:p>
            <w:pPr>
              <w:spacing w:after="0"/>
              <w:rPr>
                <w:sz w:val="16"/>
                <w:szCs w:val="16"/>
                <w:color w:val="auto"/>
              </w:rPr>
            </w:pPr>
          </w:p>
        </w:tc>
        <w:tc>
          <w:tcPr>
            <w:tcW w:w="1040" w:type="dxa"/>
            <w:vAlign w:val="bottom"/>
            <w:gridSpan w:val="5"/>
          </w:tcPr>
          <w:p>
            <w:pPr>
              <w:spacing w:after="0" w:line="194" w:lineRule="exact"/>
              <w:rPr>
                <w:sz w:val="20"/>
                <w:szCs w:val="20"/>
                <w:color w:val="auto"/>
              </w:rPr>
            </w:pPr>
            <w:r>
              <w:rPr>
                <w:rFonts w:ascii="Arial" w:cs="Arial" w:eastAsia="Arial" w:hAnsi="Arial"/>
                <w:sz w:val="17"/>
                <w:szCs w:val="17"/>
                <w:b w:val="1"/>
                <w:bCs w:val="1"/>
                <w:color w:val="auto"/>
              </w:rPr>
              <w:t>Region</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260" w:type="dxa"/>
            <w:vAlign w:val="bottom"/>
            <w:gridSpan w:val="6"/>
          </w:tcPr>
          <w:p>
            <w:pPr>
              <w:spacing w:after="0"/>
              <w:rPr>
                <w:sz w:val="20"/>
                <w:szCs w:val="20"/>
                <w:color w:val="auto"/>
              </w:rPr>
            </w:pPr>
            <w:r>
              <w:rPr>
                <w:rFonts w:ascii="Arial" w:cs="Arial" w:eastAsia="Arial" w:hAnsi="Arial"/>
                <w:sz w:val="17"/>
                <w:szCs w:val="17"/>
                <w:b w:val="1"/>
                <w:bCs w:val="1"/>
                <w:color w:val="auto"/>
              </w:rPr>
              <w:t>Philadelphia</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20" w:type="dxa"/>
            <w:vAlign w:val="bottom"/>
          </w:tcPr>
          <w:p>
            <w:pPr>
              <w:spacing w:after="0"/>
              <w:rPr>
                <w:sz w:val="16"/>
                <w:szCs w:val="16"/>
                <w:color w:val="auto"/>
              </w:rPr>
            </w:pPr>
          </w:p>
        </w:tc>
        <w:tc>
          <w:tcPr>
            <w:tcW w:w="1040" w:type="dxa"/>
            <w:vAlign w:val="bottom"/>
            <w:gridSpan w:val="5"/>
          </w:tcPr>
          <w:p>
            <w:pPr>
              <w:spacing w:after="0" w:line="194" w:lineRule="exact"/>
              <w:rPr>
                <w:sz w:val="20"/>
                <w:szCs w:val="20"/>
                <w:color w:val="auto"/>
              </w:rPr>
            </w:pPr>
            <w:r>
              <w:rPr>
                <w:rFonts w:ascii="Arial" w:cs="Arial" w:eastAsia="Arial" w:hAnsi="Arial"/>
                <w:sz w:val="17"/>
                <w:szCs w:val="17"/>
                <w:b w:val="1"/>
                <w:bCs w:val="1"/>
                <w:color w:val="auto"/>
                <w:w w:val="99"/>
              </w:rPr>
              <w:t>Metropolitan</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98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b w:val="1"/>
                <w:bCs w:val="1"/>
                <w:color w:val="auto"/>
              </w:rPr>
              <w:t>Area</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260" w:type="dxa"/>
            <w:vAlign w:val="bottom"/>
            <w:gridSpan w:val="6"/>
          </w:tcPr>
          <w:p>
            <w:pPr>
              <w:spacing w:after="0"/>
              <w:rPr>
                <w:sz w:val="20"/>
                <w:szCs w:val="20"/>
                <w:color w:val="auto"/>
              </w:rPr>
            </w:pPr>
            <w:r>
              <w:rPr>
                <w:rFonts w:ascii="Arial" w:cs="Arial" w:eastAsia="Arial" w:hAnsi="Arial"/>
                <w:sz w:val="17"/>
                <w:szCs w:val="17"/>
                <w:color w:val="auto"/>
              </w:rPr>
              <w:t>Andorra</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Philadelphia,</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1988</w:t>
            </w:r>
          </w:p>
        </w:tc>
        <w:tc>
          <w:tcPr>
            <w:tcW w:w="820" w:type="dxa"/>
            <w:vAlign w:val="bottom"/>
          </w:tcPr>
          <w:p>
            <w:pPr>
              <w:jc w:val="right"/>
              <w:spacing w:after="0"/>
              <w:rPr>
                <w:sz w:val="20"/>
                <w:szCs w:val="20"/>
                <w:color w:val="auto"/>
              </w:rPr>
            </w:pPr>
            <w:r>
              <w:rPr>
                <w:rFonts w:ascii="Arial" w:cs="Arial" w:eastAsia="Arial" w:hAnsi="Arial"/>
                <w:sz w:val="17"/>
                <w:szCs w:val="17"/>
                <w:color w:val="auto"/>
              </w:rPr>
              <w:t>20,835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99.9%</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PA-NJ</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60" w:type="dxa"/>
            <w:vAlign w:val="bottom"/>
            <w:gridSpan w:val="6"/>
          </w:tcPr>
          <w:p>
            <w:pPr>
              <w:spacing w:after="0"/>
              <w:rPr>
                <w:sz w:val="20"/>
                <w:szCs w:val="20"/>
                <w:color w:val="auto"/>
              </w:rPr>
            </w:pPr>
            <w:r>
              <w:rPr>
                <w:rFonts w:ascii="Arial" w:cs="Arial" w:eastAsia="Arial" w:hAnsi="Arial"/>
                <w:sz w:val="17"/>
                <w:szCs w:val="17"/>
                <w:color w:val="auto"/>
              </w:rPr>
              <w:t>Bala Cynwyd</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Philadelphia,</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1993</w:t>
            </w:r>
          </w:p>
        </w:tc>
        <w:tc>
          <w:tcPr>
            <w:tcW w:w="820" w:type="dxa"/>
            <w:vAlign w:val="bottom"/>
          </w:tcPr>
          <w:p>
            <w:pPr>
              <w:jc w:val="right"/>
              <w:spacing w:after="0"/>
              <w:rPr>
                <w:sz w:val="20"/>
                <w:szCs w:val="20"/>
                <w:color w:val="auto"/>
              </w:rPr>
            </w:pPr>
            <w:r>
              <w:rPr>
                <w:rFonts w:ascii="Arial" w:cs="Arial" w:eastAsia="Arial" w:hAnsi="Arial"/>
                <w:sz w:val="17"/>
                <w:szCs w:val="17"/>
                <w:color w:val="auto"/>
              </w:rPr>
              <w:t>25,082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PA-NJ</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60" w:type="dxa"/>
            <w:vAlign w:val="bottom"/>
            <w:gridSpan w:val="6"/>
          </w:tcPr>
          <w:p>
            <w:pPr>
              <w:spacing w:after="0"/>
              <w:rPr>
                <w:sz w:val="20"/>
                <w:szCs w:val="20"/>
                <w:color w:val="auto"/>
              </w:rPr>
            </w:pPr>
            <w:r>
              <w:rPr>
                <w:rFonts w:ascii="Arial" w:cs="Arial" w:eastAsia="Arial" w:hAnsi="Arial"/>
                <w:sz w:val="17"/>
                <w:szCs w:val="17"/>
                <w:color w:val="auto"/>
              </w:rPr>
              <w:t>Ellisburg Circle</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Philadelphia,</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1992</w:t>
            </w:r>
          </w:p>
        </w:tc>
        <w:tc>
          <w:tcPr>
            <w:tcW w:w="820" w:type="dxa"/>
            <w:vAlign w:val="bottom"/>
          </w:tcPr>
          <w:p>
            <w:pPr>
              <w:jc w:val="right"/>
              <w:spacing w:after="0"/>
              <w:rPr>
                <w:sz w:val="20"/>
                <w:szCs w:val="20"/>
                <w:color w:val="auto"/>
              </w:rPr>
            </w:pPr>
            <w:r>
              <w:rPr>
                <w:rFonts w:ascii="Arial" w:cs="Arial" w:eastAsia="Arial" w:hAnsi="Arial"/>
                <w:sz w:val="17"/>
                <w:szCs w:val="17"/>
                <w:color w:val="auto"/>
              </w:rPr>
              <w:t>28,932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PA-NJ</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1260" w:type="dxa"/>
            <w:vAlign w:val="bottom"/>
            <w:gridSpan w:val="6"/>
          </w:tcPr>
          <w:p>
            <w:pPr>
              <w:spacing w:after="0"/>
              <w:rPr>
                <w:sz w:val="20"/>
                <w:szCs w:val="20"/>
                <w:color w:val="auto"/>
              </w:rPr>
            </w:pPr>
            <w:r>
              <w:rPr>
                <w:rFonts w:ascii="Arial" w:cs="Arial" w:eastAsia="Arial" w:hAnsi="Arial"/>
                <w:sz w:val="17"/>
                <w:szCs w:val="17"/>
                <w:color w:val="auto"/>
              </w:rPr>
              <w:t>Feasterville</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Philadelphia,</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1980</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11,657</w:t>
            </w: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PA-NJ</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60" w:type="dxa"/>
            <w:vAlign w:val="bottom"/>
            <w:gridSpan w:val="6"/>
          </w:tcPr>
          <w:p>
            <w:pPr>
              <w:spacing w:after="0"/>
              <w:rPr>
                <w:sz w:val="20"/>
                <w:szCs w:val="20"/>
                <w:color w:val="auto"/>
              </w:rPr>
            </w:pPr>
            <w:r>
              <w:rPr>
                <w:rFonts w:ascii="Arial" w:cs="Arial" w:eastAsia="Arial" w:hAnsi="Arial"/>
                <w:sz w:val="17"/>
                <w:szCs w:val="17"/>
                <w:color w:val="auto"/>
              </w:rPr>
              <w:t>Flourtown</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Philadelphia,</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1980</w:t>
            </w:r>
          </w:p>
        </w:tc>
        <w:tc>
          <w:tcPr>
            <w:tcW w:w="820" w:type="dxa"/>
            <w:vAlign w:val="bottom"/>
          </w:tcPr>
          <w:p>
            <w:pPr>
              <w:jc w:val="right"/>
              <w:spacing w:after="0"/>
              <w:rPr>
                <w:sz w:val="20"/>
                <w:szCs w:val="20"/>
                <w:color w:val="auto"/>
              </w:rPr>
            </w:pPr>
            <w:r>
              <w:rPr>
                <w:rFonts w:ascii="Arial" w:cs="Arial" w:eastAsia="Arial" w:hAnsi="Arial"/>
                <w:sz w:val="17"/>
                <w:szCs w:val="17"/>
                <w:color w:val="auto"/>
              </w:rPr>
              <w:t>8,941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PA-NJ</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60" w:type="dxa"/>
            <w:vAlign w:val="bottom"/>
            <w:gridSpan w:val="6"/>
          </w:tcPr>
          <w:p>
            <w:pPr>
              <w:spacing w:after="0"/>
              <w:rPr>
                <w:sz w:val="20"/>
                <w:szCs w:val="20"/>
                <w:color w:val="auto"/>
              </w:rPr>
            </w:pPr>
            <w:r>
              <w:rPr>
                <w:rFonts w:ascii="Arial" w:cs="Arial" w:eastAsia="Arial" w:hAnsi="Arial"/>
                <w:sz w:val="17"/>
                <w:szCs w:val="17"/>
                <w:color w:val="auto"/>
              </w:rPr>
              <w:t>Langhorne</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Philadelphia,</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1985</w:t>
            </w:r>
          </w:p>
        </w:tc>
        <w:tc>
          <w:tcPr>
            <w:tcW w:w="820" w:type="dxa"/>
            <w:vAlign w:val="bottom"/>
          </w:tcPr>
          <w:p>
            <w:pPr>
              <w:jc w:val="right"/>
              <w:spacing w:after="0"/>
              <w:rPr>
                <w:sz w:val="20"/>
                <w:szCs w:val="20"/>
                <w:color w:val="auto"/>
              </w:rPr>
            </w:pPr>
            <w:r>
              <w:rPr>
                <w:rFonts w:ascii="Arial" w:cs="Arial" w:eastAsia="Arial" w:hAnsi="Arial"/>
                <w:sz w:val="17"/>
                <w:szCs w:val="17"/>
                <w:color w:val="auto"/>
              </w:rPr>
              <w:t>17,683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Arial" w:cs="Arial" w:eastAsia="Arial" w:hAnsi="Arial"/>
                <w:sz w:val="17"/>
                <w:szCs w:val="17"/>
                <w:color w:val="auto"/>
              </w:rPr>
              <w:t>Square</w:t>
            </w:r>
          </w:p>
        </w:tc>
        <w:tc>
          <w:tcPr>
            <w:tcW w:w="440" w:type="dxa"/>
            <w:vAlign w:val="bottom"/>
          </w:tcPr>
          <w:p>
            <w:pPr>
              <w:spacing w:after="0"/>
              <w:rPr>
                <w:sz w:val="19"/>
                <w:szCs w:val="19"/>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PA-NJ</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1260" w:type="dxa"/>
            <w:vAlign w:val="bottom"/>
            <w:gridSpan w:val="6"/>
          </w:tcPr>
          <w:p>
            <w:pPr>
              <w:spacing w:after="0"/>
              <w:rPr>
                <w:sz w:val="20"/>
                <w:szCs w:val="20"/>
                <w:color w:val="auto"/>
              </w:rPr>
            </w:pPr>
            <w:r>
              <w:rPr>
                <w:rFonts w:ascii="Arial" w:cs="Arial" w:eastAsia="Arial" w:hAnsi="Arial"/>
                <w:sz w:val="17"/>
                <w:szCs w:val="17"/>
                <w:color w:val="auto"/>
              </w:rPr>
              <w:t>Lawrence Park</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Philadelphia,</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1980</w:t>
            </w:r>
          </w:p>
        </w:tc>
        <w:tc>
          <w:tcPr>
            <w:tcW w:w="820" w:type="dxa"/>
            <w:vAlign w:val="bottom"/>
          </w:tcPr>
          <w:p>
            <w:pPr>
              <w:jc w:val="right"/>
              <w:spacing w:after="0"/>
              <w:rPr>
                <w:sz w:val="20"/>
                <w:szCs w:val="20"/>
                <w:color w:val="auto"/>
              </w:rPr>
            </w:pPr>
            <w:r>
              <w:rPr>
                <w:rFonts w:ascii="Arial" w:cs="Arial" w:eastAsia="Arial" w:hAnsi="Arial"/>
                <w:sz w:val="17"/>
                <w:szCs w:val="17"/>
                <w:color w:val="auto"/>
              </w:rPr>
              <w:t>25,786</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PA-NJ</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60" w:type="dxa"/>
            <w:vAlign w:val="bottom"/>
            <w:gridSpan w:val="6"/>
          </w:tcPr>
          <w:p>
            <w:pPr>
              <w:spacing w:after="0"/>
              <w:rPr>
                <w:sz w:val="20"/>
                <w:szCs w:val="20"/>
                <w:color w:val="auto"/>
              </w:rPr>
            </w:pPr>
            <w:r>
              <w:rPr>
                <w:rFonts w:ascii="Arial" w:cs="Arial" w:eastAsia="Arial" w:hAnsi="Arial"/>
                <w:sz w:val="17"/>
                <w:szCs w:val="17"/>
                <w:color w:val="auto"/>
              </w:rPr>
              <w:t>Northeast</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Philadelphia,</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1983</w:t>
            </w:r>
          </w:p>
        </w:tc>
        <w:tc>
          <w:tcPr>
            <w:tcW w:w="820" w:type="dxa"/>
            <w:vAlign w:val="bottom"/>
          </w:tcPr>
          <w:p>
            <w:pPr>
              <w:jc w:val="right"/>
              <w:spacing w:after="0"/>
              <w:rPr>
                <w:sz w:val="20"/>
                <w:szCs w:val="20"/>
                <w:color w:val="auto"/>
              </w:rPr>
            </w:pPr>
            <w:r>
              <w:rPr>
                <w:rFonts w:ascii="Arial" w:cs="Arial" w:eastAsia="Arial" w:hAnsi="Arial"/>
                <w:sz w:val="17"/>
                <w:szCs w:val="17"/>
                <w:color w:val="auto"/>
              </w:rPr>
              <w:t>21,973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PA-NJ</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1260" w:type="dxa"/>
            <w:vAlign w:val="bottom"/>
            <w:gridSpan w:val="6"/>
          </w:tcPr>
          <w:p>
            <w:pPr>
              <w:spacing w:after="0"/>
              <w:rPr>
                <w:sz w:val="20"/>
                <w:szCs w:val="20"/>
                <w:color w:val="auto"/>
              </w:rPr>
            </w:pPr>
            <w:r>
              <w:rPr>
                <w:rFonts w:ascii="Arial" w:cs="Arial" w:eastAsia="Arial" w:hAnsi="Arial"/>
                <w:sz w:val="17"/>
                <w:szCs w:val="17"/>
                <w:color w:val="auto"/>
              </w:rPr>
              <w:t>Willow Grove</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Philadelphia,</w:t>
            </w:r>
          </w:p>
        </w:tc>
        <w:tc>
          <w:tcPr>
            <w:tcW w:w="780" w:type="dxa"/>
            <w:vAlign w:val="bottom"/>
          </w:tcPr>
          <w:p>
            <w:pPr>
              <w:jc w:val="right"/>
              <w:ind w:right="33"/>
              <w:spacing w:after="0"/>
              <w:rPr>
                <w:sz w:val="20"/>
                <w:szCs w:val="20"/>
                <w:color w:val="auto"/>
              </w:rPr>
            </w:pPr>
            <w:r>
              <w:rPr>
                <w:rFonts w:ascii="Arial" w:cs="Arial" w:eastAsia="Arial" w:hAnsi="Arial"/>
                <w:sz w:val="17"/>
                <w:szCs w:val="17"/>
                <w:color w:val="auto"/>
              </w:rPr>
              <w:t>1984</w:t>
            </w:r>
          </w:p>
        </w:tc>
        <w:tc>
          <w:tcPr>
            <w:tcW w:w="820" w:type="dxa"/>
            <w:vAlign w:val="bottom"/>
          </w:tcPr>
          <w:p>
            <w:pPr>
              <w:jc w:val="right"/>
              <w:spacing w:after="0"/>
              <w:rPr>
                <w:sz w:val="20"/>
                <w:szCs w:val="20"/>
                <w:color w:val="auto"/>
              </w:rPr>
            </w:pPr>
            <w:r>
              <w:rPr>
                <w:rFonts w:ascii="Arial" w:cs="Arial" w:eastAsia="Arial" w:hAnsi="Arial"/>
                <w:sz w:val="17"/>
                <w:szCs w:val="17"/>
                <w:color w:val="auto"/>
              </w:rPr>
              <w:t>26,265</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PA-NJ</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-5723255</wp:posOffset>
            </wp:positionV>
            <wp:extent cx="7247890" cy="544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7890" cy="5441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-4490085</wp:posOffset>
            </wp:positionV>
            <wp:extent cx="7247890" cy="135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78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-3877310</wp:posOffset>
            </wp:positionV>
            <wp:extent cx="7247890" cy="272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7890"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-3128645</wp:posOffset>
            </wp:positionV>
            <wp:extent cx="7247890" cy="272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7890"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-2584450</wp:posOffset>
            </wp:positionV>
            <wp:extent cx="7247890" cy="408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7890" cy="408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-1903730</wp:posOffset>
            </wp:positionV>
            <wp:extent cx="7247890" cy="272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7890"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-1223010</wp:posOffset>
            </wp:positionV>
            <wp:extent cx="7247890" cy="272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7890"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-270510</wp:posOffset>
            </wp:positionV>
            <wp:extent cx="7247890" cy="544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7890" cy="544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28,000</w:t>
            </w:r>
          </w:p>
        </w:tc>
        <w:tc>
          <w:tcPr>
            <w:tcW w:w="1280" w:type="dxa"/>
            <w:vAlign w:val="bottom"/>
            <w:gridSpan w:val="2"/>
          </w:tcPr>
          <w:p>
            <w:pPr>
              <w:jc w:val="right"/>
              <w:ind w:right="560"/>
              <w:spacing w:after="0"/>
              <w:rPr>
                <w:sz w:val="20"/>
                <w:szCs w:val="20"/>
                <w:color w:val="auto"/>
              </w:rPr>
            </w:pPr>
            <w:r>
              <w:rPr>
                <w:rFonts w:ascii="Arial" w:cs="Arial" w:eastAsia="Arial" w:hAnsi="Arial"/>
                <w:sz w:val="17"/>
                <w:szCs w:val="17"/>
                <w:color w:val="auto"/>
              </w:rPr>
              <w:t>93%</w:t>
            </w:r>
          </w:p>
        </w:tc>
        <w:tc>
          <w:tcPr>
            <w:tcW w:w="18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1"/>
        </w:trPr>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159,000</w:t>
            </w:r>
          </w:p>
        </w:tc>
        <w:tc>
          <w:tcPr>
            <w:tcW w:w="1280" w:type="dxa"/>
            <w:vAlign w:val="bottom"/>
            <w:gridSpan w:val="2"/>
          </w:tcPr>
          <w:p>
            <w:pPr>
              <w:jc w:val="right"/>
              <w:ind w:right="560"/>
              <w:spacing w:after="0"/>
              <w:rPr>
                <w:sz w:val="20"/>
                <w:szCs w:val="20"/>
                <w:color w:val="auto"/>
              </w:rPr>
            </w:pPr>
            <w:r>
              <w:rPr>
                <w:rFonts w:ascii="Arial" w:cs="Arial" w:eastAsia="Arial" w:hAnsi="Arial"/>
                <w:sz w:val="17"/>
                <w:szCs w:val="17"/>
                <w:color w:val="auto"/>
              </w:rPr>
              <w:t>83%</w:t>
            </w:r>
          </w:p>
        </w:tc>
        <w:tc>
          <w:tcPr>
            <w:tcW w:w="1880" w:type="dxa"/>
            <w:vAlign w:val="bottom"/>
          </w:tcPr>
          <w:p>
            <w:pPr>
              <w:spacing w:after="0"/>
              <w:rPr>
                <w:sz w:val="19"/>
                <w:szCs w:val="19"/>
                <w:color w:val="auto"/>
              </w:rPr>
            </w:pPr>
          </w:p>
        </w:tc>
        <w:tc>
          <w:tcPr>
            <w:tcW w:w="1020" w:type="dxa"/>
            <w:vAlign w:val="bottom"/>
          </w:tcPr>
          <w:p>
            <w:pPr>
              <w:ind w:left="240"/>
              <w:spacing w:after="0"/>
              <w:rPr>
                <w:sz w:val="20"/>
                <w:szCs w:val="20"/>
                <w:color w:val="auto"/>
              </w:rPr>
            </w:pPr>
            <w:r>
              <w:rPr>
                <w:rFonts w:ascii="Arial" w:cs="Arial" w:eastAsia="Arial" w:hAnsi="Arial"/>
                <w:sz w:val="17"/>
                <w:szCs w:val="17"/>
                <w:color w:val="auto"/>
                <w:w w:val="98"/>
              </w:rPr>
              <w:t>Stein Mart</w:t>
            </w:r>
          </w:p>
        </w:tc>
      </w:tr>
      <w:tr>
        <w:trPr>
          <w:trHeight w:val="851"/>
        </w:trPr>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488,000</w:t>
            </w:r>
          </w:p>
        </w:tc>
        <w:tc>
          <w:tcPr>
            <w:tcW w:w="1280" w:type="dxa"/>
            <w:vAlign w:val="bottom"/>
            <w:gridSpan w:val="2"/>
          </w:tcPr>
          <w:p>
            <w:pPr>
              <w:jc w:val="right"/>
              <w:ind w:right="560"/>
              <w:spacing w:after="0"/>
              <w:rPr>
                <w:sz w:val="20"/>
                <w:szCs w:val="20"/>
                <w:color w:val="auto"/>
              </w:rPr>
            </w:pPr>
            <w:r>
              <w:rPr>
                <w:rFonts w:ascii="Arial" w:cs="Arial" w:eastAsia="Arial" w:hAnsi="Arial"/>
                <w:sz w:val="17"/>
                <w:szCs w:val="17"/>
                <w:color w:val="auto"/>
              </w:rPr>
              <w:t>72%</w:t>
            </w:r>
          </w:p>
        </w:tc>
        <w:tc>
          <w:tcPr>
            <w:tcW w:w="1880" w:type="dxa"/>
            <w:vAlign w:val="bottom"/>
          </w:tcPr>
          <w:p>
            <w:pPr>
              <w:ind w:left="540"/>
              <w:spacing w:after="0"/>
              <w:rPr>
                <w:sz w:val="20"/>
                <w:szCs w:val="20"/>
                <w:color w:val="auto"/>
              </w:rPr>
            </w:pPr>
            <w:r>
              <w:rPr>
                <w:rFonts w:ascii="Arial" w:cs="Arial" w:eastAsia="Arial" w:hAnsi="Arial"/>
                <w:sz w:val="17"/>
                <w:szCs w:val="17"/>
                <w:color w:val="auto"/>
              </w:rPr>
              <w:t>60,000  Kroger</w:t>
            </w:r>
          </w:p>
        </w:tc>
        <w:tc>
          <w:tcPr>
            <w:tcW w:w="1020" w:type="dxa"/>
            <w:vAlign w:val="bottom"/>
          </w:tcPr>
          <w:p>
            <w:pPr>
              <w:ind w:left="240"/>
              <w:spacing w:after="0"/>
              <w:rPr>
                <w:sz w:val="20"/>
                <w:szCs w:val="20"/>
                <w:color w:val="auto"/>
              </w:rPr>
            </w:pPr>
            <w:r>
              <w:rPr>
                <w:rFonts w:ascii="Arial" w:cs="Arial" w:eastAsia="Arial" w:hAnsi="Arial"/>
                <w:sz w:val="17"/>
                <w:szCs w:val="17"/>
                <w:color w:val="auto"/>
                <w:w w:val="95"/>
              </w:rPr>
              <w:t>Old Navy /</w:t>
            </w:r>
          </w:p>
        </w:tc>
      </w:tr>
      <w:tr>
        <w:trPr>
          <w:trHeight w:val="214"/>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ind w:left="240"/>
              <w:spacing w:after="0"/>
              <w:rPr>
                <w:sz w:val="20"/>
                <w:szCs w:val="20"/>
                <w:color w:val="auto"/>
              </w:rPr>
            </w:pPr>
            <w:r>
              <w:rPr>
                <w:rFonts w:ascii="Arial" w:cs="Arial" w:eastAsia="Arial" w:hAnsi="Arial"/>
                <w:sz w:val="17"/>
                <w:szCs w:val="17"/>
                <w:color w:val="auto"/>
              </w:rPr>
              <w:t>Tower</w:t>
            </w:r>
          </w:p>
        </w:tc>
      </w:tr>
      <w:tr>
        <w:trPr>
          <w:trHeight w:val="214"/>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ind w:left="240"/>
              <w:spacing w:after="0"/>
              <w:rPr>
                <w:sz w:val="20"/>
                <w:szCs w:val="20"/>
                <w:color w:val="auto"/>
              </w:rPr>
            </w:pPr>
            <w:r>
              <w:rPr>
                <w:rFonts w:ascii="Arial" w:cs="Arial" w:eastAsia="Arial" w:hAnsi="Arial"/>
                <w:sz w:val="17"/>
                <w:szCs w:val="17"/>
                <w:color w:val="auto"/>
              </w:rPr>
              <w:t>Records/</w:t>
            </w:r>
          </w:p>
        </w:tc>
      </w:tr>
      <w:tr>
        <w:trPr>
          <w:trHeight w:val="221"/>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20" w:type="dxa"/>
            <w:vAlign w:val="bottom"/>
          </w:tcPr>
          <w:p>
            <w:pPr>
              <w:ind w:left="240"/>
              <w:spacing w:after="0"/>
              <w:rPr>
                <w:sz w:val="20"/>
                <w:szCs w:val="20"/>
                <w:color w:val="auto"/>
              </w:rPr>
            </w:pPr>
            <w:r>
              <w:rPr>
                <w:rFonts w:ascii="Arial" w:cs="Arial" w:eastAsia="Arial" w:hAnsi="Arial"/>
                <w:sz w:val="17"/>
                <w:szCs w:val="17"/>
                <w:color w:val="auto"/>
              </w:rPr>
              <w:t>Staples</w:t>
            </w:r>
          </w:p>
        </w:tc>
      </w:tr>
      <w:tr>
        <w:trPr>
          <w:trHeight w:val="109"/>
        </w:trPr>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313"/>
        </w:trPr>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1,828,000</w:t>
            </w:r>
          </w:p>
        </w:tc>
        <w:tc>
          <w:tcPr>
            <w:tcW w:w="1280" w:type="dxa"/>
            <w:vAlign w:val="bottom"/>
            <w:gridSpan w:val="2"/>
          </w:tcPr>
          <w:p>
            <w:pPr>
              <w:jc w:val="right"/>
              <w:ind w:right="560"/>
              <w:spacing w:after="0"/>
              <w:rPr>
                <w:sz w:val="20"/>
                <w:szCs w:val="20"/>
                <w:color w:val="auto"/>
              </w:rPr>
            </w:pPr>
            <w:r>
              <w:rPr>
                <w:rFonts w:ascii="Arial" w:cs="Arial" w:eastAsia="Arial" w:hAnsi="Arial"/>
                <w:sz w:val="17"/>
                <w:szCs w:val="17"/>
                <w:color w:val="auto"/>
              </w:rPr>
              <w:t>89%</w:t>
            </w:r>
          </w:p>
        </w:tc>
        <w:tc>
          <w:tcPr>
            <w:tcW w:w="1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2"/>
        </w:trPr>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6,713,000</w:t>
            </w:r>
          </w:p>
        </w:tc>
        <w:tc>
          <w:tcPr>
            <w:tcW w:w="1280" w:type="dxa"/>
            <w:vAlign w:val="bottom"/>
            <w:gridSpan w:val="2"/>
          </w:tcPr>
          <w:p>
            <w:pPr>
              <w:jc w:val="right"/>
              <w:ind w:right="560"/>
              <w:spacing w:after="0"/>
              <w:rPr>
                <w:sz w:val="20"/>
                <w:szCs w:val="20"/>
                <w:color w:val="auto"/>
              </w:rPr>
            </w:pPr>
            <w:r>
              <w:rPr>
                <w:rFonts w:ascii="Arial" w:cs="Arial" w:eastAsia="Arial" w:hAnsi="Arial"/>
                <w:sz w:val="17"/>
                <w:szCs w:val="17"/>
                <w:color w:val="auto"/>
              </w:rPr>
              <w:t>94%</w:t>
            </w:r>
          </w:p>
        </w:tc>
        <w:tc>
          <w:tcPr>
            <w:tcW w:w="18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14"/>
        </w:trPr>
        <w:tc>
          <w:tcPr>
            <w:tcW w:w="780" w:type="dxa"/>
            <w:vAlign w:val="bottom"/>
          </w:tcPr>
          <w:p>
            <w:pPr>
              <w:jc w:val="right"/>
              <w:ind w:right="133"/>
              <w:spacing w:after="0"/>
              <w:rPr>
                <w:sz w:val="20"/>
                <w:szCs w:val="20"/>
                <w:color w:val="auto"/>
              </w:rPr>
            </w:pPr>
            <w:r>
              <w:rPr>
                <w:rFonts w:ascii="Arial" w:cs="Arial" w:eastAsia="Arial" w:hAnsi="Arial"/>
                <w:sz w:val="17"/>
                <w:szCs w:val="17"/>
                <w:color w:val="auto"/>
                <w:w w:val="87"/>
              </w:rPr>
              <w:t>259,000</w:t>
            </w:r>
          </w:p>
        </w:tc>
        <w:tc>
          <w:tcPr>
            <w:tcW w:w="840" w:type="dxa"/>
            <w:vAlign w:val="bottom"/>
          </w:tcPr>
          <w:p>
            <w:pPr>
              <w:jc w:val="right"/>
              <w:ind w:right="133"/>
              <w:spacing w:after="0"/>
              <w:rPr>
                <w:sz w:val="20"/>
                <w:szCs w:val="20"/>
                <w:color w:val="auto"/>
              </w:rPr>
            </w:pPr>
            <w:r>
              <w:rPr>
                <w:rFonts w:ascii="Arial" w:cs="Arial" w:eastAsia="Arial" w:hAnsi="Arial"/>
                <w:sz w:val="17"/>
                <w:szCs w:val="17"/>
                <w:color w:val="auto"/>
              </w:rPr>
              <w:t>99%</w:t>
            </w:r>
          </w:p>
        </w:tc>
        <w:tc>
          <w:tcPr>
            <w:tcW w:w="1420" w:type="dxa"/>
            <w:vAlign w:val="bottom"/>
          </w:tcPr>
          <w:p>
            <w:pPr>
              <w:jc w:val="right"/>
              <w:spacing w:after="0"/>
              <w:rPr>
                <w:sz w:val="20"/>
                <w:szCs w:val="20"/>
                <w:color w:val="auto"/>
              </w:rPr>
            </w:pPr>
            <w:r>
              <w:rPr>
                <w:rFonts w:ascii="Arial" w:cs="Arial" w:eastAsia="Arial" w:hAnsi="Arial"/>
                <w:sz w:val="17"/>
                <w:szCs w:val="17"/>
                <w:color w:val="auto"/>
              </w:rPr>
              <w:t>24,000</w:t>
            </w:r>
          </w:p>
        </w:tc>
        <w:tc>
          <w:tcPr>
            <w:tcW w:w="940" w:type="dxa"/>
            <w:vAlign w:val="bottom"/>
          </w:tcPr>
          <w:p>
            <w:pPr>
              <w:ind w:left="60"/>
              <w:spacing w:after="0"/>
              <w:rPr>
                <w:sz w:val="20"/>
                <w:szCs w:val="20"/>
                <w:color w:val="auto"/>
              </w:rPr>
            </w:pPr>
            <w:r>
              <w:rPr>
                <w:rFonts w:ascii="Arial" w:cs="Arial" w:eastAsia="Arial" w:hAnsi="Arial"/>
                <w:sz w:val="17"/>
                <w:szCs w:val="17"/>
                <w:color w:val="auto"/>
              </w:rPr>
              <w:t>Acme</w:t>
            </w:r>
          </w:p>
        </w:tc>
        <w:tc>
          <w:tcPr>
            <w:tcW w:w="1140" w:type="dxa"/>
            <w:vAlign w:val="bottom"/>
          </w:tcPr>
          <w:p>
            <w:pPr>
              <w:ind w:left="100"/>
              <w:spacing w:after="0"/>
              <w:rPr>
                <w:sz w:val="20"/>
                <w:szCs w:val="20"/>
                <w:color w:val="auto"/>
              </w:rPr>
            </w:pPr>
            <w:r>
              <w:rPr>
                <w:rFonts w:ascii="Arial" w:cs="Arial" w:eastAsia="Arial" w:hAnsi="Arial"/>
                <w:sz w:val="17"/>
                <w:szCs w:val="17"/>
                <w:color w:val="auto"/>
              </w:rPr>
              <w:t>Kohl’s /</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7"/>
                <w:szCs w:val="17"/>
                <w:color w:val="auto"/>
              </w:rPr>
              <w:t>Markets</w:t>
            </w:r>
          </w:p>
        </w:tc>
        <w:tc>
          <w:tcPr>
            <w:tcW w:w="1140" w:type="dxa"/>
            <w:vAlign w:val="bottom"/>
          </w:tcPr>
          <w:p>
            <w:pPr>
              <w:ind w:left="100"/>
              <w:spacing w:after="0"/>
              <w:rPr>
                <w:sz w:val="20"/>
                <w:szCs w:val="20"/>
                <w:color w:val="auto"/>
              </w:rPr>
            </w:pPr>
            <w:r>
              <w:rPr>
                <w:rFonts w:ascii="Arial" w:cs="Arial" w:eastAsia="Arial" w:hAnsi="Arial"/>
                <w:sz w:val="17"/>
                <w:szCs w:val="17"/>
                <w:color w:val="auto"/>
              </w:rPr>
              <w:t>Staples</w:t>
            </w:r>
          </w:p>
        </w:tc>
      </w:tr>
      <w:tr>
        <w:trPr>
          <w:trHeight w:val="214"/>
        </w:trPr>
        <w:tc>
          <w:tcPr>
            <w:tcW w:w="780" w:type="dxa"/>
            <w:vAlign w:val="bottom"/>
          </w:tcPr>
          <w:p>
            <w:pPr>
              <w:jc w:val="right"/>
              <w:ind w:right="133"/>
              <w:spacing w:after="0"/>
              <w:rPr>
                <w:sz w:val="20"/>
                <w:szCs w:val="20"/>
                <w:color w:val="auto"/>
              </w:rPr>
            </w:pPr>
            <w:r>
              <w:rPr>
                <w:rFonts w:ascii="Arial" w:cs="Arial" w:eastAsia="Arial" w:hAnsi="Arial"/>
                <w:sz w:val="17"/>
                <w:szCs w:val="17"/>
                <w:color w:val="auto"/>
                <w:w w:val="87"/>
              </w:rPr>
              <w:t>281,000</w:t>
            </w:r>
          </w:p>
        </w:tc>
        <w:tc>
          <w:tcPr>
            <w:tcW w:w="840" w:type="dxa"/>
            <w:vAlign w:val="bottom"/>
          </w:tcPr>
          <w:p>
            <w:pPr>
              <w:jc w:val="right"/>
              <w:ind w:right="133"/>
              <w:spacing w:after="0"/>
              <w:rPr>
                <w:sz w:val="20"/>
                <w:szCs w:val="20"/>
                <w:color w:val="auto"/>
              </w:rPr>
            </w:pPr>
            <w:r>
              <w:rPr>
                <w:rFonts w:ascii="Arial" w:cs="Arial" w:eastAsia="Arial" w:hAnsi="Arial"/>
                <w:sz w:val="17"/>
                <w:szCs w:val="17"/>
                <w:color w:val="auto"/>
              </w:rPr>
              <w:t>100%</w:t>
            </w:r>
          </w:p>
        </w:tc>
        <w:tc>
          <w:tcPr>
            <w:tcW w:w="1420" w:type="dxa"/>
            <w:vAlign w:val="bottom"/>
          </w:tcPr>
          <w:p>
            <w:pPr>
              <w:jc w:val="right"/>
              <w:spacing w:after="0"/>
              <w:rPr>
                <w:sz w:val="20"/>
                <w:szCs w:val="20"/>
                <w:color w:val="auto"/>
              </w:rPr>
            </w:pPr>
            <w:r>
              <w:rPr>
                <w:rFonts w:ascii="Arial" w:cs="Arial" w:eastAsia="Arial" w:hAnsi="Arial"/>
                <w:sz w:val="17"/>
                <w:szCs w:val="17"/>
                <w:color w:val="auto"/>
              </w:rPr>
              <w:t>45,000</w:t>
            </w:r>
          </w:p>
        </w:tc>
        <w:tc>
          <w:tcPr>
            <w:tcW w:w="940" w:type="dxa"/>
            <w:vAlign w:val="bottom"/>
          </w:tcPr>
          <w:p>
            <w:pPr>
              <w:ind w:left="60"/>
              <w:spacing w:after="0"/>
              <w:rPr>
                <w:sz w:val="20"/>
                <w:szCs w:val="20"/>
                <w:color w:val="auto"/>
              </w:rPr>
            </w:pPr>
            <w:r>
              <w:rPr>
                <w:rFonts w:ascii="Arial" w:cs="Arial" w:eastAsia="Arial" w:hAnsi="Arial"/>
                <w:sz w:val="17"/>
                <w:szCs w:val="17"/>
                <w:color w:val="auto"/>
              </w:rPr>
              <w:t>Acme</w:t>
            </w:r>
          </w:p>
        </w:tc>
        <w:tc>
          <w:tcPr>
            <w:tcW w:w="1140" w:type="dxa"/>
            <w:vAlign w:val="bottom"/>
          </w:tcPr>
          <w:p>
            <w:pPr>
              <w:ind w:left="100"/>
              <w:spacing w:after="0"/>
              <w:rPr>
                <w:sz w:val="20"/>
                <w:szCs w:val="20"/>
                <w:color w:val="auto"/>
              </w:rPr>
            </w:pPr>
            <w:r>
              <w:rPr>
                <w:rFonts w:ascii="Arial" w:cs="Arial" w:eastAsia="Arial" w:hAnsi="Arial"/>
                <w:sz w:val="17"/>
                <w:szCs w:val="17"/>
                <w:color w:val="auto"/>
                <w:w w:val="99"/>
              </w:rPr>
              <w:t>Lord &amp; Taylor</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7"/>
                <w:szCs w:val="17"/>
                <w:color w:val="auto"/>
              </w:rPr>
              <w:t>Markets</w:t>
            </w:r>
          </w:p>
        </w:tc>
        <w:tc>
          <w:tcPr>
            <w:tcW w:w="1140" w:type="dxa"/>
            <w:vAlign w:val="bottom"/>
          </w:tcPr>
          <w:p>
            <w:pPr>
              <w:spacing w:after="0"/>
              <w:rPr>
                <w:sz w:val="18"/>
                <w:szCs w:val="18"/>
                <w:color w:val="auto"/>
              </w:rPr>
            </w:pPr>
          </w:p>
        </w:tc>
      </w:tr>
      <w:tr>
        <w:trPr>
          <w:trHeight w:val="214"/>
        </w:trPr>
        <w:tc>
          <w:tcPr>
            <w:tcW w:w="780" w:type="dxa"/>
            <w:vAlign w:val="bottom"/>
          </w:tcPr>
          <w:p>
            <w:pPr>
              <w:jc w:val="right"/>
              <w:ind w:right="133"/>
              <w:spacing w:after="0"/>
              <w:rPr>
                <w:sz w:val="20"/>
                <w:szCs w:val="20"/>
                <w:color w:val="auto"/>
              </w:rPr>
            </w:pPr>
            <w:r>
              <w:rPr>
                <w:rFonts w:ascii="Arial" w:cs="Arial" w:eastAsia="Arial" w:hAnsi="Arial"/>
                <w:sz w:val="17"/>
                <w:szCs w:val="17"/>
                <w:color w:val="auto"/>
                <w:w w:val="87"/>
              </w:rPr>
              <w:t>268,000</w:t>
            </w:r>
          </w:p>
        </w:tc>
        <w:tc>
          <w:tcPr>
            <w:tcW w:w="840" w:type="dxa"/>
            <w:vAlign w:val="bottom"/>
          </w:tcPr>
          <w:p>
            <w:pPr>
              <w:jc w:val="right"/>
              <w:ind w:right="133"/>
              <w:spacing w:after="0"/>
              <w:rPr>
                <w:sz w:val="20"/>
                <w:szCs w:val="20"/>
                <w:color w:val="auto"/>
              </w:rPr>
            </w:pPr>
            <w:r>
              <w:rPr>
                <w:rFonts w:ascii="Arial" w:cs="Arial" w:eastAsia="Arial" w:hAnsi="Arial"/>
                <w:sz w:val="17"/>
                <w:szCs w:val="17"/>
                <w:color w:val="auto"/>
              </w:rPr>
              <w:t>100%</w:t>
            </w:r>
          </w:p>
        </w:tc>
        <w:tc>
          <w:tcPr>
            <w:tcW w:w="1420" w:type="dxa"/>
            <w:vAlign w:val="bottom"/>
          </w:tcPr>
          <w:p>
            <w:pPr>
              <w:jc w:val="right"/>
              <w:spacing w:after="0"/>
              <w:rPr>
                <w:sz w:val="20"/>
                <w:szCs w:val="20"/>
                <w:color w:val="auto"/>
              </w:rPr>
            </w:pPr>
            <w:r>
              <w:rPr>
                <w:rFonts w:ascii="Arial" w:cs="Arial" w:eastAsia="Arial" w:hAnsi="Arial"/>
                <w:sz w:val="17"/>
                <w:szCs w:val="17"/>
                <w:color w:val="auto"/>
              </w:rPr>
              <w:t>47,000</w:t>
            </w:r>
          </w:p>
        </w:tc>
        <w:tc>
          <w:tcPr>
            <w:tcW w:w="940" w:type="dxa"/>
            <w:vAlign w:val="bottom"/>
          </w:tcPr>
          <w:p>
            <w:pPr>
              <w:ind w:left="60"/>
              <w:spacing w:after="0"/>
              <w:rPr>
                <w:sz w:val="20"/>
                <w:szCs w:val="20"/>
                <w:color w:val="auto"/>
              </w:rPr>
            </w:pPr>
            <w:r>
              <w:rPr>
                <w:rFonts w:ascii="Arial" w:cs="Arial" w:eastAsia="Arial" w:hAnsi="Arial"/>
                <w:sz w:val="17"/>
                <w:szCs w:val="17"/>
                <w:color w:val="auto"/>
              </w:rPr>
              <w:t>Genuardi’s</w:t>
            </w:r>
          </w:p>
        </w:tc>
        <w:tc>
          <w:tcPr>
            <w:tcW w:w="1140" w:type="dxa"/>
            <w:vAlign w:val="bottom"/>
          </w:tcPr>
          <w:p>
            <w:pPr>
              <w:ind w:left="100"/>
              <w:spacing w:after="0"/>
              <w:rPr>
                <w:sz w:val="20"/>
                <w:szCs w:val="20"/>
                <w:color w:val="auto"/>
              </w:rPr>
            </w:pPr>
            <w:r>
              <w:rPr>
                <w:rFonts w:ascii="Arial" w:cs="Arial" w:eastAsia="Arial" w:hAnsi="Arial"/>
                <w:sz w:val="17"/>
                <w:szCs w:val="17"/>
                <w:color w:val="auto"/>
              </w:rPr>
              <w:t>Bed, Bath &amp;</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w w:val="92"/>
              </w:rPr>
              <w:t>Beyond / Stein</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Mart</w:t>
            </w:r>
          </w:p>
        </w:tc>
      </w:tr>
      <w:tr>
        <w:trPr>
          <w:trHeight w:val="221"/>
        </w:trPr>
        <w:tc>
          <w:tcPr>
            <w:tcW w:w="780" w:type="dxa"/>
            <w:vAlign w:val="bottom"/>
          </w:tcPr>
          <w:p>
            <w:pPr>
              <w:jc w:val="right"/>
              <w:ind w:right="133"/>
              <w:spacing w:after="0"/>
              <w:rPr>
                <w:sz w:val="20"/>
                <w:szCs w:val="20"/>
                <w:color w:val="auto"/>
              </w:rPr>
            </w:pPr>
            <w:r>
              <w:rPr>
                <w:rFonts w:ascii="Arial" w:cs="Arial" w:eastAsia="Arial" w:hAnsi="Arial"/>
                <w:sz w:val="17"/>
                <w:szCs w:val="17"/>
                <w:color w:val="auto"/>
                <w:w w:val="87"/>
              </w:rPr>
              <w:t>111,000</w:t>
            </w:r>
          </w:p>
        </w:tc>
        <w:tc>
          <w:tcPr>
            <w:tcW w:w="840" w:type="dxa"/>
            <w:vAlign w:val="bottom"/>
          </w:tcPr>
          <w:p>
            <w:pPr>
              <w:jc w:val="right"/>
              <w:ind w:right="133"/>
              <w:spacing w:after="0"/>
              <w:rPr>
                <w:sz w:val="20"/>
                <w:szCs w:val="20"/>
                <w:color w:val="auto"/>
              </w:rPr>
            </w:pPr>
            <w:r>
              <w:rPr>
                <w:rFonts w:ascii="Arial" w:cs="Arial" w:eastAsia="Arial" w:hAnsi="Arial"/>
                <w:sz w:val="17"/>
                <w:szCs w:val="17"/>
                <w:color w:val="auto"/>
              </w:rPr>
              <w:t>100%</w:t>
            </w:r>
          </w:p>
        </w:tc>
        <w:tc>
          <w:tcPr>
            <w:tcW w:w="1420" w:type="dxa"/>
            <w:vAlign w:val="bottom"/>
          </w:tcPr>
          <w:p>
            <w:pPr>
              <w:jc w:val="right"/>
              <w:spacing w:after="0"/>
              <w:rPr>
                <w:sz w:val="20"/>
                <w:szCs w:val="20"/>
                <w:color w:val="auto"/>
              </w:rPr>
            </w:pPr>
            <w:r>
              <w:rPr>
                <w:rFonts w:ascii="Arial" w:cs="Arial" w:eastAsia="Arial" w:hAnsi="Arial"/>
                <w:sz w:val="17"/>
                <w:szCs w:val="17"/>
                <w:color w:val="auto"/>
              </w:rPr>
              <w:t>53,000</w:t>
            </w:r>
          </w:p>
        </w:tc>
        <w:tc>
          <w:tcPr>
            <w:tcW w:w="940" w:type="dxa"/>
            <w:vAlign w:val="bottom"/>
          </w:tcPr>
          <w:p>
            <w:pPr>
              <w:ind w:left="60"/>
              <w:spacing w:after="0"/>
              <w:rPr>
                <w:sz w:val="20"/>
                <w:szCs w:val="20"/>
                <w:color w:val="auto"/>
              </w:rPr>
            </w:pPr>
            <w:r>
              <w:rPr>
                <w:rFonts w:ascii="Arial" w:cs="Arial" w:eastAsia="Arial" w:hAnsi="Arial"/>
                <w:sz w:val="17"/>
                <w:szCs w:val="17"/>
                <w:color w:val="auto"/>
              </w:rPr>
              <w:t>Genuardi’s</w:t>
            </w:r>
          </w:p>
        </w:tc>
        <w:tc>
          <w:tcPr>
            <w:tcW w:w="1140" w:type="dxa"/>
            <w:vAlign w:val="bottom"/>
          </w:tcPr>
          <w:p>
            <w:pPr>
              <w:ind w:left="100"/>
              <w:spacing w:after="0"/>
              <w:rPr>
                <w:sz w:val="20"/>
                <w:szCs w:val="20"/>
                <w:color w:val="auto"/>
              </w:rPr>
            </w:pPr>
            <w:r>
              <w:rPr>
                <w:rFonts w:ascii="Arial" w:cs="Arial" w:eastAsia="Arial" w:hAnsi="Arial"/>
                <w:sz w:val="17"/>
                <w:szCs w:val="17"/>
                <w:color w:val="auto"/>
              </w:rPr>
              <w:t>OfficeMax</w:t>
            </w:r>
          </w:p>
        </w:tc>
      </w:tr>
      <w:tr>
        <w:trPr>
          <w:trHeight w:val="429"/>
        </w:trPr>
        <w:tc>
          <w:tcPr>
            <w:tcW w:w="780" w:type="dxa"/>
            <w:vAlign w:val="bottom"/>
          </w:tcPr>
          <w:p>
            <w:pPr>
              <w:jc w:val="right"/>
              <w:ind w:right="133"/>
              <w:spacing w:after="0"/>
              <w:rPr>
                <w:sz w:val="20"/>
                <w:szCs w:val="20"/>
                <w:color w:val="auto"/>
              </w:rPr>
            </w:pPr>
            <w:r>
              <w:rPr>
                <w:rFonts w:ascii="Arial" w:cs="Arial" w:eastAsia="Arial" w:hAnsi="Arial"/>
                <w:sz w:val="17"/>
                <w:szCs w:val="17"/>
                <w:color w:val="auto"/>
                <w:w w:val="87"/>
              </w:rPr>
              <w:t>187,000</w:t>
            </w:r>
          </w:p>
        </w:tc>
        <w:tc>
          <w:tcPr>
            <w:tcW w:w="840" w:type="dxa"/>
            <w:vAlign w:val="bottom"/>
          </w:tcPr>
          <w:p>
            <w:pPr>
              <w:jc w:val="right"/>
              <w:ind w:right="133"/>
              <w:spacing w:after="0"/>
              <w:rPr>
                <w:sz w:val="20"/>
                <w:szCs w:val="20"/>
                <w:color w:val="auto"/>
              </w:rPr>
            </w:pPr>
            <w:r>
              <w:rPr>
                <w:rFonts w:ascii="Arial" w:cs="Arial" w:eastAsia="Arial" w:hAnsi="Arial"/>
                <w:sz w:val="17"/>
                <w:szCs w:val="17"/>
                <w:color w:val="auto"/>
              </w:rPr>
              <w:t>54%</w:t>
            </w:r>
          </w:p>
        </w:tc>
        <w:tc>
          <w:tcPr>
            <w:tcW w:w="1420" w:type="dxa"/>
            <w:vAlign w:val="bottom"/>
          </w:tcPr>
          <w:p>
            <w:pPr>
              <w:jc w:val="right"/>
              <w:spacing w:after="0"/>
              <w:rPr>
                <w:sz w:val="20"/>
                <w:szCs w:val="20"/>
                <w:color w:val="auto"/>
              </w:rPr>
            </w:pPr>
            <w:r>
              <w:rPr>
                <w:rFonts w:ascii="Arial" w:cs="Arial" w:eastAsia="Arial" w:hAnsi="Arial"/>
                <w:sz w:val="17"/>
                <w:szCs w:val="17"/>
                <w:color w:val="auto"/>
              </w:rPr>
              <w:t>42,000</w:t>
            </w:r>
          </w:p>
        </w:tc>
        <w:tc>
          <w:tcPr>
            <w:tcW w:w="940" w:type="dxa"/>
            <w:vAlign w:val="bottom"/>
          </w:tcPr>
          <w:p>
            <w:pPr>
              <w:ind w:left="60"/>
              <w:spacing w:after="0"/>
              <w:rPr>
                <w:sz w:val="20"/>
                <w:szCs w:val="20"/>
                <w:color w:val="auto"/>
              </w:rPr>
            </w:pPr>
            <w:r>
              <w:rPr>
                <w:rFonts w:ascii="Arial" w:cs="Arial" w:eastAsia="Arial" w:hAnsi="Arial"/>
                <w:sz w:val="17"/>
                <w:szCs w:val="17"/>
                <w:color w:val="auto"/>
              </w:rPr>
              <w:t>Genuardi’s</w:t>
            </w:r>
          </w:p>
        </w:tc>
        <w:tc>
          <w:tcPr>
            <w:tcW w:w="1140" w:type="dxa"/>
            <w:vAlign w:val="bottom"/>
          </w:tcPr>
          <w:p>
            <w:pPr>
              <w:spacing w:after="0"/>
              <w:rPr>
                <w:sz w:val="24"/>
                <w:szCs w:val="24"/>
                <w:color w:val="auto"/>
              </w:rPr>
            </w:pPr>
          </w:p>
        </w:tc>
      </w:tr>
      <w:tr>
        <w:trPr>
          <w:trHeight w:val="422"/>
        </w:trPr>
        <w:tc>
          <w:tcPr>
            <w:tcW w:w="780" w:type="dxa"/>
            <w:vAlign w:val="bottom"/>
          </w:tcPr>
          <w:p>
            <w:pPr>
              <w:jc w:val="right"/>
              <w:ind w:right="133"/>
              <w:spacing w:after="0"/>
              <w:rPr>
                <w:sz w:val="20"/>
                <w:szCs w:val="20"/>
                <w:color w:val="auto"/>
              </w:rPr>
            </w:pPr>
            <w:r>
              <w:rPr>
                <w:rFonts w:ascii="Arial" w:cs="Arial" w:eastAsia="Arial" w:hAnsi="Arial"/>
                <w:sz w:val="17"/>
                <w:szCs w:val="17"/>
                <w:color w:val="auto"/>
                <w:w w:val="87"/>
              </w:rPr>
              <w:t>216,000</w:t>
            </w:r>
          </w:p>
        </w:tc>
        <w:tc>
          <w:tcPr>
            <w:tcW w:w="840" w:type="dxa"/>
            <w:vAlign w:val="bottom"/>
          </w:tcPr>
          <w:p>
            <w:pPr>
              <w:jc w:val="right"/>
              <w:ind w:right="133"/>
              <w:spacing w:after="0"/>
              <w:rPr>
                <w:sz w:val="20"/>
                <w:szCs w:val="20"/>
                <w:color w:val="auto"/>
              </w:rPr>
            </w:pPr>
            <w:r>
              <w:rPr>
                <w:rFonts w:ascii="Arial" w:cs="Arial" w:eastAsia="Arial" w:hAnsi="Arial"/>
                <w:sz w:val="17"/>
                <w:szCs w:val="17"/>
                <w:color w:val="auto"/>
              </w:rPr>
              <w:t>88%</w:t>
            </w:r>
          </w:p>
        </w:tc>
        <w:tc>
          <w:tcPr>
            <w:tcW w:w="1420" w:type="dxa"/>
            <w:vAlign w:val="bottom"/>
          </w:tcPr>
          <w:p>
            <w:pPr>
              <w:jc w:val="right"/>
              <w:spacing w:after="0"/>
              <w:rPr>
                <w:sz w:val="20"/>
                <w:szCs w:val="20"/>
                <w:color w:val="auto"/>
              </w:rPr>
            </w:pPr>
            <w:r>
              <w:rPr>
                <w:rFonts w:ascii="Arial" w:cs="Arial" w:eastAsia="Arial" w:hAnsi="Arial"/>
                <w:sz w:val="17"/>
                <w:szCs w:val="17"/>
                <w:color w:val="auto"/>
              </w:rPr>
              <w:t>55,000</w:t>
            </w:r>
          </w:p>
        </w:tc>
        <w:tc>
          <w:tcPr>
            <w:tcW w:w="940" w:type="dxa"/>
            <w:vAlign w:val="bottom"/>
          </w:tcPr>
          <w:p>
            <w:pPr>
              <w:ind w:left="60"/>
              <w:spacing w:after="0"/>
              <w:rPr>
                <w:sz w:val="20"/>
                <w:szCs w:val="20"/>
                <w:color w:val="auto"/>
              </w:rPr>
            </w:pPr>
            <w:r>
              <w:rPr>
                <w:rFonts w:ascii="Arial" w:cs="Arial" w:eastAsia="Arial" w:hAnsi="Arial"/>
                <w:sz w:val="17"/>
                <w:szCs w:val="17"/>
                <w:color w:val="auto"/>
              </w:rPr>
              <w:t>Redner’s</w:t>
            </w:r>
          </w:p>
        </w:tc>
        <w:tc>
          <w:tcPr>
            <w:tcW w:w="1140" w:type="dxa"/>
            <w:vAlign w:val="bottom"/>
          </w:tcPr>
          <w:p>
            <w:pPr>
              <w:ind w:left="100"/>
              <w:spacing w:after="0"/>
              <w:rPr>
                <w:sz w:val="20"/>
                <w:szCs w:val="20"/>
                <w:color w:val="auto"/>
              </w:rPr>
            </w:pPr>
            <w:r>
              <w:rPr>
                <w:rFonts w:ascii="Arial" w:cs="Arial" w:eastAsia="Arial" w:hAnsi="Arial"/>
                <w:sz w:val="17"/>
                <w:szCs w:val="17"/>
                <w:color w:val="auto"/>
              </w:rPr>
              <w:t>Marshalls</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7"/>
                <w:szCs w:val="17"/>
                <w:color w:val="auto"/>
                <w:w w:val="98"/>
              </w:rPr>
              <w:t>Warehouse</w:t>
            </w:r>
          </w:p>
        </w:tc>
        <w:tc>
          <w:tcPr>
            <w:tcW w:w="1140" w:type="dxa"/>
            <w:vAlign w:val="bottom"/>
          </w:tcPr>
          <w:p>
            <w:pPr>
              <w:spacing w:after="0"/>
              <w:rPr>
                <w:sz w:val="18"/>
                <w:szCs w:val="18"/>
                <w:color w:val="auto"/>
              </w:rPr>
            </w:pP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7"/>
                <w:szCs w:val="17"/>
                <w:color w:val="auto"/>
              </w:rPr>
              <w:t>Mkts.</w:t>
            </w:r>
          </w:p>
        </w:tc>
        <w:tc>
          <w:tcPr>
            <w:tcW w:w="1140" w:type="dxa"/>
            <w:vAlign w:val="bottom"/>
          </w:tcPr>
          <w:p>
            <w:pPr>
              <w:spacing w:after="0"/>
              <w:rPr>
                <w:sz w:val="18"/>
                <w:szCs w:val="18"/>
                <w:color w:val="auto"/>
              </w:rPr>
            </w:pPr>
          </w:p>
        </w:tc>
      </w:tr>
      <w:tr>
        <w:trPr>
          <w:trHeight w:val="214"/>
        </w:trPr>
        <w:tc>
          <w:tcPr>
            <w:tcW w:w="780" w:type="dxa"/>
            <w:vAlign w:val="bottom"/>
          </w:tcPr>
          <w:p>
            <w:pPr>
              <w:jc w:val="right"/>
              <w:ind w:right="133"/>
              <w:spacing w:after="0"/>
              <w:rPr>
                <w:sz w:val="20"/>
                <w:szCs w:val="20"/>
                <w:color w:val="auto"/>
              </w:rPr>
            </w:pPr>
            <w:r>
              <w:rPr>
                <w:rFonts w:ascii="Arial" w:cs="Arial" w:eastAsia="Arial" w:hAnsi="Arial"/>
                <w:sz w:val="17"/>
                <w:szCs w:val="17"/>
                <w:color w:val="auto"/>
                <w:w w:val="87"/>
              </w:rPr>
              <w:t>348,000</w:t>
            </w:r>
          </w:p>
        </w:tc>
        <w:tc>
          <w:tcPr>
            <w:tcW w:w="840" w:type="dxa"/>
            <w:vAlign w:val="bottom"/>
          </w:tcPr>
          <w:p>
            <w:pPr>
              <w:jc w:val="right"/>
              <w:ind w:right="133"/>
              <w:spacing w:after="0"/>
              <w:rPr>
                <w:sz w:val="20"/>
                <w:szCs w:val="20"/>
                <w:color w:val="auto"/>
              </w:rPr>
            </w:pPr>
            <w:r>
              <w:rPr>
                <w:rFonts w:ascii="Arial" w:cs="Arial" w:eastAsia="Arial" w:hAnsi="Arial"/>
                <w:sz w:val="17"/>
                <w:szCs w:val="17"/>
                <w:color w:val="auto"/>
              </w:rPr>
              <w:t>94%</w:t>
            </w:r>
          </w:p>
        </w:tc>
        <w:tc>
          <w:tcPr>
            <w:tcW w:w="1420" w:type="dxa"/>
            <w:vAlign w:val="bottom"/>
          </w:tcPr>
          <w:p>
            <w:pPr>
              <w:jc w:val="right"/>
              <w:spacing w:after="0"/>
              <w:rPr>
                <w:sz w:val="20"/>
                <w:szCs w:val="20"/>
                <w:color w:val="auto"/>
              </w:rPr>
            </w:pPr>
            <w:r>
              <w:rPr>
                <w:rFonts w:ascii="Arial" w:cs="Arial" w:eastAsia="Arial" w:hAnsi="Arial"/>
                <w:sz w:val="17"/>
                <w:szCs w:val="17"/>
                <w:color w:val="auto"/>
              </w:rPr>
              <w:t>31,173   53,000</w:t>
            </w:r>
          </w:p>
        </w:tc>
        <w:tc>
          <w:tcPr>
            <w:tcW w:w="940" w:type="dxa"/>
            <w:vAlign w:val="bottom"/>
          </w:tcPr>
          <w:p>
            <w:pPr>
              <w:ind w:left="60"/>
              <w:spacing w:after="0"/>
              <w:rPr>
                <w:sz w:val="20"/>
                <w:szCs w:val="20"/>
                <w:color w:val="auto"/>
              </w:rPr>
            </w:pPr>
            <w:r>
              <w:rPr>
                <w:rFonts w:ascii="Arial" w:cs="Arial" w:eastAsia="Arial" w:hAnsi="Arial"/>
                <w:sz w:val="17"/>
                <w:szCs w:val="17"/>
                <w:color w:val="auto"/>
              </w:rPr>
              <w:t>Acme</w:t>
            </w:r>
          </w:p>
        </w:tc>
        <w:tc>
          <w:tcPr>
            <w:tcW w:w="1140" w:type="dxa"/>
            <w:vAlign w:val="bottom"/>
          </w:tcPr>
          <w:p>
            <w:pPr>
              <w:ind w:left="100"/>
              <w:spacing w:after="0"/>
              <w:rPr>
                <w:sz w:val="20"/>
                <w:szCs w:val="20"/>
                <w:color w:val="auto"/>
              </w:rPr>
            </w:pPr>
            <w:r>
              <w:rPr>
                <w:rFonts w:ascii="Arial" w:cs="Arial" w:eastAsia="Arial" w:hAnsi="Arial"/>
                <w:sz w:val="17"/>
                <w:szCs w:val="17"/>
                <w:color w:val="auto"/>
              </w:rPr>
              <w:t>CHI / TJ</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7"/>
                <w:szCs w:val="17"/>
                <w:color w:val="auto"/>
              </w:rPr>
              <w:t>Markets</w:t>
            </w:r>
          </w:p>
        </w:tc>
        <w:tc>
          <w:tcPr>
            <w:tcW w:w="1140" w:type="dxa"/>
            <w:vAlign w:val="bottom"/>
          </w:tcPr>
          <w:p>
            <w:pPr>
              <w:ind w:left="100"/>
              <w:spacing w:after="0"/>
              <w:rPr>
                <w:sz w:val="20"/>
                <w:szCs w:val="20"/>
                <w:color w:val="auto"/>
              </w:rPr>
            </w:pPr>
            <w:r>
              <w:rPr>
                <w:rFonts w:ascii="Arial" w:cs="Arial" w:eastAsia="Arial" w:hAnsi="Arial"/>
                <w:sz w:val="17"/>
                <w:szCs w:val="17"/>
                <w:color w:val="auto"/>
              </w:rPr>
              <w:t>Maxx / CVS</w:t>
            </w:r>
          </w:p>
        </w:tc>
      </w:tr>
      <w:tr>
        <w:trPr>
          <w:trHeight w:val="214"/>
        </w:trPr>
        <w:tc>
          <w:tcPr>
            <w:tcW w:w="780" w:type="dxa"/>
            <w:vAlign w:val="bottom"/>
          </w:tcPr>
          <w:p>
            <w:pPr>
              <w:jc w:val="right"/>
              <w:ind w:right="133"/>
              <w:spacing w:after="0"/>
              <w:rPr>
                <w:sz w:val="20"/>
                <w:szCs w:val="20"/>
                <w:color w:val="auto"/>
              </w:rPr>
            </w:pPr>
            <w:r>
              <w:rPr>
                <w:rFonts w:ascii="Arial" w:cs="Arial" w:eastAsia="Arial" w:hAnsi="Arial"/>
                <w:sz w:val="17"/>
                <w:szCs w:val="17"/>
                <w:color w:val="auto"/>
                <w:w w:val="87"/>
              </w:rPr>
              <w:t>292,000</w:t>
            </w:r>
          </w:p>
        </w:tc>
        <w:tc>
          <w:tcPr>
            <w:tcW w:w="840" w:type="dxa"/>
            <w:vAlign w:val="bottom"/>
          </w:tcPr>
          <w:p>
            <w:pPr>
              <w:jc w:val="right"/>
              <w:ind w:right="133"/>
              <w:spacing w:after="0"/>
              <w:rPr>
                <w:sz w:val="20"/>
                <w:szCs w:val="20"/>
                <w:color w:val="auto"/>
              </w:rPr>
            </w:pPr>
            <w:r>
              <w:rPr>
                <w:rFonts w:ascii="Arial" w:cs="Arial" w:eastAsia="Arial" w:hAnsi="Arial"/>
                <w:sz w:val="17"/>
                <w:szCs w:val="17"/>
                <w:color w:val="auto"/>
              </w:rPr>
              <w:t>92%</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Burlington</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Coat /</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Marshalls /</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Tower</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Records</w:t>
            </w:r>
          </w:p>
        </w:tc>
      </w:tr>
      <w:tr>
        <w:trPr>
          <w:trHeight w:val="214"/>
        </w:trPr>
        <w:tc>
          <w:tcPr>
            <w:tcW w:w="780" w:type="dxa"/>
            <w:vAlign w:val="bottom"/>
          </w:tcPr>
          <w:p>
            <w:pPr>
              <w:jc w:val="right"/>
              <w:ind w:right="133"/>
              <w:spacing w:after="0"/>
              <w:rPr>
                <w:sz w:val="20"/>
                <w:szCs w:val="20"/>
                <w:color w:val="auto"/>
              </w:rPr>
            </w:pPr>
            <w:r>
              <w:rPr>
                <w:rFonts w:ascii="Arial" w:cs="Arial" w:eastAsia="Arial" w:hAnsi="Arial"/>
                <w:sz w:val="17"/>
                <w:szCs w:val="17"/>
                <w:color w:val="auto"/>
                <w:w w:val="87"/>
              </w:rPr>
              <w:t>215,000</w:t>
            </w:r>
          </w:p>
        </w:tc>
        <w:tc>
          <w:tcPr>
            <w:tcW w:w="840" w:type="dxa"/>
            <w:vAlign w:val="bottom"/>
          </w:tcPr>
          <w:p>
            <w:pPr>
              <w:jc w:val="right"/>
              <w:ind w:right="133"/>
              <w:spacing w:after="0"/>
              <w:rPr>
                <w:sz w:val="20"/>
                <w:szCs w:val="20"/>
                <w:color w:val="auto"/>
              </w:rPr>
            </w:pPr>
            <w:r>
              <w:rPr>
                <w:rFonts w:ascii="Arial" w:cs="Arial" w:eastAsia="Arial" w:hAnsi="Arial"/>
                <w:sz w:val="17"/>
                <w:szCs w:val="17"/>
                <w:color w:val="auto"/>
              </w:rPr>
              <w:t>100%</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Barnes &amp;</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Noble /</w:t>
            </w:r>
          </w:p>
        </w:tc>
      </w:tr>
      <w:tr>
        <w:trPr>
          <w:trHeight w:val="214"/>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Marshalls /</w:t>
            </w:r>
          </w:p>
        </w:tc>
      </w:tr>
      <w:tr>
        <w:trPr>
          <w:trHeight w:val="221"/>
        </w:trPr>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Toys R Us</w:t>
            </w:r>
          </w:p>
        </w:tc>
      </w:tr>
    </w:tbl>
    <w:p>
      <w:pPr>
        <w:spacing w:after="0" w:line="1" w:lineRule="exact"/>
        <w:rPr>
          <w:sz w:val="20"/>
          <w:szCs w:val="20"/>
          <w:color w:val="auto"/>
        </w:rPr>
      </w:pPr>
    </w:p>
    <w:p>
      <w:pPr>
        <w:sectPr>
          <w:pgSz w:w="11900" w:h="16838" w:orient="portrait"/>
          <w:cols w:equalWidth="0" w:num="2">
            <w:col w:w="5800" w:space="160"/>
            <w:col w:w="5460"/>
          </w:cols>
          <w:pgMar w:left="240" w:top="140" w:right="239" w:bottom="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100" w:type="dxa"/>
            <w:vAlign w:val="bottom"/>
          </w:tcPr>
          <w:p>
            <w:pPr>
              <w:spacing w:after="0"/>
              <w:rPr>
                <w:sz w:val="20"/>
                <w:szCs w:val="20"/>
                <w:color w:val="auto"/>
              </w:rPr>
            </w:pPr>
            <w:r>
              <w:rPr>
                <w:rFonts w:ascii="Arial" w:cs="Arial" w:eastAsia="Arial" w:hAnsi="Arial"/>
                <w:sz w:val="17"/>
                <w:szCs w:val="17"/>
                <w:color w:val="auto"/>
              </w:rPr>
              <w:t>Wynnewood</w:t>
            </w:r>
          </w:p>
        </w:tc>
        <w:tc>
          <w:tcPr>
            <w:tcW w:w="600" w:type="dxa"/>
            <w:vAlign w:val="bottom"/>
          </w:tcPr>
          <w:p>
            <w:pPr>
              <w:ind w:left="220"/>
              <w:spacing w:after="0"/>
              <w:rPr>
                <w:sz w:val="20"/>
                <w:szCs w:val="20"/>
                <w:color w:val="auto"/>
              </w:rPr>
            </w:pPr>
            <w:r>
              <w:rPr>
                <w:rFonts w:ascii="Arial" w:cs="Arial" w:eastAsia="Arial" w:hAnsi="Arial"/>
                <w:sz w:val="17"/>
                <w:szCs w:val="17"/>
                <w:color w:val="auto"/>
              </w:rPr>
              <w:t>SC</w:t>
            </w:r>
          </w:p>
        </w:tc>
        <w:tc>
          <w:tcPr>
            <w:tcW w:w="1400" w:type="dxa"/>
            <w:vAlign w:val="bottom"/>
          </w:tcPr>
          <w:p>
            <w:pPr>
              <w:ind w:left="160"/>
              <w:spacing w:after="0"/>
              <w:rPr>
                <w:sz w:val="20"/>
                <w:szCs w:val="20"/>
                <w:color w:val="auto"/>
              </w:rPr>
            </w:pPr>
            <w:r>
              <w:rPr>
                <w:rFonts w:ascii="Arial" w:cs="Arial" w:eastAsia="Arial" w:hAnsi="Arial"/>
                <w:sz w:val="17"/>
                <w:szCs w:val="17"/>
                <w:color w:val="auto"/>
              </w:rPr>
              <w:t>Philadelphia,</w:t>
            </w: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1996</w:t>
            </w:r>
          </w:p>
        </w:tc>
        <w:tc>
          <w:tcPr>
            <w:tcW w:w="1000" w:type="dxa"/>
            <w:vAlign w:val="bottom"/>
          </w:tcPr>
          <w:p>
            <w:pPr>
              <w:jc w:val="right"/>
              <w:ind w:right="193"/>
              <w:spacing w:after="0"/>
              <w:rPr>
                <w:sz w:val="20"/>
                <w:szCs w:val="20"/>
                <w:color w:val="auto"/>
              </w:rPr>
            </w:pPr>
            <w:r>
              <w:rPr>
                <w:rFonts w:ascii="Arial" w:cs="Arial" w:eastAsia="Arial" w:hAnsi="Arial"/>
                <w:sz w:val="17"/>
                <w:szCs w:val="17"/>
                <w:color w:val="auto"/>
              </w:rPr>
              <w:t>35,269</w:t>
            </w:r>
          </w:p>
        </w:tc>
        <w:tc>
          <w:tcPr>
            <w:tcW w:w="1000" w:type="dxa"/>
            <w:vAlign w:val="bottom"/>
          </w:tcPr>
          <w:p>
            <w:pPr>
              <w:jc w:val="right"/>
              <w:ind w:right="93"/>
              <w:spacing w:after="0"/>
              <w:rPr>
                <w:sz w:val="20"/>
                <w:szCs w:val="20"/>
                <w:color w:val="auto"/>
              </w:rPr>
            </w:pPr>
            <w:r>
              <w:rPr>
                <w:rFonts w:ascii="Arial" w:cs="Arial" w:eastAsia="Arial" w:hAnsi="Arial"/>
                <w:sz w:val="17"/>
                <w:szCs w:val="17"/>
                <w:color w:val="auto"/>
              </w:rPr>
              <w:t>100.0%</w:t>
            </w:r>
          </w:p>
        </w:tc>
        <w:tc>
          <w:tcPr>
            <w:tcW w:w="1000" w:type="dxa"/>
            <w:vAlign w:val="bottom"/>
          </w:tcPr>
          <w:p>
            <w:pPr>
              <w:jc w:val="right"/>
              <w:ind w:right="173"/>
              <w:spacing w:after="0"/>
              <w:rPr>
                <w:sz w:val="20"/>
                <w:szCs w:val="20"/>
                <w:color w:val="auto"/>
              </w:rPr>
            </w:pPr>
            <w:r>
              <w:rPr>
                <w:rFonts w:ascii="Arial" w:cs="Arial" w:eastAsia="Arial" w:hAnsi="Arial"/>
                <w:sz w:val="17"/>
                <w:szCs w:val="17"/>
                <w:color w:val="auto"/>
              </w:rPr>
              <w:t>255,000</w:t>
            </w:r>
          </w:p>
        </w:tc>
        <w:tc>
          <w:tcPr>
            <w:tcW w:w="800" w:type="dxa"/>
            <w:vAlign w:val="bottom"/>
          </w:tcPr>
          <w:p>
            <w:pPr>
              <w:jc w:val="right"/>
              <w:ind w:right="133"/>
              <w:spacing w:after="0"/>
              <w:rPr>
                <w:sz w:val="20"/>
                <w:szCs w:val="20"/>
                <w:color w:val="auto"/>
              </w:rPr>
            </w:pPr>
            <w:r>
              <w:rPr>
                <w:rFonts w:ascii="Arial" w:cs="Arial" w:eastAsia="Arial" w:hAnsi="Arial"/>
                <w:sz w:val="17"/>
                <w:szCs w:val="17"/>
                <w:color w:val="auto"/>
              </w:rPr>
              <w:t>99%</w:t>
            </w:r>
          </w:p>
        </w:tc>
        <w:tc>
          <w:tcPr>
            <w:tcW w:w="3340" w:type="dxa"/>
            <w:vAlign w:val="bottom"/>
          </w:tcPr>
          <w:p>
            <w:pPr>
              <w:ind w:left="220"/>
              <w:spacing w:after="0"/>
              <w:rPr>
                <w:sz w:val="20"/>
                <w:szCs w:val="20"/>
                <w:color w:val="auto"/>
              </w:rPr>
            </w:pPr>
            <w:r>
              <w:rPr>
                <w:rFonts w:ascii="Arial" w:cs="Arial" w:eastAsia="Arial" w:hAnsi="Arial"/>
                <w:sz w:val="17"/>
                <w:szCs w:val="17"/>
                <w:color w:val="auto"/>
                <w:w w:val="98"/>
              </w:rPr>
              <w:t>31,768   98,000  Genuardi’s   Bed, Bath &amp;</w:t>
            </w:r>
          </w:p>
        </w:tc>
      </w:tr>
      <w:tr>
        <w:trPr>
          <w:trHeight w:val="221"/>
        </w:trPr>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tcPr>
          <w:p>
            <w:pPr>
              <w:ind w:left="160"/>
              <w:spacing w:after="0"/>
              <w:rPr>
                <w:sz w:val="20"/>
                <w:szCs w:val="20"/>
                <w:color w:val="auto"/>
              </w:rPr>
            </w:pPr>
            <w:r>
              <w:rPr>
                <w:rFonts w:ascii="Arial" w:cs="Arial" w:eastAsia="Arial" w:hAnsi="Arial"/>
                <w:sz w:val="17"/>
                <w:szCs w:val="17"/>
                <w:color w:val="auto"/>
              </w:rPr>
              <w:t>PA-NJ</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340" w:type="dxa"/>
            <w:vAlign w:val="bottom"/>
          </w:tcPr>
          <w:p>
            <w:pPr>
              <w:ind w:left="2460"/>
              <w:spacing w:after="0"/>
              <w:rPr>
                <w:sz w:val="20"/>
                <w:szCs w:val="20"/>
                <w:color w:val="auto"/>
              </w:rPr>
            </w:pPr>
            <w:r>
              <w:rPr>
                <w:rFonts w:ascii="Arial" w:cs="Arial" w:eastAsia="Arial" w:hAnsi="Arial"/>
                <w:sz w:val="17"/>
                <w:szCs w:val="17"/>
                <w:color w:val="auto"/>
              </w:rPr>
              <w:t>Beyond /</w:t>
            </w:r>
          </w:p>
        </w:tc>
      </w:tr>
    </w:tbl>
    <w:p>
      <w:pPr>
        <w:sectPr>
          <w:pgSz w:w="11900" w:h="16838" w:orient="portrait"/>
          <w:cols w:equalWidth="0" w:num="1">
            <w:col w:w="11420"/>
          </w:cols>
          <w:pgMar w:left="240" w:top="140" w:right="239" w:bottom="0" w:gutter="0" w:footer="0" w:header="0"/>
          <w:type w:val="continuous"/>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Borders / Old</w:t>
            </w:r>
          </w:p>
        </w:tc>
      </w:tr>
      <w:tr>
        <w:trPr>
          <w:trHeight w:val="221"/>
        </w:trPr>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Navy</w:t>
            </w:r>
          </w:p>
        </w:tc>
      </w:tr>
      <w:tr>
        <w:trPr>
          <w:trHeight w:val="109"/>
        </w:trPr>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01"/>
        </w:trPr>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14"/>
        </w:trPr>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222,424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2,432,000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81"/>
        </w:trPr>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4"/>
              </w:rPr>
              <w:t>New York / New</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4"/>
        </w:trPr>
        <w:tc>
          <w:tcPr>
            <w:tcW w:w="220" w:type="dxa"/>
            <w:vAlign w:val="bottom"/>
          </w:tcPr>
          <w:p>
            <w:pPr>
              <w:spacing w:after="0"/>
              <w:rPr>
                <w:sz w:val="16"/>
                <w:szCs w:val="16"/>
                <w:color w:val="auto"/>
              </w:rPr>
            </w:pPr>
          </w:p>
        </w:tc>
        <w:tc>
          <w:tcPr>
            <w:tcW w:w="1040" w:type="dxa"/>
            <w:vAlign w:val="bottom"/>
            <w:gridSpan w:val="3"/>
          </w:tcPr>
          <w:p>
            <w:pPr>
              <w:spacing w:after="0" w:line="194" w:lineRule="exact"/>
              <w:rPr>
                <w:sz w:val="20"/>
                <w:szCs w:val="20"/>
                <w:color w:val="auto"/>
              </w:rPr>
            </w:pPr>
            <w:r>
              <w:rPr>
                <w:rFonts w:ascii="Arial" w:cs="Arial" w:eastAsia="Arial" w:hAnsi="Arial"/>
                <w:sz w:val="17"/>
                <w:szCs w:val="17"/>
                <w:b w:val="1"/>
                <w:bCs w:val="1"/>
                <w:color w:val="auto"/>
              </w:rPr>
              <w:t>Jersey</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6"/>
        </w:trPr>
        <w:tc>
          <w:tcPr>
            <w:tcW w:w="1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Allwood</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Bergen-</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4,301</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3,495</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Stop &amp;</w:t>
            </w: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Mandee Shop</w:t>
            </w:r>
          </w:p>
        </w:tc>
      </w:tr>
      <w:tr>
        <w:trPr>
          <w:trHeight w:val="223"/>
        </w:trPr>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Passaic, NJ</w:t>
            </w: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Shop</w:t>
            </w:r>
          </w:p>
        </w:tc>
        <w:tc>
          <w:tcPr>
            <w:tcW w:w="1240" w:type="dxa"/>
            <w:vAlign w:val="bottom"/>
            <w:shd w:val="clear" w:color="auto" w:fill="CCEEFF"/>
          </w:tcPr>
          <w:p>
            <w:pPr>
              <w:spacing w:after="0"/>
              <w:rPr>
                <w:sz w:val="19"/>
                <w:szCs w:val="19"/>
                <w:color w:val="auto"/>
              </w:rPr>
            </w:pPr>
          </w:p>
        </w:tc>
      </w:tr>
      <w:tr>
        <w:trPr>
          <w:trHeight w:val="206"/>
        </w:trPr>
        <w:tc>
          <w:tcPr>
            <w:tcW w:w="1260" w:type="dxa"/>
            <w:vAlign w:val="bottom"/>
            <w:gridSpan w:val="4"/>
          </w:tcPr>
          <w:p>
            <w:pPr>
              <w:spacing w:after="0"/>
              <w:rPr>
                <w:sz w:val="20"/>
                <w:szCs w:val="20"/>
                <w:color w:val="auto"/>
              </w:rPr>
            </w:pPr>
            <w:r>
              <w:rPr>
                <w:rFonts w:ascii="Arial" w:cs="Arial" w:eastAsia="Arial" w:hAnsi="Arial"/>
                <w:sz w:val="17"/>
                <w:szCs w:val="17"/>
                <w:color w:val="auto"/>
              </w:rPr>
              <w:t>Clifton</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360" w:type="dxa"/>
            <w:vAlign w:val="bottom"/>
          </w:tcPr>
          <w:p>
            <w:pPr>
              <w:ind w:left="160"/>
              <w:spacing w:after="0"/>
              <w:rPr>
                <w:sz w:val="20"/>
                <w:szCs w:val="20"/>
                <w:color w:val="auto"/>
              </w:rPr>
            </w:pPr>
            <w:r>
              <w:rPr>
                <w:rFonts w:ascii="Arial" w:cs="Arial" w:eastAsia="Arial" w:hAnsi="Arial"/>
                <w:sz w:val="17"/>
                <w:szCs w:val="17"/>
                <w:color w:val="auto"/>
              </w:rPr>
              <w:t>Bergen-</w:t>
            </w: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1988</w:t>
            </w:r>
          </w:p>
        </w:tc>
        <w:tc>
          <w:tcPr>
            <w:tcW w:w="820" w:type="dxa"/>
            <w:vAlign w:val="bottom"/>
          </w:tcPr>
          <w:p>
            <w:pPr>
              <w:jc w:val="right"/>
              <w:spacing w:after="0"/>
              <w:rPr>
                <w:sz w:val="20"/>
                <w:szCs w:val="20"/>
                <w:color w:val="auto"/>
              </w:rPr>
            </w:pPr>
            <w:r>
              <w:rPr>
                <w:rFonts w:ascii="Arial" w:cs="Arial" w:eastAsia="Arial" w:hAnsi="Arial"/>
                <w:sz w:val="17"/>
                <w:szCs w:val="17"/>
                <w:color w:val="auto"/>
              </w:rPr>
              <w:t>4,977</w:t>
            </w:r>
          </w:p>
        </w:tc>
        <w:tc>
          <w:tcPr>
            <w:tcW w:w="28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(7)</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80,000</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66%</w:t>
            </w:r>
          </w:p>
        </w:tc>
        <w:tc>
          <w:tcPr>
            <w:tcW w:w="780" w:type="dxa"/>
            <w:vAlign w:val="bottom"/>
          </w:tcPr>
          <w:p>
            <w:pPr>
              <w:jc w:val="right"/>
              <w:spacing w:after="0"/>
              <w:rPr>
                <w:sz w:val="20"/>
                <w:szCs w:val="20"/>
                <w:color w:val="auto"/>
              </w:rPr>
            </w:pPr>
            <w:r>
              <w:rPr>
                <w:rFonts w:ascii="Arial" w:cs="Arial" w:eastAsia="Arial" w:hAnsi="Arial"/>
                <w:sz w:val="17"/>
                <w:szCs w:val="17"/>
                <w:color w:val="auto"/>
              </w:rPr>
              <w:t>3,250</w:t>
            </w: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Drug Fair /</w:t>
            </w:r>
          </w:p>
        </w:tc>
      </w:tr>
      <w:tr>
        <w:trPr>
          <w:trHeight w:val="222"/>
        </w:trPr>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Passaic, NJ</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Dollar Express</w:t>
            </w:r>
          </w:p>
        </w:tc>
      </w:tr>
      <w:tr>
        <w:trPr>
          <w:trHeight w:val="207"/>
        </w:trPr>
        <w:tc>
          <w:tcPr>
            <w:tcW w:w="1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Blue Star</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Middlesex-</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39,591</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407,000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26,676</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w:t>
            </w:r>
          </w:p>
        </w:tc>
        <w:tc>
          <w:tcPr>
            <w:tcW w:w="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Shop Rite</w:t>
            </w: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Kohl’s /</w:t>
            </w:r>
          </w:p>
        </w:tc>
      </w:tr>
      <w:tr>
        <w:trPr>
          <w:trHeight w:val="214"/>
        </w:trPr>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Somerset-</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Michaels /</w:t>
            </w:r>
          </w:p>
        </w:tc>
      </w:tr>
      <w:tr>
        <w:trPr>
          <w:trHeight w:val="214"/>
        </w:trPr>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Hunterdon,</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Toys R Us /</w:t>
            </w:r>
          </w:p>
        </w:tc>
      </w:tr>
      <w:tr>
        <w:trPr>
          <w:trHeight w:val="223"/>
        </w:trPr>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NJ</w:t>
            </w: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Marshalls</w:t>
            </w:r>
          </w:p>
        </w:tc>
      </w:tr>
      <w:tr>
        <w:trPr>
          <w:trHeight w:val="206"/>
        </w:trPr>
        <w:tc>
          <w:tcPr>
            <w:tcW w:w="1260" w:type="dxa"/>
            <w:vAlign w:val="bottom"/>
            <w:gridSpan w:val="4"/>
          </w:tcPr>
          <w:p>
            <w:pPr>
              <w:spacing w:after="0"/>
              <w:rPr>
                <w:sz w:val="20"/>
                <w:szCs w:val="20"/>
                <w:color w:val="auto"/>
              </w:rPr>
            </w:pPr>
            <w:r>
              <w:rPr>
                <w:rFonts w:ascii="Arial" w:cs="Arial" w:eastAsia="Arial" w:hAnsi="Arial"/>
                <w:sz w:val="17"/>
                <w:szCs w:val="17"/>
                <w:color w:val="auto"/>
              </w:rPr>
              <w:t>Brunswick</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360" w:type="dxa"/>
            <w:vAlign w:val="bottom"/>
          </w:tcPr>
          <w:p>
            <w:pPr>
              <w:ind w:left="160"/>
              <w:spacing w:after="0"/>
              <w:rPr>
                <w:sz w:val="20"/>
                <w:szCs w:val="20"/>
                <w:color w:val="auto"/>
              </w:rPr>
            </w:pPr>
            <w:r>
              <w:rPr>
                <w:rFonts w:ascii="Arial" w:cs="Arial" w:eastAsia="Arial" w:hAnsi="Arial"/>
                <w:sz w:val="17"/>
                <w:szCs w:val="17"/>
                <w:color w:val="auto"/>
              </w:rPr>
              <w:t>Middlesex-</w:t>
            </w: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1988</w:t>
            </w:r>
          </w:p>
        </w:tc>
        <w:tc>
          <w:tcPr>
            <w:tcW w:w="820" w:type="dxa"/>
            <w:vAlign w:val="bottom"/>
          </w:tcPr>
          <w:p>
            <w:pPr>
              <w:jc w:val="right"/>
              <w:spacing w:after="0"/>
              <w:rPr>
                <w:sz w:val="20"/>
                <w:szCs w:val="20"/>
                <w:color w:val="auto"/>
              </w:rPr>
            </w:pPr>
            <w:r>
              <w:rPr>
                <w:rFonts w:ascii="Arial" w:cs="Arial" w:eastAsia="Arial" w:hAnsi="Arial"/>
                <w:sz w:val="17"/>
                <w:szCs w:val="17"/>
                <w:color w:val="auto"/>
              </w:rPr>
              <w:t>24,479</w:t>
            </w:r>
          </w:p>
        </w:tc>
        <w:tc>
          <w:tcPr>
            <w:tcW w:w="28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(7)</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303,000</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97%</w:t>
            </w:r>
          </w:p>
        </w:tc>
        <w:tc>
          <w:tcPr>
            <w:tcW w:w="780" w:type="dxa"/>
            <w:vAlign w:val="bottom"/>
          </w:tcPr>
          <w:p>
            <w:pPr>
              <w:jc w:val="right"/>
              <w:spacing w:after="0"/>
              <w:rPr>
                <w:sz w:val="20"/>
                <w:szCs w:val="20"/>
                <w:color w:val="auto"/>
              </w:rPr>
            </w:pPr>
            <w:r>
              <w:rPr>
                <w:rFonts w:ascii="Arial" w:cs="Arial" w:eastAsia="Arial" w:hAnsi="Arial"/>
                <w:sz w:val="17"/>
                <w:szCs w:val="17"/>
                <w:color w:val="auto"/>
              </w:rPr>
              <w:t>11,105</w:t>
            </w:r>
          </w:p>
        </w:tc>
        <w:tc>
          <w:tcPr>
            <w:tcW w:w="640" w:type="dxa"/>
            <w:vAlign w:val="bottom"/>
          </w:tcPr>
          <w:p>
            <w:pPr>
              <w:jc w:val="right"/>
              <w:spacing w:after="0"/>
              <w:rPr>
                <w:sz w:val="20"/>
                <w:szCs w:val="20"/>
                <w:color w:val="auto"/>
              </w:rPr>
            </w:pPr>
            <w:r>
              <w:rPr>
                <w:rFonts w:ascii="Arial" w:cs="Arial" w:eastAsia="Arial" w:hAnsi="Arial"/>
                <w:sz w:val="17"/>
                <w:szCs w:val="17"/>
                <w:color w:val="auto"/>
              </w:rPr>
              <w:t>55,000</w:t>
            </w:r>
          </w:p>
        </w:tc>
        <w:tc>
          <w:tcPr>
            <w:tcW w:w="980" w:type="dxa"/>
            <w:vAlign w:val="bottom"/>
          </w:tcPr>
          <w:p>
            <w:pPr>
              <w:ind w:left="60"/>
              <w:spacing w:after="0"/>
              <w:rPr>
                <w:sz w:val="20"/>
                <w:szCs w:val="20"/>
                <w:color w:val="auto"/>
              </w:rPr>
            </w:pPr>
            <w:r>
              <w:rPr>
                <w:rFonts w:ascii="Arial" w:cs="Arial" w:eastAsia="Arial" w:hAnsi="Arial"/>
                <w:sz w:val="17"/>
                <w:szCs w:val="17"/>
                <w:color w:val="auto"/>
              </w:rPr>
              <w:t>A&amp;P</w:t>
            </w:r>
          </w:p>
        </w:tc>
        <w:tc>
          <w:tcPr>
            <w:tcW w:w="1240" w:type="dxa"/>
            <w:vAlign w:val="bottom"/>
          </w:tcPr>
          <w:p>
            <w:pPr>
              <w:ind w:left="60"/>
              <w:spacing w:after="0"/>
              <w:rPr>
                <w:sz w:val="20"/>
                <w:szCs w:val="20"/>
                <w:color w:val="auto"/>
              </w:rPr>
            </w:pPr>
            <w:r>
              <w:rPr>
                <w:rFonts w:ascii="Arial" w:cs="Arial" w:eastAsia="Arial" w:hAnsi="Arial"/>
                <w:sz w:val="17"/>
                <w:szCs w:val="17"/>
                <w:color w:val="auto"/>
              </w:rPr>
              <w:t>A.J. Wright</w:t>
            </w:r>
          </w:p>
        </w:tc>
      </w:tr>
      <w:tr>
        <w:trPr>
          <w:trHeight w:val="214"/>
        </w:trPr>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Somerset-</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4"/>
        </w:trPr>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Hunterdon,</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NJ</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7"/>
        </w:trPr>
        <w:tc>
          <w:tcPr>
            <w:tcW w:w="1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Rutgers</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Middlesex-</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15,940</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217,000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12,864</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44,000</w:t>
            </w:r>
          </w:p>
        </w:tc>
        <w:tc>
          <w:tcPr>
            <w:tcW w:w="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Stop &amp;</w:t>
            </w: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Kmart</w:t>
            </w:r>
          </w:p>
        </w:tc>
      </w:tr>
      <w:tr>
        <w:trPr>
          <w:trHeight w:val="214"/>
        </w:trPr>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Somerset-</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ind w:left="60"/>
              <w:spacing w:after="0"/>
              <w:rPr>
                <w:sz w:val="20"/>
                <w:szCs w:val="20"/>
                <w:color w:val="auto"/>
              </w:rPr>
            </w:pPr>
            <w:r>
              <w:rPr>
                <w:rFonts w:ascii="Arial" w:cs="Arial" w:eastAsia="Arial" w:hAnsi="Arial"/>
                <w:sz w:val="17"/>
                <w:szCs w:val="17"/>
                <w:color w:val="auto"/>
              </w:rPr>
              <w:t>Shop</w:t>
            </w:r>
          </w:p>
        </w:tc>
        <w:tc>
          <w:tcPr>
            <w:tcW w:w="1240" w:type="dxa"/>
            <w:vAlign w:val="bottom"/>
            <w:shd w:val="clear" w:color="auto" w:fill="CCEEFF"/>
          </w:tcPr>
          <w:p>
            <w:pPr>
              <w:spacing w:after="0"/>
              <w:rPr>
                <w:sz w:val="18"/>
                <w:szCs w:val="18"/>
                <w:color w:val="auto"/>
              </w:rPr>
            </w:pPr>
          </w:p>
        </w:tc>
      </w:tr>
      <w:tr>
        <w:trPr>
          <w:trHeight w:val="214"/>
        </w:trPr>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Hunterdon,</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3"/>
        </w:trPr>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NJ</w:t>
            </w: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6"/>
        </w:trPr>
        <w:tc>
          <w:tcPr>
            <w:tcW w:w="1260" w:type="dxa"/>
            <w:vAlign w:val="bottom"/>
            <w:gridSpan w:val="4"/>
          </w:tcPr>
          <w:p>
            <w:pPr>
              <w:spacing w:after="0"/>
              <w:rPr>
                <w:sz w:val="20"/>
                <w:szCs w:val="20"/>
                <w:color w:val="auto"/>
              </w:rPr>
            </w:pPr>
            <w:r>
              <w:rPr>
                <w:rFonts w:ascii="Arial" w:cs="Arial" w:eastAsia="Arial" w:hAnsi="Arial"/>
                <w:sz w:val="17"/>
                <w:szCs w:val="17"/>
                <w:color w:val="auto"/>
              </w:rPr>
              <w:t>Brick Plaza</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360" w:type="dxa"/>
            <w:vAlign w:val="bottom"/>
          </w:tcPr>
          <w:p>
            <w:pPr>
              <w:ind w:left="160"/>
              <w:spacing w:after="0"/>
              <w:rPr>
                <w:sz w:val="20"/>
                <w:szCs w:val="20"/>
                <w:color w:val="auto"/>
              </w:rPr>
            </w:pPr>
            <w:r>
              <w:rPr>
                <w:rFonts w:ascii="Arial" w:cs="Arial" w:eastAsia="Arial" w:hAnsi="Arial"/>
                <w:sz w:val="17"/>
                <w:szCs w:val="17"/>
                <w:color w:val="auto"/>
              </w:rPr>
              <w:t>Monmouth-</w:t>
            </w: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1989</w:t>
            </w:r>
          </w:p>
        </w:tc>
        <w:tc>
          <w:tcPr>
            <w:tcW w:w="820" w:type="dxa"/>
            <w:vAlign w:val="bottom"/>
          </w:tcPr>
          <w:p>
            <w:pPr>
              <w:jc w:val="right"/>
              <w:spacing w:after="0"/>
              <w:rPr>
                <w:sz w:val="20"/>
                <w:szCs w:val="20"/>
                <w:color w:val="auto"/>
              </w:rPr>
            </w:pPr>
            <w:r>
              <w:rPr>
                <w:rFonts w:ascii="Arial" w:cs="Arial" w:eastAsia="Arial" w:hAnsi="Arial"/>
                <w:sz w:val="17"/>
                <w:szCs w:val="17"/>
                <w:color w:val="auto"/>
              </w:rPr>
              <w:t>55,394</w:t>
            </w:r>
          </w:p>
        </w:tc>
        <w:tc>
          <w:tcPr>
            <w:tcW w:w="28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409,000</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95%</w:t>
            </w:r>
          </w:p>
        </w:tc>
        <w:tc>
          <w:tcPr>
            <w:tcW w:w="780" w:type="dxa"/>
            <w:vAlign w:val="bottom"/>
          </w:tcPr>
          <w:p>
            <w:pPr>
              <w:jc w:val="right"/>
              <w:spacing w:after="0"/>
              <w:rPr>
                <w:sz w:val="20"/>
                <w:szCs w:val="20"/>
                <w:color w:val="auto"/>
              </w:rPr>
            </w:pPr>
            <w:r>
              <w:rPr>
                <w:rFonts w:ascii="Arial" w:cs="Arial" w:eastAsia="Arial" w:hAnsi="Arial"/>
                <w:sz w:val="17"/>
                <w:szCs w:val="17"/>
                <w:color w:val="auto"/>
              </w:rPr>
              <w:t>32,738</w:t>
            </w:r>
          </w:p>
        </w:tc>
        <w:tc>
          <w:tcPr>
            <w:tcW w:w="640" w:type="dxa"/>
            <w:vAlign w:val="bottom"/>
          </w:tcPr>
          <w:p>
            <w:pPr>
              <w:jc w:val="right"/>
              <w:spacing w:after="0"/>
              <w:rPr>
                <w:sz w:val="20"/>
                <w:szCs w:val="20"/>
                <w:color w:val="auto"/>
              </w:rPr>
            </w:pPr>
            <w:r>
              <w:rPr>
                <w:rFonts w:ascii="Arial" w:cs="Arial" w:eastAsia="Arial" w:hAnsi="Arial"/>
                <w:sz w:val="17"/>
                <w:szCs w:val="17"/>
                <w:color w:val="auto"/>
              </w:rPr>
              <w:t>66,000</w:t>
            </w:r>
          </w:p>
        </w:tc>
        <w:tc>
          <w:tcPr>
            <w:tcW w:w="980" w:type="dxa"/>
            <w:vAlign w:val="bottom"/>
          </w:tcPr>
          <w:p>
            <w:pPr>
              <w:ind w:left="60"/>
              <w:spacing w:after="0"/>
              <w:rPr>
                <w:sz w:val="20"/>
                <w:szCs w:val="20"/>
                <w:color w:val="auto"/>
              </w:rPr>
            </w:pPr>
            <w:r>
              <w:rPr>
                <w:rFonts w:ascii="Arial" w:cs="Arial" w:eastAsia="Arial" w:hAnsi="Arial"/>
                <w:sz w:val="17"/>
                <w:szCs w:val="17"/>
                <w:color w:val="auto"/>
              </w:rPr>
              <w:t>A&amp;P</w:t>
            </w:r>
          </w:p>
        </w:tc>
        <w:tc>
          <w:tcPr>
            <w:tcW w:w="1240" w:type="dxa"/>
            <w:vAlign w:val="bottom"/>
          </w:tcPr>
          <w:p>
            <w:pPr>
              <w:ind w:left="60"/>
              <w:spacing w:after="0"/>
              <w:rPr>
                <w:sz w:val="20"/>
                <w:szCs w:val="20"/>
                <w:color w:val="auto"/>
              </w:rPr>
            </w:pPr>
            <w:r>
              <w:rPr>
                <w:rFonts w:ascii="Arial" w:cs="Arial" w:eastAsia="Arial" w:hAnsi="Arial"/>
                <w:sz w:val="17"/>
                <w:szCs w:val="17"/>
                <w:color w:val="auto"/>
              </w:rPr>
              <w:t>Loews Theatre</w:t>
            </w:r>
          </w:p>
        </w:tc>
      </w:tr>
      <w:tr>
        <w:trPr>
          <w:trHeight w:val="214"/>
        </w:trPr>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Ocean, NJ</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w:t>
            </w:r>
          </w:p>
        </w:tc>
      </w:tr>
      <w:tr>
        <w:trPr>
          <w:trHeight w:val="214"/>
        </w:trPr>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Barnes&amp;Noble</w:t>
            </w:r>
          </w:p>
        </w:tc>
      </w:tr>
      <w:tr>
        <w:trPr>
          <w:trHeight w:val="214"/>
        </w:trPr>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 Sports</w:t>
            </w:r>
          </w:p>
        </w:tc>
      </w:tr>
      <w:tr>
        <w:trPr>
          <w:trHeight w:val="222"/>
        </w:trPr>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Authority</w:t>
            </w:r>
          </w:p>
        </w:tc>
      </w:tr>
      <w:tr>
        <w:trPr>
          <w:trHeight w:val="207"/>
        </w:trPr>
        <w:tc>
          <w:tcPr>
            <w:tcW w:w="126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5"/>
              </w:rPr>
              <w:t>Greenlawn Plaza</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Nassau-</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11,766</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102,000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46,000</w:t>
            </w:r>
          </w:p>
        </w:tc>
        <w:tc>
          <w:tcPr>
            <w:tcW w:w="980" w:type="dxa"/>
            <w:vAlign w:val="bottom"/>
            <w:shd w:val="clear" w:color="auto" w:fill="CCEEFF"/>
          </w:tcPr>
          <w:p>
            <w:pPr>
              <w:ind w:left="60"/>
              <w:spacing w:after="0"/>
              <w:rPr>
                <w:sz w:val="20"/>
                <w:szCs w:val="20"/>
                <w:color w:val="auto"/>
              </w:rPr>
            </w:pPr>
            <w:r>
              <w:rPr>
                <w:rFonts w:ascii="Arial" w:cs="Arial" w:eastAsia="Arial" w:hAnsi="Arial"/>
                <w:sz w:val="17"/>
                <w:szCs w:val="17"/>
                <w:color w:val="auto"/>
                <w:w w:val="96"/>
              </w:rPr>
              <w:t>Waldbaum’s</w:t>
            </w:r>
          </w:p>
        </w:tc>
        <w:tc>
          <w:tcPr>
            <w:tcW w:w="1240" w:type="dxa"/>
            <w:vAlign w:val="bottom"/>
            <w:shd w:val="clear" w:color="auto" w:fill="CCEEFF"/>
          </w:tcPr>
          <w:p>
            <w:pPr>
              <w:spacing w:after="0"/>
              <w:rPr>
                <w:sz w:val="17"/>
                <w:szCs w:val="17"/>
                <w:color w:val="auto"/>
              </w:rPr>
            </w:pPr>
          </w:p>
        </w:tc>
      </w:tr>
      <w:tr>
        <w:trPr>
          <w:trHeight w:val="223"/>
        </w:trPr>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Suffolk, NY</w:t>
            </w: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6"/>
        </w:trPr>
        <w:tc>
          <w:tcPr>
            <w:tcW w:w="1260" w:type="dxa"/>
            <w:vAlign w:val="bottom"/>
            <w:gridSpan w:val="4"/>
          </w:tcPr>
          <w:p>
            <w:pPr>
              <w:spacing w:after="0"/>
              <w:rPr>
                <w:sz w:val="20"/>
                <w:szCs w:val="20"/>
                <w:color w:val="auto"/>
              </w:rPr>
            </w:pPr>
            <w:r>
              <w:rPr>
                <w:rFonts w:ascii="Arial" w:cs="Arial" w:eastAsia="Arial" w:hAnsi="Arial"/>
                <w:sz w:val="17"/>
                <w:szCs w:val="17"/>
                <w:color w:val="auto"/>
              </w:rPr>
              <w:t>Hauppauge</w:t>
            </w:r>
          </w:p>
        </w:tc>
        <w:tc>
          <w:tcPr>
            <w:tcW w:w="440" w:type="dxa"/>
            <w:vAlign w:val="bottom"/>
          </w:tcPr>
          <w:p>
            <w:pPr>
              <w:ind w:left="60"/>
              <w:spacing w:after="0"/>
              <w:rPr>
                <w:sz w:val="20"/>
                <w:szCs w:val="20"/>
                <w:color w:val="auto"/>
              </w:rPr>
            </w:pPr>
            <w:r>
              <w:rPr>
                <w:rFonts w:ascii="Arial" w:cs="Arial" w:eastAsia="Arial" w:hAnsi="Arial"/>
                <w:sz w:val="17"/>
                <w:szCs w:val="17"/>
                <w:color w:val="auto"/>
              </w:rPr>
              <w:t>SC</w:t>
            </w:r>
          </w:p>
        </w:tc>
        <w:tc>
          <w:tcPr>
            <w:tcW w:w="1360" w:type="dxa"/>
            <w:vAlign w:val="bottom"/>
          </w:tcPr>
          <w:p>
            <w:pPr>
              <w:ind w:left="160"/>
              <w:spacing w:after="0"/>
              <w:rPr>
                <w:sz w:val="20"/>
                <w:szCs w:val="20"/>
                <w:color w:val="auto"/>
              </w:rPr>
            </w:pPr>
            <w:r>
              <w:rPr>
                <w:rFonts w:ascii="Arial" w:cs="Arial" w:eastAsia="Arial" w:hAnsi="Arial"/>
                <w:sz w:val="17"/>
                <w:szCs w:val="17"/>
                <w:color w:val="auto"/>
              </w:rPr>
              <w:t>Nassau-</w:t>
            </w: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1998</w:t>
            </w:r>
          </w:p>
        </w:tc>
        <w:tc>
          <w:tcPr>
            <w:tcW w:w="820" w:type="dxa"/>
            <w:vAlign w:val="bottom"/>
          </w:tcPr>
          <w:p>
            <w:pPr>
              <w:jc w:val="right"/>
              <w:spacing w:after="0"/>
              <w:rPr>
                <w:sz w:val="20"/>
                <w:szCs w:val="20"/>
                <w:color w:val="auto"/>
              </w:rPr>
            </w:pPr>
            <w:r>
              <w:rPr>
                <w:rFonts w:ascii="Arial" w:cs="Arial" w:eastAsia="Arial" w:hAnsi="Arial"/>
                <w:sz w:val="17"/>
                <w:szCs w:val="17"/>
                <w:color w:val="auto"/>
              </w:rPr>
              <w:t>26,359</w:t>
            </w:r>
          </w:p>
        </w:tc>
        <w:tc>
          <w:tcPr>
            <w:tcW w:w="28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131,000</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780" w:type="dxa"/>
            <w:vAlign w:val="bottom"/>
          </w:tcPr>
          <w:p>
            <w:pPr>
              <w:jc w:val="right"/>
              <w:spacing w:after="0"/>
              <w:rPr>
                <w:sz w:val="20"/>
                <w:szCs w:val="20"/>
                <w:color w:val="auto"/>
              </w:rPr>
            </w:pPr>
            <w:r>
              <w:rPr>
                <w:rFonts w:ascii="Arial" w:cs="Arial" w:eastAsia="Arial" w:hAnsi="Arial"/>
                <w:sz w:val="17"/>
                <w:szCs w:val="17"/>
                <w:color w:val="auto"/>
              </w:rPr>
              <w:t>16,579</w:t>
            </w:r>
          </w:p>
        </w:tc>
        <w:tc>
          <w:tcPr>
            <w:tcW w:w="640" w:type="dxa"/>
            <w:vAlign w:val="bottom"/>
          </w:tcPr>
          <w:p>
            <w:pPr>
              <w:jc w:val="right"/>
              <w:spacing w:after="0"/>
              <w:rPr>
                <w:sz w:val="20"/>
                <w:szCs w:val="20"/>
                <w:color w:val="auto"/>
              </w:rPr>
            </w:pPr>
            <w:r>
              <w:rPr>
                <w:rFonts w:ascii="Arial" w:cs="Arial" w:eastAsia="Arial" w:hAnsi="Arial"/>
                <w:sz w:val="17"/>
                <w:szCs w:val="17"/>
                <w:color w:val="auto"/>
              </w:rPr>
              <w:t>61,000</w:t>
            </w:r>
          </w:p>
        </w:tc>
        <w:tc>
          <w:tcPr>
            <w:tcW w:w="980" w:type="dxa"/>
            <w:vAlign w:val="bottom"/>
          </w:tcPr>
          <w:p>
            <w:pPr>
              <w:ind w:left="60"/>
              <w:spacing w:after="0"/>
              <w:rPr>
                <w:sz w:val="20"/>
                <w:szCs w:val="20"/>
                <w:color w:val="auto"/>
              </w:rPr>
            </w:pPr>
            <w:r>
              <w:rPr>
                <w:rFonts w:ascii="Arial" w:cs="Arial" w:eastAsia="Arial" w:hAnsi="Arial"/>
                <w:sz w:val="17"/>
                <w:szCs w:val="17"/>
                <w:color w:val="auto"/>
              </w:rPr>
              <w:t>Shop Rite</w:t>
            </w:r>
          </w:p>
        </w:tc>
        <w:tc>
          <w:tcPr>
            <w:tcW w:w="1240" w:type="dxa"/>
            <w:vAlign w:val="bottom"/>
          </w:tcPr>
          <w:p>
            <w:pPr>
              <w:ind w:left="60"/>
              <w:spacing w:after="0"/>
              <w:rPr>
                <w:sz w:val="20"/>
                <w:szCs w:val="20"/>
                <w:color w:val="auto"/>
              </w:rPr>
            </w:pPr>
            <w:r>
              <w:rPr>
                <w:rFonts w:ascii="Arial" w:cs="Arial" w:eastAsia="Arial" w:hAnsi="Arial"/>
                <w:sz w:val="17"/>
                <w:szCs w:val="17"/>
                <w:color w:val="auto"/>
              </w:rPr>
              <w:t>AC Moore</w:t>
            </w:r>
          </w:p>
        </w:tc>
      </w:tr>
      <w:tr>
        <w:trPr>
          <w:trHeight w:val="222"/>
        </w:trPr>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Suffolk, NY</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7"/>
        </w:trPr>
        <w:tc>
          <w:tcPr>
            <w:tcW w:w="1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Huntington</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SC</w:t>
            </w: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Nassau-</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22,452</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279,000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14,271</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Buy Buy Baby</w:t>
            </w:r>
          </w:p>
        </w:tc>
      </w:tr>
      <w:tr>
        <w:trPr>
          <w:trHeight w:val="214"/>
        </w:trPr>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Suffolk, NY</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 Toys R Us /</w:t>
            </w:r>
          </w:p>
        </w:tc>
      </w:tr>
      <w:tr>
        <w:trPr>
          <w:trHeight w:val="214"/>
        </w:trPr>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Bed, Bath &amp;</w:t>
            </w:r>
          </w:p>
        </w:tc>
      </w:tr>
      <w:tr>
        <w:trPr>
          <w:trHeight w:val="214"/>
        </w:trPr>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Beyond /</w:t>
            </w:r>
          </w:p>
        </w:tc>
      </w:tr>
      <w:tr>
        <w:trPr>
          <w:trHeight w:val="214"/>
        </w:trPr>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Barnes &amp;</w:t>
            </w:r>
          </w:p>
        </w:tc>
      </w:tr>
      <w:tr>
        <w:trPr>
          <w:trHeight w:val="223"/>
        </w:trPr>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Noble</w:t>
            </w:r>
          </w:p>
        </w:tc>
      </w:tr>
    </w:tbl>
    <w:p>
      <w:pPr>
        <w:sectPr>
          <w:pgSz w:w="11900" w:h="16838" w:orient="portrait"/>
          <w:cols w:equalWidth="0" w:num="1">
            <w:col w:w="11420"/>
          </w:cols>
          <w:pgMar w:left="240" w:top="131"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Mortgage or</w:t>
            </w:r>
          </w:p>
        </w:tc>
        <w:tc>
          <w:tcPr>
            <w:tcW w:w="1700" w:type="dxa"/>
            <w:vAlign w:val="bottom"/>
            <w:gridSpan w:val="4"/>
          </w:tcPr>
          <w:p>
            <w:pPr>
              <w:ind w:left="40"/>
              <w:spacing w:after="0"/>
              <w:rPr>
                <w:sz w:val="20"/>
                <w:szCs w:val="20"/>
                <w:color w:val="auto"/>
              </w:rPr>
            </w:pPr>
            <w:r>
              <w:rPr>
                <w:rFonts w:ascii="Arial" w:cs="Arial" w:eastAsia="Arial" w:hAnsi="Arial"/>
                <w:sz w:val="13"/>
                <w:szCs w:val="13"/>
                <w:b w:val="1"/>
                <w:bCs w:val="1"/>
                <w:color w:val="auto"/>
              </w:rPr>
              <w:t>Grocery</w:t>
            </w: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47"/>
        </w:trPr>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auto"/>
              </w:rPr>
              <w:t>Year</w:t>
            </w: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2"/>
                <w:szCs w:val="12"/>
                <w:color w:val="auto"/>
              </w:rPr>
            </w:pP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b w:val="1"/>
                <w:bCs w:val="1"/>
                <w:color w:val="auto"/>
                <w:w w:val="92"/>
              </w:rPr>
              <w:t>Ownership</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5"/>
          </w:tcPr>
          <w:p>
            <w:pPr>
              <w:spacing w:after="0" w:line="148" w:lineRule="exact"/>
              <w:rPr>
                <w:sz w:val="20"/>
                <w:szCs w:val="20"/>
                <w:color w:val="auto"/>
              </w:rPr>
            </w:pPr>
            <w:r>
              <w:rPr>
                <w:rFonts w:ascii="Arial" w:cs="Arial" w:eastAsia="Arial" w:hAnsi="Arial"/>
                <w:sz w:val="13"/>
                <w:szCs w:val="13"/>
                <w:b w:val="1"/>
                <w:bCs w:val="1"/>
                <w:color w:val="auto"/>
              </w:rPr>
              <w:t>Capital Lease Anchor</w:t>
            </w: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73"/>
        </w:trPr>
        <w:tc>
          <w:tcPr>
            <w:tcW w:w="1460" w:type="dxa"/>
            <w:vAlign w:val="bottom"/>
            <w:gridSpan w:val="8"/>
          </w:tcPr>
          <w:p>
            <w:pPr>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Pr>
          <w:p>
            <w:pPr>
              <w:spacing w:after="0"/>
              <w:rPr>
                <w:sz w:val="20"/>
                <w:szCs w:val="20"/>
                <w:color w:val="auto"/>
              </w:rPr>
            </w:pPr>
            <w:r>
              <w:rPr>
                <w:rFonts w:ascii="Arial" w:cs="Arial" w:eastAsia="Arial" w:hAnsi="Arial"/>
                <w:sz w:val="13"/>
                <w:szCs w:val="13"/>
                <w:b w:val="1"/>
                <w:bCs w:val="1"/>
                <w:color w:val="auto"/>
                <w:w w:val="90"/>
              </w:rPr>
              <w:t>Type(1)</w:t>
            </w:r>
          </w:p>
        </w:tc>
        <w:tc>
          <w:tcPr>
            <w:tcW w:w="1420" w:type="dxa"/>
            <w:vAlign w:val="bottom"/>
            <w:gridSpan w:val="2"/>
          </w:tcPr>
          <w:p>
            <w:pPr>
              <w:ind w:left="60"/>
              <w:spacing w:after="0"/>
              <w:rPr>
                <w:sz w:val="20"/>
                <w:szCs w:val="20"/>
                <w:color w:val="auto"/>
              </w:rPr>
            </w:pPr>
            <w:r>
              <w:rPr>
                <w:rFonts w:ascii="Arial" w:cs="Arial" w:eastAsia="Arial" w:hAnsi="Arial"/>
                <w:sz w:val="13"/>
                <w:szCs w:val="13"/>
                <w:b w:val="1"/>
                <w:bCs w:val="1"/>
                <w:color w:val="auto"/>
              </w:rPr>
              <w:t>MSA Description</w:t>
            </w:r>
          </w:p>
        </w:tc>
        <w:tc>
          <w:tcPr>
            <w:tcW w:w="4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2"/>
              </w:rPr>
              <w:t>Acquired</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Investment</w:t>
            </w:r>
          </w:p>
        </w:tc>
        <w:tc>
          <w:tcPr>
            <w:tcW w:w="4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8"/>
              </w:rPr>
              <w:t>Percentage</w:t>
            </w: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auto"/>
              </w:rPr>
              <w:t>GLA (2)</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 Leased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Obligation</w:t>
            </w:r>
          </w:p>
        </w:tc>
        <w:tc>
          <w:tcPr>
            <w:tcW w:w="40" w:type="dxa"/>
            <w:vAlign w:val="bottom"/>
          </w:tcPr>
          <w:p>
            <w:pPr>
              <w:spacing w:after="0"/>
              <w:rPr>
                <w:sz w:val="15"/>
                <w:szCs w:val="15"/>
                <w:color w:val="auto"/>
              </w:rPr>
            </w:pPr>
          </w:p>
        </w:tc>
        <w:tc>
          <w:tcPr>
            <w:tcW w:w="166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GLA (3) Grocery Anchor (3)</w:t>
            </w:r>
          </w:p>
        </w:tc>
        <w:tc>
          <w:tcPr>
            <w:tcW w:w="40" w:type="dxa"/>
            <w:vAlign w:val="bottom"/>
          </w:tcPr>
          <w:p>
            <w:pPr>
              <w:spacing w:after="0"/>
              <w:rPr>
                <w:sz w:val="15"/>
                <w:szCs w:val="15"/>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w w:val="92"/>
              </w:rPr>
              <w:t>Other Principal Tenants</w:t>
            </w:r>
          </w:p>
        </w:tc>
      </w:tr>
      <w:tr>
        <w:trPr>
          <w:trHeight w:val="94"/>
        </w:trPr>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r>
      <w:tr>
        <w:trPr>
          <w:trHeight w:val="248"/>
        </w:trPr>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1"/>
              </w:rPr>
              <w:t>(in thousands)</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7"/>
              </w:rPr>
              <w:t>(in thousands)</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06"/>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Forest Hills</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New York, NY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23,969</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Midway Theatre /</w:t>
            </w:r>
          </w:p>
        </w:tc>
      </w:tr>
      <w:tr>
        <w:trPr>
          <w:trHeight w:val="223"/>
        </w:trPr>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w w:val="89"/>
              </w:rPr>
              <w:t>Duane Reade / Gap</w:t>
            </w:r>
          </w:p>
        </w:tc>
      </w:tr>
      <w:tr>
        <w:trPr>
          <w:trHeight w:val="206"/>
        </w:trPr>
        <w:tc>
          <w:tcPr>
            <w:tcW w:w="1460" w:type="dxa"/>
            <w:vAlign w:val="bottom"/>
            <w:gridSpan w:val="8"/>
          </w:tcPr>
          <w:p>
            <w:pPr>
              <w:spacing w:after="0"/>
              <w:rPr>
                <w:sz w:val="20"/>
                <w:szCs w:val="20"/>
                <w:color w:val="auto"/>
              </w:rPr>
            </w:pPr>
            <w:r>
              <w:rPr>
                <w:rFonts w:ascii="Arial" w:cs="Arial" w:eastAsia="Arial" w:hAnsi="Arial"/>
                <w:sz w:val="17"/>
                <w:szCs w:val="17"/>
                <w:color w:val="auto"/>
              </w:rPr>
              <w:t>Fresh Meadows</w:t>
            </w:r>
          </w:p>
        </w:tc>
        <w:tc>
          <w:tcPr>
            <w:tcW w:w="440" w:type="dxa"/>
            <w:vAlign w:val="bottom"/>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New York, NY</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1997</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64,771</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408,000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98%</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7"/>
                <w:szCs w:val="17"/>
                <w:color w:val="auto"/>
              </w:rPr>
              <w:t>Pathmark</w:t>
            </w: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w w:val="98"/>
              </w:rPr>
              <w:t>Value City / Kohl’s</w:t>
            </w:r>
          </w:p>
        </w:tc>
      </w:tr>
      <w:tr>
        <w:trPr>
          <w:trHeight w:val="222"/>
        </w:trPr>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7"/>
                <w:szCs w:val="17"/>
                <w:color w:val="auto"/>
              </w:rPr>
              <w:t>(signed)</w:t>
            </w:r>
          </w:p>
        </w:tc>
        <w:tc>
          <w:tcPr>
            <w:tcW w:w="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 Cineplex Odeon</w:t>
            </w:r>
          </w:p>
        </w:tc>
      </w:tr>
      <w:tr>
        <w:trPr>
          <w:trHeight w:val="207"/>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Troy</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Newark, NJ</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1980</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20,540</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202,000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64,000 Pathmark</w:t>
            </w: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w w:val="96"/>
              </w:rPr>
              <w:t>A.C.Moore / Comp</w:t>
            </w:r>
          </w:p>
        </w:tc>
      </w:tr>
      <w:tr>
        <w:trPr>
          <w:trHeight w:val="223"/>
        </w:trPr>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USA / Toys R Us</w:t>
            </w:r>
          </w:p>
        </w:tc>
      </w:tr>
      <w:tr>
        <w:trPr>
          <w:trHeight w:val="206"/>
        </w:trPr>
        <w:tc>
          <w:tcPr>
            <w:tcW w:w="1460" w:type="dxa"/>
            <w:vAlign w:val="bottom"/>
            <w:gridSpan w:val="8"/>
          </w:tcPr>
          <w:p>
            <w:pPr>
              <w:spacing w:after="0"/>
              <w:rPr>
                <w:sz w:val="20"/>
                <w:szCs w:val="20"/>
                <w:color w:val="auto"/>
              </w:rPr>
            </w:pPr>
            <w:r>
              <w:rPr>
                <w:rFonts w:ascii="Arial" w:cs="Arial" w:eastAsia="Arial" w:hAnsi="Arial"/>
                <w:sz w:val="17"/>
                <w:szCs w:val="17"/>
                <w:color w:val="auto"/>
              </w:rPr>
              <w:t>Hamilton</w:t>
            </w:r>
          </w:p>
        </w:tc>
        <w:tc>
          <w:tcPr>
            <w:tcW w:w="440" w:type="dxa"/>
            <w:vAlign w:val="bottom"/>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Trenton, NJ</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1988</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8,110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(7)</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190,000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2480" w:type="dxa"/>
            <w:vAlign w:val="bottom"/>
            <w:gridSpan w:val="5"/>
          </w:tcPr>
          <w:p>
            <w:pPr>
              <w:ind w:left="400"/>
              <w:spacing w:after="0"/>
              <w:rPr>
                <w:sz w:val="20"/>
                <w:szCs w:val="20"/>
                <w:color w:val="auto"/>
              </w:rPr>
            </w:pPr>
            <w:r>
              <w:rPr>
                <w:rFonts w:ascii="Arial" w:cs="Arial" w:eastAsia="Arial" w:hAnsi="Arial"/>
                <w:sz w:val="17"/>
                <w:szCs w:val="17"/>
                <w:color w:val="auto"/>
              </w:rPr>
              <w:t>4,818 53,000 Shop Rite</w:t>
            </w: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A.C.Moore /</w:t>
            </w:r>
          </w:p>
        </w:tc>
      </w:tr>
      <w:tr>
        <w:trPr>
          <w:trHeight w:val="222"/>
        </w:trPr>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Stevens Furniture</w:t>
            </w:r>
          </w:p>
        </w:tc>
      </w:tr>
      <w:tr>
        <w:trPr>
          <w:trHeight w:val="207"/>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Mercer Mall</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Trenton, NJ</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2003</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85,969</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435,000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w:t>
            </w:r>
          </w:p>
        </w:tc>
        <w:tc>
          <w:tcPr>
            <w:tcW w:w="2480" w:type="dxa"/>
            <w:vAlign w:val="bottom"/>
            <w:gridSpan w:val="5"/>
            <w:shd w:val="clear" w:color="auto" w:fill="CCEEFF"/>
          </w:tcPr>
          <w:p>
            <w:pPr>
              <w:ind w:left="300"/>
              <w:spacing w:after="0"/>
              <w:rPr>
                <w:sz w:val="20"/>
                <w:szCs w:val="20"/>
                <w:color w:val="auto"/>
              </w:rPr>
            </w:pPr>
            <w:r>
              <w:rPr>
                <w:rFonts w:ascii="Arial" w:cs="Arial" w:eastAsia="Arial" w:hAnsi="Arial"/>
                <w:sz w:val="17"/>
                <w:szCs w:val="17"/>
                <w:color w:val="auto"/>
              </w:rPr>
              <w:t>59,949 75,000 Shop Rite</w:t>
            </w: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Bed, Bath &amp;</w:t>
            </w:r>
          </w:p>
        </w:tc>
      </w:tr>
      <w:tr>
        <w:trPr>
          <w:trHeight w:val="214"/>
        </w:trPr>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w w:val="94"/>
              </w:rPr>
              <w:t>Beyond / DSW / TJ</w:t>
            </w:r>
          </w:p>
        </w:tc>
      </w:tr>
      <w:tr>
        <w:trPr>
          <w:trHeight w:val="223"/>
        </w:trPr>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Maxx</w:t>
            </w:r>
          </w:p>
        </w:tc>
      </w:tr>
      <w:tr>
        <w:trPr>
          <w:trHeight w:val="107"/>
        </w:trPr>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101"/>
        </w:trPr>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214"/>
        </w:trPr>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408,618</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3,301,000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81"/>
        </w:trPr>
        <w:tc>
          <w:tcPr>
            <w:tcW w:w="1460" w:type="dxa"/>
            <w:vAlign w:val="bottom"/>
            <w:gridSpan w:val="8"/>
          </w:tcPr>
          <w:p>
            <w:pPr>
              <w:spacing w:after="0"/>
              <w:rPr>
                <w:sz w:val="20"/>
                <w:szCs w:val="20"/>
                <w:color w:val="auto"/>
              </w:rPr>
            </w:pPr>
            <w:r>
              <w:rPr>
                <w:rFonts w:ascii="Arial" w:cs="Arial" w:eastAsia="Arial" w:hAnsi="Arial"/>
                <w:sz w:val="17"/>
                <w:szCs w:val="17"/>
                <w:b w:val="1"/>
                <w:bCs w:val="1"/>
                <w:color w:val="auto"/>
              </w:rPr>
              <w:t>New England</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6"/>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Dedham Plaza</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4"/>
              </w:rPr>
              <w:t>Boston-Worcester-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29,699</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243,000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80,000 Star Market</w:t>
            </w: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Pier One</w:t>
            </w:r>
          </w:p>
        </w:tc>
      </w:tr>
      <w:tr>
        <w:trPr>
          <w:trHeight w:val="214"/>
        </w:trPr>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Lawrence-</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4"/>
        </w:trPr>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Lowell-</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6"/>
        </w:trPr>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Brockton, MA</w:t>
            </w: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06"/>
        </w:trPr>
        <w:tc>
          <w:tcPr>
            <w:tcW w:w="1460" w:type="dxa"/>
            <w:vAlign w:val="bottom"/>
            <w:gridSpan w:val="8"/>
          </w:tcPr>
          <w:p>
            <w:pPr>
              <w:spacing w:after="0"/>
              <w:rPr>
                <w:sz w:val="20"/>
                <w:szCs w:val="20"/>
                <w:color w:val="auto"/>
              </w:rPr>
            </w:pPr>
            <w:r>
              <w:rPr>
                <w:rFonts w:ascii="Arial" w:cs="Arial" w:eastAsia="Arial" w:hAnsi="Arial"/>
                <w:sz w:val="17"/>
                <w:szCs w:val="17"/>
                <w:color w:val="auto"/>
              </w:rPr>
              <w:t>Queen Anne Plaza</w:t>
            </w:r>
          </w:p>
        </w:tc>
        <w:tc>
          <w:tcPr>
            <w:tcW w:w="440" w:type="dxa"/>
            <w:vAlign w:val="bottom"/>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tcPr>
          <w:p>
            <w:pPr>
              <w:ind w:left="60"/>
              <w:spacing w:after="0"/>
              <w:rPr>
                <w:sz w:val="20"/>
                <w:szCs w:val="20"/>
                <w:color w:val="auto"/>
              </w:rPr>
            </w:pPr>
            <w:r>
              <w:rPr>
                <w:rFonts w:ascii="Arial" w:cs="Arial" w:eastAsia="Arial" w:hAnsi="Arial"/>
                <w:sz w:val="17"/>
                <w:szCs w:val="17"/>
                <w:color w:val="auto"/>
                <w:w w:val="94"/>
              </w:rPr>
              <w:t>Boston-Worcester-</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1994</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14,802</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149,000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3"/>
          </w:tcPr>
          <w:p>
            <w:pPr>
              <w:ind w:left="20"/>
              <w:spacing w:after="0"/>
              <w:rPr>
                <w:sz w:val="20"/>
                <w:szCs w:val="20"/>
                <w:color w:val="auto"/>
              </w:rPr>
            </w:pPr>
            <w:r>
              <w:rPr>
                <w:rFonts w:ascii="Arial" w:cs="Arial" w:eastAsia="Arial" w:hAnsi="Arial"/>
                <w:sz w:val="17"/>
                <w:szCs w:val="17"/>
                <w:color w:val="auto"/>
              </w:rPr>
              <w:t>50,000 Victory</w:t>
            </w: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TJ Maxx</w:t>
            </w:r>
          </w:p>
        </w:tc>
      </w:tr>
      <w:tr>
        <w:trPr>
          <w:trHeight w:val="214"/>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Lawrence-Lowell-</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7"/>
                <w:szCs w:val="17"/>
                <w:color w:val="auto"/>
              </w:rPr>
              <w:t>Supermarket</w:t>
            </w: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Brockton, MA</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7"/>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Saugus Plaza</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4"/>
              </w:rPr>
              <w:t>Boston-Worcester-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13,204</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171,000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55,000 Super Stop &amp;</w:t>
            </w: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Kmart</w:t>
            </w:r>
          </w:p>
        </w:tc>
      </w:tr>
      <w:tr>
        <w:trPr>
          <w:trHeight w:val="214"/>
        </w:trPr>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Lawrence-Lowell-</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Shop</w:t>
            </w: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3"/>
        </w:trPr>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Brockton, MA</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06"/>
        </w:trPr>
        <w:tc>
          <w:tcPr>
            <w:tcW w:w="1460" w:type="dxa"/>
            <w:vAlign w:val="bottom"/>
            <w:gridSpan w:val="8"/>
          </w:tcPr>
          <w:p>
            <w:pPr>
              <w:spacing w:after="0"/>
              <w:rPr>
                <w:sz w:val="20"/>
                <w:szCs w:val="20"/>
                <w:color w:val="auto"/>
              </w:rPr>
            </w:pPr>
            <w:r>
              <w:rPr>
                <w:rFonts w:ascii="Arial" w:cs="Arial" w:eastAsia="Arial" w:hAnsi="Arial"/>
                <w:sz w:val="17"/>
                <w:szCs w:val="17"/>
                <w:color w:val="auto"/>
              </w:rPr>
              <w:t>Bristol Plaza</w:t>
            </w:r>
          </w:p>
        </w:tc>
        <w:tc>
          <w:tcPr>
            <w:tcW w:w="440" w:type="dxa"/>
            <w:vAlign w:val="bottom"/>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Hartford, CT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1995</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22,078</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277,000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95%</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3"/>
          </w:tcPr>
          <w:p>
            <w:pPr>
              <w:ind w:left="20"/>
              <w:spacing w:after="0"/>
              <w:rPr>
                <w:sz w:val="20"/>
                <w:szCs w:val="20"/>
                <w:color w:val="auto"/>
              </w:rPr>
            </w:pPr>
            <w:r>
              <w:rPr>
                <w:rFonts w:ascii="Arial" w:cs="Arial" w:eastAsia="Arial" w:hAnsi="Arial"/>
                <w:sz w:val="17"/>
                <w:szCs w:val="17"/>
                <w:color w:val="auto"/>
              </w:rPr>
              <w:t>74,000 Super Stop &amp;</w:t>
            </w: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TJ Maxx</w:t>
            </w:r>
          </w:p>
        </w:tc>
      </w:tr>
      <w:tr>
        <w:trPr>
          <w:trHeight w:val="222"/>
        </w:trPr>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7"/>
                <w:szCs w:val="17"/>
                <w:color w:val="auto"/>
              </w:rPr>
              <w:t>Shop</w:t>
            </w: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7"/>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West Hartford</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Hartford, CT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1994-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8,005</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82%</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3"/>
        </w:trPr>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06"/>
        </w:trPr>
        <w:tc>
          <w:tcPr>
            <w:tcW w:w="1460" w:type="dxa"/>
            <w:vAlign w:val="bottom"/>
            <w:gridSpan w:val="8"/>
          </w:tcPr>
          <w:p>
            <w:pPr>
              <w:spacing w:after="0"/>
              <w:rPr>
                <w:sz w:val="20"/>
                <w:szCs w:val="20"/>
                <w:color w:val="auto"/>
              </w:rPr>
            </w:pPr>
            <w:r>
              <w:rPr>
                <w:rFonts w:ascii="Arial" w:cs="Arial" w:eastAsia="Arial" w:hAnsi="Arial"/>
                <w:sz w:val="17"/>
                <w:szCs w:val="17"/>
                <w:color w:val="auto"/>
              </w:rPr>
              <w:t>Greenwich Avenue</w:t>
            </w:r>
          </w:p>
        </w:tc>
        <w:tc>
          <w:tcPr>
            <w:tcW w:w="440" w:type="dxa"/>
            <w:vAlign w:val="bottom"/>
          </w:tcPr>
          <w:p>
            <w:pPr>
              <w:spacing w:after="0"/>
              <w:rPr>
                <w:sz w:val="20"/>
                <w:szCs w:val="20"/>
                <w:color w:val="auto"/>
              </w:rPr>
            </w:pPr>
            <w:r>
              <w:rPr>
                <w:rFonts w:ascii="Arial" w:cs="Arial" w:eastAsia="Arial" w:hAnsi="Arial"/>
                <w:sz w:val="17"/>
                <w:szCs w:val="17"/>
                <w:color w:val="auto"/>
              </w:rPr>
              <w:t>SR</w:t>
            </w: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New Haven-</w:t>
            </w:r>
          </w:p>
        </w:tc>
        <w:tc>
          <w:tcPr>
            <w:tcW w:w="620" w:type="dxa"/>
            <w:vAlign w:val="bottom"/>
            <w:gridSpan w:val="3"/>
          </w:tcPr>
          <w:p>
            <w:pPr>
              <w:jc w:val="right"/>
              <w:ind w:right="40"/>
              <w:spacing w:after="0"/>
              <w:rPr>
                <w:sz w:val="20"/>
                <w:szCs w:val="20"/>
                <w:color w:val="auto"/>
              </w:rPr>
            </w:pPr>
            <w:r>
              <w:rPr>
                <w:rFonts w:ascii="Arial" w:cs="Arial" w:eastAsia="Arial" w:hAnsi="Arial"/>
                <w:sz w:val="17"/>
                <w:szCs w:val="17"/>
                <w:color w:val="auto"/>
              </w:rPr>
              <w:t>1994-</w:t>
            </w:r>
          </w:p>
        </w:tc>
        <w:tc>
          <w:tcPr>
            <w:tcW w:w="820" w:type="dxa"/>
            <w:vAlign w:val="bottom"/>
          </w:tcPr>
          <w:p>
            <w:pPr>
              <w:jc w:val="right"/>
              <w:spacing w:after="0"/>
              <w:rPr>
                <w:sz w:val="20"/>
                <w:szCs w:val="20"/>
                <w:color w:val="auto"/>
              </w:rPr>
            </w:pPr>
            <w:r>
              <w:rPr>
                <w:rFonts w:ascii="Arial" w:cs="Arial" w:eastAsia="Arial" w:hAnsi="Arial"/>
                <w:sz w:val="17"/>
                <w:szCs w:val="17"/>
                <w:color w:val="auto"/>
              </w:rPr>
              <w:t>15,993</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42,000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w w:val="98"/>
              </w:rPr>
              <w:t>Saks Fifth Avenue</w:t>
            </w:r>
          </w:p>
        </w:tc>
      </w:tr>
      <w:tr>
        <w:trPr>
          <w:trHeight w:val="214"/>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Bridgeport-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1996</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Stamford-</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1"/>
        </w:trPr>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Waterbury</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109"/>
        </w:trPr>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101"/>
        </w:trPr>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214"/>
        </w:trPr>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103,782</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944,000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81"/>
        </w:trPr>
        <w:tc>
          <w:tcPr>
            <w:tcW w:w="1460" w:type="dxa"/>
            <w:vAlign w:val="bottom"/>
            <w:gridSpan w:val="8"/>
          </w:tcPr>
          <w:p>
            <w:pPr>
              <w:spacing w:after="0"/>
              <w:rPr>
                <w:sz w:val="20"/>
                <w:szCs w:val="20"/>
                <w:color w:val="auto"/>
              </w:rPr>
            </w:pPr>
            <w:r>
              <w:rPr>
                <w:rFonts w:ascii="Arial" w:cs="Arial" w:eastAsia="Arial" w:hAnsi="Arial"/>
                <w:sz w:val="17"/>
                <w:szCs w:val="17"/>
                <w:b w:val="1"/>
                <w:bCs w:val="1"/>
                <w:color w:val="auto"/>
              </w:rPr>
              <w:t>Chicago</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6"/>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Crossroads</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Chicago, IL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22,080</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173,000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Comp USA /</w:t>
            </w:r>
          </w:p>
        </w:tc>
      </w:tr>
      <w:tr>
        <w:trPr>
          <w:trHeight w:val="214"/>
        </w:trPr>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Golfsmith / Guitar</w:t>
            </w:r>
          </w:p>
        </w:tc>
      </w:tr>
      <w:tr>
        <w:trPr>
          <w:trHeight w:val="223"/>
        </w:trPr>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Center</w:t>
            </w:r>
          </w:p>
        </w:tc>
      </w:tr>
      <w:tr>
        <w:trPr>
          <w:trHeight w:val="206"/>
        </w:trPr>
        <w:tc>
          <w:tcPr>
            <w:tcW w:w="1460" w:type="dxa"/>
            <w:vAlign w:val="bottom"/>
            <w:gridSpan w:val="8"/>
          </w:tcPr>
          <w:p>
            <w:pPr>
              <w:spacing w:after="0"/>
              <w:rPr>
                <w:sz w:val="20"/>
                <w:szCs w:val="20"/>
                <w:color w:val="auto"/>
              </w:rPr>
            </w:pPr>
            <w:r>
              <w:rPr>
                <w:rFonts w:ascii="Arial" w:cs="Arial" w:eastAsia="Arial" w:hAnsi="Arial"/>
                <w:sz w:val="17"/>
                <w:szCs w:val="17"/>
                <w:color w:val="auto"/>
              </w:rPr>
              <w:t>Finley Square</w:t>
            </w:r>
          </w:p>
        </w:tc>
        <w:tc>
          <w:tcPr>
            <w:tcW w:w="440" w:type="dxa"/>
            <w:vAlign w:val="bottom"/>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Chicago, IL</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1995</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28,704</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313,000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Bed, Bath &amp;</w:t>
            </w:r>
          </w:p>
        </w:tc>
      </w:tr>
      <w:tr>
        <w:trPr>
          <w:trHeight w:val="214"/>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Beyond / Sports</w:t>
            </w:r>
          </w:p>
        </w:tc>
      </w:tr>
      <w:tr>
        <w:trPr>
          <w:trHeight w:val="222"/>
        </w:trPr>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Authority</w:t>
            </w:r>
          </w:p>
        </w:tc>
      </w:tr>
      <w:tr>
        <w:trPr>
          <w:trHeight w:val="215"/>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Garden Market</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Chicago, IL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11,177</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140,000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63,000 Dominick’s</w:t>
            </w: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Walgreens</w:t>
            </w:r>
          </w:p>
        </w:tc>
      </w:tr>
      <w:tr>
        <w:trPr>
          <w:trHeight w:val="206"/>
        </w:trPr>
        <w:tc>
          <w:tcPr>
            <w:tcW w:w="1460" w:type="dxa"/>
            <w:vAlign w:val="bottom"/>
            <w:gridSpan w:val="8"/>
          </w:tcPr>
          <w:p>
            <w:pPr>
              <w:spacing w:after="0"/>
              <w:rPr>
                <w:sz w:val="20"/>
                <w:szCs w:val="20"/>
                <w:color w:val="auto"/>
              </w:rPr>
            </w:pPr>
            <w:r>
              <w:rPr>
                <w:rFonts w:ascii="Arial" w:cs="Arial" w:eastAsia="Arial" w:hAnsi="Arial"/>
                <w:sz w:val="17"/>
                <w:szCs w:val="17"/>
                <w:color w:val="auto"/>
              </w:rPr>
              <w:t>North Lake</w:t>
            </w:r>
          </w:p>
        </w:tc>
        <w:tc>
          <w:tcPr>
            <w:tcW w:w="440" w:type="dxa"/>
            <w:vAlign w:val="bottom"/>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Chicago, IL</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1994</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13,032</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129,000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93%</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3"/>
          </w:tcPr>
          <w:p>
            <w:pPr>
              <w:ind w:left="20"/>
              <w:spacing w:after="0"/>
              <w:rPr>
                <w:sz w:val="20"/>
                <w:szCs w:val="20"/>
                <w:color w:val="auto"/>
              </w:rPr>
            </w:pPr>
            <w:r>
              <w:rPr>
                <w:rFonts w:ascii="Arial" w:cs="Arial" w:eastAsia="Arial" w:hAnsi="Arial"/>
                <w:sz w:val="17"/>
                <w:szCs w:val="17"/>
                <w:color w:val="auto"/>
              </w:rPr>
              <w:t>77,000 Dominick’s</w:t>
            </w: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2"/>
        </w:trPr>
        <w:tc>
          <w:tcPr>
            <w:tcW w:w="1460" w:type="dxa"/>
            <w:vAlign w:val="bottom"/>
            <w:gridSpan w:val="8"/>
          </w:tcPr>
          <w:p>
            <w:pPr>
              <w:ind w:left="220"/>
              <w:spacing w:after="0"/>
              <w:rPr>
                <w:sz w:val="20"/>
                <w:szCs w:val="20"/>
                <w:color w:val="auto"/>
              </w:rPr>
            </w:pPr>
            <w:r>
              <w:rPr>
                <w:rFonts w:ascii="Arial" w:cs="Arial" w:eastAsia="Arial" w:hAnsi="Arial"/>
                <w:sz w:val="17"/>
                <w:szCs w:val="17"/>
                <w:color w:val="auto"/>
              </w:rPr>
              <w:t>Commons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5"/>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Evanston</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Chicago, IL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1995</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3,220</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Gap</w:t>
            </w:r>
          </w:p>
        </w:tc>
      </w:tr>
      <w:tr>
        <w:trPr>
          <w:trHeight w:val="107"/>
        </w:trPr>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101"/>
        </w:trPr>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214"/>
        </w:trPr>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78,213</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767,000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81"/>
        </w:trPr>
        <w:tc>
          <w:tcPr>
            <w:tcW w:w="1460" w:type="dxa"/>
            <w:vAlign w:val="bottom"/>
            <w:gridSpan w:val="8"/>
          </w:tcPr>
          <w:p>
            <w:pPr>
              <w:spacing w:after="0"/>
              <w:rPr>
                <w:sz w:val="20"/>
                <w:szCs w:val="20"/>
                <w:color w:val="auto"/>
              </w:rPr>
            </w:pPr>
            <w:r>
              <w:rPr>
                <w:rFonts w:ascii="Arial" w:cs="Arial" w:eastAsia="Arial" w:hAnsi="Arial"/>
                <w:sz w:val="17"/>
                <w:szCs w:val="17"/>
                <w:b w:val="1"/>
                <w:bCs w:val="1"/>
                <w:color w:val="auto"/>
                <w:w w:val="94"/>
              </w:rPr>
              <w:t>Northeast Region -</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4"/>
        </w:trPr>
        <w:tc>
          <w:tcPr>
            <w:tcW w:w="1400" w:type="dxa"/>
            <w:vAlign w:val="bottom"/>
            <w:tcBorders>
              <w:top w:val="single" w:sz="8" w:color="auto"/>
            </w:tcBorders>
            <w:gridSpan w:val="7"/>
          </w:tcPr>
          <w:p>
            <w:pPr>
              <w:spacing w:after="0" w:line="194" w:lineRule="exact"/>
              <w:rPr>
                <w:sz w:val="20"/>
                <w:szCs w:val="20"/>
                <w:color w:val="auto"/>
              </w:rPr>
            </w:pPr>
            <w:r>
              <w:rPr>
                <w:rFonts w:ascii="Arial" w:cs="Arial" w:eastAsia="Arial" w:hAnsi="Arial"/>
                <w:sz w:val="17"/>
                <w:szCs w:val="17"/>
                <w:b w:val="1"/>
                <w:bCs w:val="1"/>
                <w:color w:val="auto"/>
              </w:rPr>
              <w:t>Other</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6"/>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Gratiot Plaza</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Detroit, MI</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1973</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16,769</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218,000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9"/>
              </w:rPr>
              <w:t>69,000 Farmer Jack’s</w:t>
            </w: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Bed, Bath &amp;</w:t>
            </w:r>
          </w:p>
        </w:tc>
      </w:tr>
      <w:tr>
        <w:trPr>
          <w:trHeight w:val="223"/>
        </w:trPr>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w w:val="97"/>
              </w:rPr>
              <w:t>Beyond / Best Buy</w:t>
            </w:r>
          </w:p>
        </w:tc>
      </w:tr>
      <w:tr>
        <w:trPr>
          <w:trHeight w:val="221"/>
        </w:trPr>
        <w:tc>
          <w:tcPr>
            <w:tcW w:w="1460" w:type="dxa"/>
            <w:vAlign w:val="bottom"/>
            <w:gridSpan w:val="8"/>
          </w:tcPr>
          <w:p>
            <w:pPr>
              <w:spacing w:after="0"/>
              <w:rPr>
                <w:sz w:val="20"/>
                <w:szCs w:val="20"/>
                <w:color w:val="auto"/>
              </w:rPr>
            </w:pPr>
            <w:r>
              <w:rPr>
                <w:rFonts w:ascii="Arial" w:cs="Arial" w:eastAsia="Arial" w:hAnsi="Arial"/>
                <w:sz w:val="17"/>
                <w:szCs w:val="17"/>
                <w:color w:val="auto"/>
              </w:rPr>
              <w:t>Lancaster</w:t>
            </w:r>
          </w:p>
        </w:tc>
        <w:tc>
          <w:tcPr>
            <w:tcW w:w="440" w:type="dxa"/>
            <w:vAlign w:val="bottom"/>
          </w:tcPr>
          <w:p>
            <w:pPr>
              <w:spacing w:after="0"/>
              <w:rPr>
                <w:sz w:val="20"/>
                <w:szCs w:val="20"/>
                <w:color w:val="auto"/>
              </w:rPr>
            </w:pPr>
            <w:r>
              <w:rPr>
                <w:rFonts w:ascii="Arial" w:cs="Arial" w:eastAsia="Arial" w:hAnsi="Arial"/>
                <w:sz w:val="17"/>
                <w:szCs w:val="17"/>
                <w:color w:val="auto"/>
              </w:rPr>
              <w:t>SC</w:t>
            </w: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Lancaster, PA</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1980</w:t>
            </w: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10,652</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(7)</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107,000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97%</w:t>
            </w:r>
          </w:p>
        </w:tc>
        <w:tc>
          <w:tcPr>
            <w:tcW w:w="2480" w:type="dxa"/>
            <w:vAlign w:val="bottom"/>
            <w:gridSpan w:val="5"/>
          </w:tcPr>
          <w:p>
            <w:pPr>
              <w:ind w:left="400"/>
              <w:spacing w:after="0"/>
              <w:rPr>
                <w:sz w:val="20"/>
                <w:szCs w:val="20"/>
                <w:color w:val="auto"/>
              </w:rPr>
            </w:pPr>
            <w:r>
              <w:rPr>
                <w:rFonts w:ascii="Arial" w:cs="Arial" w:eastAsia="Arial" w:hAnsi="Arial"/>
                <w:sz w:val="17"/>
                <w:szCs w:val="17"/>
                <w:color w:val="auto"/>
              </w:rPr>
              <w:t>4,907 39,000 Giant Food</w:t>
            </w:r>
          </w:p>
        </w:tc>
        <w:tc>
          <w:tcPr>
            <w:tcW w:w="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Michaels</w:t>
            </w:r>
          </w:p>
        </w:tc>
      </w:tr>
      <w:tr>
        <w:trPr>
          <w:trHeight w:val="100"/>
        </w:trPr>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101"/>
        </w:trPr>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214"/>
        </w:trPr>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27,421</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325,000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307"/>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Total Northeast</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840,457</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7,769,000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96%</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7"/>
        </w:trPr>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Region</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109"/>
        </w:trPr>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194"/>
        </w:trPr>
        <w:tc>
          <w:tcPr>
            <w:tcW w:w="1460" w:type="dxa"/>
            <w:vAlign w:val="bottom"/>
            <w:gridSpan w:val="8"/>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West Region</w:t>
            </w: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81"/>
        </w:trPr>
        <w:tc>
          <w:tcPr>
            <w:tcW w:w="940" w:type="dxa"/>
            <w:vAlign w:val="bottom"/>
            <w:tcBorders>
              <w:top w:val="single" w:sz="8" w:color="auto"/>
            </w:tcBorders>
            <w:gridSpan w:val="4"/>
          </w:tcPr>
          <w:p>
            <w:pPr>
              <w:spacing w:after="0"/>
              <w:rPr>
                <w:sz w:val="20"/>
                <w:szCs w:val="20"/>
                <w:color w:val="auto"/>
              </w:rPr>
            </w:pPr>
            <w:r>
              <w:rPr>
                <w:rFonts w:ascii="Arial" w:cs="Arial" w:eastAsia="Arial" w:hAnsi="Arial"/>
                <w:sz w:val="17"/>
                <w:szCs w:val="17"/>
                <w:b w:val="1"/>
                <w:bCs w:val="1"/>
                <w:color w:val="auto"/>
              </w:rPr>
              <w:t>California</w:t>
            </w:r>
          </w:p>
        </w:tc>
        <w:tc>
          <w:tcPr>
            <w:tcW w:w="520" w:type="dxa"/>
            <w:vAlign w:val="bottom"/>
            <w:tcBorders>
              <w:top w:val="single" w:sz="8" w:color="CCEEFF"/>
            </w:tcBorders>
            <w:gridSpan w:val="4"/>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6"/>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Colorado Blvd</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7"/>
              </w:rPr>
              <w:t>Los Angeles-Long</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1996-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15,030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Pottery Barn /</w:t>
            </w:r>
          </w:p>
        </w:tc>
      </w:tr>
      <w:tr>
        <w:trPr>
          <w:trHeight w:val="223"/>
        </w:trPr>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Beach, CA</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Banana Republic</w:t>
            </w:r>
          </w:p>
        </w:tc>
      </w:tr>
      <w:tr>
        <w:trPr>
          <w:trHeight w:val="206"/>
        </w:trPr>
        <w:tc>
          <w:tcPr>
            <w:tcW w:w="1460" w:type="dxa"/>
            <w:vAlign w:val="bottom"/>
            <w:gridSpan w:val="8"/>
          </w:tcPr>
          <w:p>
            <w:pPr>
              <w:spacing w:after="0"/>
              <w:rPr>
                <w:sz w:val="20"/>
                <w:szCs w:val="20"/>
                <w:color w:val="auto"/>
              </w:rPr>
            </w:pPr>
            <w:r>
              <w:rPr>
                <w:rFonts w:ascii="Arial" w:cs="Arial" w:eastAsia="Arial" w:hAnsi="Arial"/>
                <w:sz w:val="17"/>
                <w:szCs w:val="17"/>
                <w:color w:val="auto"/>
              </w:rPr>
              <w:t>Hermosa Ave</w:t>
            </w:r>
          </w:p>
        </w:tc>
        <w:tc>
          <w:tcPr>
            <w:tcW w:w="440" w:type="dxa"/>
            <w:vAlign w:val="bottom"/>
          </w:tcPr>
          <w:p>
            <w:pPr>
              <w:spacing w:after="0"/>
              <w:rPr>
                <w:sz w:val="20"/>
                <w:szCs w:val="20"/>
                <w:color w:val="auto"/>
              </w:rPr>
            </w:pPr>
            <w:r>
              <w:rPr>
                <w:rFonts w:ascii="Arial" w:cs="Arial" w:eastAsia="Arial" w:hAnsi="Arial"/>
                <w:sz w:val="17"/>
                <w:szCs w:val="17"/>
                <w:color w:val="auto"/>
              </w:rPr>
              <w:t>SR</w:t>
            </w:r>
          </w:p>
        </w:tc>
        <w:tc>
          <w:tcPr>
            <w:tcW w:w="1420" w:type="dxa"/>
            <w:vAlign w:val="bottom"/>
            <w:gridSpan w:val="2"/>
          </w:tcPr>
          <w:p>
            <w:pPr>
              <w:ind w:left="60"/>
              <w:spacing w:after="0"/>
              <w:rPr>
                <w:sz w:val="20"/>
                <w:szCs w:val="20"/>
                <w:color w:val="auto"/>
              </w:rPr>
            </w:pPr>
            <w:r>
              <w:rPr>
                <w:rFonts w:ascii="Arial" w:cs="Arial" w:eastAsia="Arial" w:hAnsi="Arial"/>
                <w:sz w:val="17"/>
                <w:szCs w:val="17"/>
                <w:color w:val="auto"/>
                <w:w w:val="97"/>
              </w:rPr>
              <w:t>Los Angeles-Long</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1997</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4,722</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90.0%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23,000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2"/>
        </w:trPr>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color w:val="auto"/>
              </w:rPr>
              <w:t>Beach, CA</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7"/>
        </w:trPr>
        <w:tc>
          <w:tcPr>
            <w:tcW w:w="146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Hollywood Blvd</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7"/>
              </w:rPr>
              <w:t>Los Angeles-Long</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24,699</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151,000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Hollywood</w:t>
            </w:r>
          </w:p>
        </w:tc>
      </w:tr>
      <w:tr>
        <w:trPr>
          <w:trHeight w:val="214"/>
        </w:trPr>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Beach, CA</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Entertainment</w:t>
            </w:r>
          </w:p>
        </w:tc>
      </w:tr>
      <w:tr>
        <w:trPr>
          <w:trHeight w:val="223"/>
        </w:trPr>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Museum</w:t>
            </w:r>
          </w:p>
        </w:tc>
      </w:tr>
    </w:tbl>
    <w:p>
      <w:pPr>
        <w:sectPr>
          <w:pgSz w:w="11900" w:h="16838" w:orient="portrait"/>
          <w:cols w:equalWidth="0" w:num="1">
            <w:col w:w="11520"/>
          </w:cols>
          <w:pgMar w:left="240" w:top="272" w:right="1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20" w:type="dxa"/>
            <w:vAlign w:val="bottom"/>
            <w:gridSpan w:val="5"/>
          </w:tcPr>
          <w:p>
            <w:pPr>
              <w:spacing w:after="0"/>
              <w:rPr>
                <w:sz w:val="20"/>
                <w:szCs w:val="20"/>
                <w:color w:val="auto"/>
              </w:rPr>
            </w:pPr>
            <w:r>
              <w:rPr>
                <w:rFonts w:ascii="Arial" w:cs="Arial" w:eastAsia="Arial" w:hAnsi="Arial"/>
                <w:sz w:val="17"/>
                <w:szCs w:val="17"/>
                <w:color w:val="auto"/>
                <w:w w:val="99"/>
              </w:rPr>
              <w:t>Third St Promenade SR</w:t>
            </w:r>
          </w:p>
        </w:tc>
        <w:tc>
          <w:tcPr>
            <w:tcW w:w="1600" w:type="dxa"/>
            <w:vAlign w:val="bottom"/>
          </w:tcPr>
          <w:p>
            <w:pPr>
              <w:ind w:left="140"/>
              <w:spacing w:after="0"/>
              <w:rPr>
                <w:sz w:val="20"/>
                <w:szCs w:val="20"/>
                <w:color w:val="auto"/>
              </w:rPr>
            </w:pPr>
            <w:r>
              <w:rPr>
                <w:rFonts w:ascii="Arial" w:cs="Arial" w:eastAsia="Arial" w:hAnsi="Arial"/>
                <w:sz w:val="17"/>
                <w:szCs w:val="17"/>
                <w:color w:val="auto"/>
              </w:rPr>
              <w:t>Los Angeles-Long</w:t>
            </w:r>
          </w:p>
        </w:tc>
        <w:tc>
          <w:tcPr>
            <w:tcW w:w="520" w:type="dxa"/>
            <w:vAlign w:val="bottom"/>
          </w:tcPr>
          <w:p>
            <w:pPr>
              <w:jc w:val="right"/>
              <w:spacing w:after="0"/>
              <w:rPr>
                <w:sz w:val="20"/>
                <w:szCs w:val="20"/>
                <w:color w:val="auto"/>
              </w:rPr>
            </w:pPr>
            <w:r>
              <w:rPr>
                <w:rFonts w:ascii="Arial" w:cs="Arial" w:eastAsia="Arial" w:hAnsi="Arial"/>
                <w:sz w:val="17"/>
                <w:szCs w:val="17"/>
                <w:color w:val="auto"/>
              </w:rPr>
              <w:t>1996-</w:t>
            </w:r>
          </w:p>
        </w:tc>
        <w:tc>
          <w:tcPr>
            <w:tcW w:w="820" w:type="dxa"/>
            <w:vAlign w:val="bottom"/>
          </w:tcPr>
          <w:p>
            <w:pPr>
              <w:jc w:val="right"/>
              <w:spacing w:after="0"/>
              <w:rPr>
                <w:sz w:val="20"/>
                <w:szCs w:val="20"/>
                <w:color w:val="auto"/>
              </w:rPr>
            </w:pPr>
            <w:r>
              <w:rPr>
                <w:rFonts w:ascii="Arial" w:cs="Arial" w:eastAsia="Arial" w:hAnsi="Arial"/>
                <w:sz w:val="17"/>
                <w:szCs w:val="17"/>
                <w:color w:val="auto"/>
              </w:rPr>
              <w:t>73,810</w:t>
            </w: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209,000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99%</w:t>
            </w: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tcPr>
          <w:p>
            <w:pPr>
              <w:ind w:left="280"/>
              <w:spacing w:after="0"/>
              <w:rPr>
                <w:sz w:val="20"/>
                <w:szCs w:val="20"/>
                <w:color w:val="auto"/>
              </w:rPr>
            </w:pPr>
            <w:r>
              <w:rPr>
                <w:rFonts w:ascii="Arial" w:cs="Arial" w:eastAsia="Arial" w:hAnsi="Arial"/>
                <w:sz w:val="17"/>
                <w:szCs w:val="17"/>
                <w:color w:val="auto"/>
              </w:rPr>
              <w:t>J. Crew / Banana</w:t>
            </w:r>
          </w:p>
        </w:tc>
      </w:tr>
      <w:tr>
        <w:trPr>
          <w:trHeight w:val="214"/>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7"/>
                <w:szCs w:val="17"/>
                <w:color w:val="auto"/>
              </w:rPr>
              <w:t>Beach, CA</w:t>
            </w:r>
          </w:p>
        </w:tc>
        <w:tc>
          <w:tcPr>
            <w:tcW w:w="520" w:type="dxa"/>
            <w:vAlign w:val="bottom"/>
          </w:tcPr>
          <w:p>
            <w:pPr>
              <w:jc w:val="right"/>
              <w:spacing w:after="0"/>
              <w:rPr>
                <w:sz w:val="20"/>
                <w:szCs w:val="20"/>
                <w:color w:val="auto"/>
              </w:rPr>
            </w:pPr>
            <w:r>
              <w:rPr>
                <w:rFonts w:ascii="Arial" w:cs="Arial" w:eastAsia="Arial" w:hAnsi="Arial"/>
                <w:sz w:val="17"/>
                <w:szCs w:val="17"/>
                <w:color w:val="auto"/>
              </w:rPr>
              <w:t>2000</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tcPr>
          <w:p>
            <w:pPr>
              <w:ind w:left="280"/>
              <w:spacing w:after="0"/>
              <w:rPr>
                <w:sz w:val="20"/>
                <w:szCs w:val="20"/>
                <w:color w:val="auto"/>
              </w:rPr>
            </w:pPr>
            <w:r>
              <w:rPr>
                <w:rFonts w:ascii="Arial" w:cs="Arial" w:eastAsia="Arial" w:hAnsi="Arial"/>
                <w:sz w:val="17"/>
                <w:szCs w:val="17"/>
                <w:color w:val="auto"/>
              </w:rPr>
              <w:t>Republic / Old</w:t>
            </w:r>
          </w:p>
        </w:tc>
      </w:tr>
      <w:tr>
        <w:trPr>
          <w:trHeight w:val="214"/>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tcPr>
          <w:p>
            <w:pPr>
              <w:ind w:left="280"/>
              <w:spacing w:after="0"/>
              <w:rPr>
                <w:sz w:val="20"/>
                <w:szCs w:val="20"/>
                <w:color w:val="auto"/>
              </w:rPr>
            </w:pPr>
            <w:r>
              <w:rPr>
                <w:rFonts w:ascii="Arial" w:cs="Arial" w:eastAsia="Arial" w:hAnsi="Arial"/>
                <w:sz w:val="17"/>
                <w:szCs w:val="17"/>
                <w:color w:val="auto"/>
              </w:rPr>
              <w:t>Navy /</w:t>
            </w:r>
          </w:p>
        </w:tc>
      </w:tr>
      <w:tr>
        <w:trPr>
          <w:trHeight w:val="214"/>
        </w:trPr>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tcPr>
          <w:p>
            <w:pPr>
              <w:ind w:left="280"/>
              <w:spacing w:after="0"/>
              <w:rPr>
                <w:sz w:val="20"/>
                <w:szCs w:val="20"/>
                <w:color w:val="auto"/>
              </w:rPr>
            </w:pPr>
            <w:r>
              <w:rPr>
                <w:rFonts w:ascii="Arial" w:cs="Arial" w:eastAsia="Arial" w:hAnsi="Arial"/>
                <w:sz w:val="17"/>
                <w:szCs w:val="17"/>
                <w:color w:val="auto"/>
              </w:rPr>
              <w:t>Abercrombie &amp;</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60" w:type="dxa"/>
            <w:vAlign w:val="bottom"/>
          </w:tcPr>
          <w:p>
            <w:pPr>
              <w:ind w:left="280"/>
              <w:spacing w:after="0"/>
              <w:rPr>
                <w:sz w:val="20"/>
                <w:szCs w:val="20"/>
                <w:color w:val="auto"/>
              </w:rPr>
            </w:pPr>
            <w:r>
              <w:rPr>
                <w:rFonts w:ascii="Arial" w:cs="Arial" w:eastAsia="Arial" w:hAnsi="Arial"/>
                <w:sz w:val="17"/>
                <w:szCs w:val="17"/>
                <w:color w:val="auto"/>
              </w:rPr>
              <w:t>Fitch</w:t>
            </w:r>
          </w:p>
        </w:tc>
      </w:tr>
      <w:tr>
        <w:trPr>
          <w:trHeight w:val="207"/>
        </w:trPr>
        <w:tc>
          <w:tcPr>
            <w:tcW w:w="1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Escondido</w:t>
            </w:r>
          </w:p>
        </w:tc>
        <w:tc>
          <w:tcPr>
            <w:tcW w:w="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SC</w:t>
            </w:r>
          </w:p>
        </w:tc>
        <w:tc>
          <w:tcPr>
            <w:tcW w:w="1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San Diego, CA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24,924</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70.0%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222,000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w:t>
            </w:r>
          </w:p>
        </w:tc>
        <w:tc>
          <w:tcPr>
            <w:tcW w:w="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Cost Plus / TJ</w:t>
            </w:r>
          </w:p>
        </w:tc>
      </w:tr>
      <w:tr>
        <w:trPr>
          <w:trHeight w:val="223"/>
        </w:trPr>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Maxx / Toys R Us</w:t>
            </w:r>
          </w:p>
        </w:tc>
      </w:tr>
      <w:tr>
        <w:trPr>
          <w:trHeight w:val="206"/>
        </w:trPr>
        <w:tc>
          <w:tcPr>
            <w:tcW w:w="1340" w:type="dxa"/>
            <w:vAlign w:val="bottom"/>
            <w:gridSpan w:val="4"/>
          </w:tcPr>
          <w:p>
            <w:pPr>
              <w:spacing w:after="0"/>
              <w:rPr>
                <w:sz w:val="20"/>
                <w:szCs w:val="20"/>
                <w:color w:val="auto"/>
              </w:rPr>
            </w:pPr>
            <w:r>
              <w:rPr>
                <w:rFonts w:ascii="Arial" w:cs="Arial" w:eastAsia="Arial" w:hAnsi="Arial"/>
                <w:sz w:val="17"/>
                <w:szCs w:val="17"/>
                <w:color w:val="auto"/>
              </w:rPr>
              <w:t>Fifth Ave</w:t>
            </w:r>
          </w:p>
        </w:tc>
        <w:tc>
          <w:tcPr>
            <w:tcW w:w="480" w:type="dxa"/>
            <w:vAlign w:val="bottom"/>
          </w:tcPr>
          <w:p>
            <w:pPr>
              <w:ind w:left="120"/>
              <w:spacing w:after="0"/>
              <w:rPr>
                <w:sz w:val="20"/>
                <w:szCs w:val="20"/>
                <w:color w:val="auto"/>
              </w:rPr>
            </w:pPr>
            <w:r>
              <w:rPr>
                <w:rFonts w:ascii="Arial" w:cs="Arial" w:eastAsia="Arial" w:hAnsi="Arial"/>
                <w:sz w:val="17"/>
                <w:szCs w:val="17"/>
                <w:color w:val="auto"/>
              </w:rPr>
              <w:t>SR</w:t>
            </w:r>
          </w:p>
        </w:tc>
        <w:tc>
          <w:tcPr>
            <w:tcW w:w="1600" w:type="dxa"/>
            <w:vAlign w:val="bottom"/>
          </w:tcPr>
          <w:p>
            <w:pPr>
              <w:ind w:left="140"/>
              <w:spacing w:after="0"/>
              <w:rPr>
                <w:sz w:val="20"/>
                <w:szCs w:val="20"/>
                <w:color w:val="auto"/>
              </w:rPr>
            </w:pPr>
            <w:r>
              <w:rPr>
                <w:rFonts w:ascii="Arial" w:cs="Arial" w:eastAsia="Arial" w:hAnsi="Arial"/>
                <w:sz w:val="17"/>
                <w:szCs w:val="17"/>
                <w:color w:val="auto"/>
              </w:rPr>
              <w:t>San Diego, CA</w:t>
            </w:r>
          </w:p>
        </w:tc>
        <w:tc>
          <w:tcPr>
            <w:tcW w:w="520" w:type="dxa"/>
            <w:vAlign w:val="bottom"/>
          </w:tcPr>
          <w:p>
            <w:pPr>
              <w:jc w:val="right"/>
              <w:spacing w:after="0"/>
              <w:rPr>
                <w:sz w:val="20"/>
                <w:szCs w:val="20"/>
                <w:color w:val="auto"/>
              </w:rPr>
            </w:pPr>
            <w:r>
              <w:rPr>
                <w:rFonts w:ascii="Arial" w:cs="Arial" w:eastAsia="Arial" w:hAnsi="Arial"/>
                <w:sz w:val="17"/>
                <w:szCs w:val="17"/>
                <w:color w:val="auto"/>
              </w:rPr>
              <w:t>1996-</w:t>
            </w:r>
          </w:p>
        </w:tc>
        <w:tc>
          <w:tcPr>
            <w:tcW w:w="820" w:type="dxa"/>
            <w:vAlign w:val="bottom"/>
          </w:tcPr>
          <w:p>
            <w:pPr>
              <w:jc w:val="right"/>
              <w:spacing w:after="0"/>
              <w:rPr>
                <w:sz w:val="20"/>
                <w:szCs w:val="20"/>
                <w:color w:val="auto"/>
              </w:rPr>
            </w:pPr>
            <w:r>
              <w:rPr>
                <w:rFonts w:ascii="Arial" w:cs="Arial" w:eastAsia="Arial" w:hAnsi="Arial"/>
                <w:sz w:val="17"/>
                <w:szCs w:val="17"/>
                <w:color w:val="auto"/>
              </w:rPr>
              <w:t>12,239</w:t>
            </w: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51,000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87%</w:t>
            </w: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60" w:type="dxa"/>
            <w:vAlign w:val="bottom"/>
          </w:tcPr>
          <w:p>
            <w:pPr>
              <w:ind w:left="280"/>
              <w:spacing w:after="0"/>
              <w:rPr>
                <w:sz w:val="20"/>
                <w:szCs w:val="20"/>
                <w:color w:val="auto"/>
              </w:rPr>
            </w:pPr>
            <w:r>
              <w:rPr>
                <w:rFonts w:ascii="Arial" w:cs="Arial" w:eastAsia="Arial" w:hAnsi="Arial"/>
                <w:sz w:val="17"/>
                <w:szCs w:val="17"/>
                <w:color w:val="auto"/>
              </w:rPr>
              <w:t>Urban Outfitters</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1997</w:t>
            </w: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15"/>
        </w:trPr>
        <w:tc>
          <w:tcPr>
            <w:tcW w:w="1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150 Post Street</w:t>
            </w:r>
          </w:p>
        </w:tc>
        <w:tc>
          <w:tcPr>
            <w:tcW w:w="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SR</w:t>
            </w:r>
          </w:p>
        </w:tc>
        <w:tc>
          <w:tcPr>
            <w:tcW w:w="1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San Francisco, CA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30,677</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c>
          <w:tcPr>
            <w:tcW w:w="7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Brooks Brothers</w:t>
            </w:r>
          </w:p>
        </w:tc>
      </w:tr>
      <w:tr>
        <w:trPr>
          <w:trHeight w:val="206"/>
        </w:trPr>
        <w:tc>
          <w:tcPr>
            <w:tcW w:w="1340" w:type="dxa"/>
            <w:vAlign w:val="bottom"/>
            <w:gridSpan w:val="4"/>
          </w:tcPr>
          <w:p>
            <w:pPr>
              <w:spacing w:after="0"/>
              <w:rPr>
                <w:sz w:val="20"/>
                <w:szCs w:val="20"/>
                <w:color w:val="auto"/>
              </w:rPr>
            </w:pPr>
            <w:r>
              <w:rPr>
                <w:rFonts w:ascii="Arial" w:cs="Arial" w:eastAsia="Arial" w:hAnsi="Arial"/>
                <w:sz w:val="17"/>
                <w:szCs w:val="17"/>
                <w:color w:val="auto"/>
              </w:rPr>
              <w:t>Kings Court</w:t>
            </w:r>
          </w:p>
        </w:tc>
        <w:tc>
          <w:tcPr>
            <w:tcW w:w="480" w:type="dxa"/>
            <w:vAlign w:val="bottom"/>
          </w:tcPr>
          <w:p>
            <w:pPr>
              <w:ind w:left="120"/>
              <w:spacing w:after="0"/>
              <w:rPr>
                <w:sz w:val="20"/>
                <w:szCs w:val="20"/>
                <w:color w:val="auto"/>
              </w:rPr>
            </w:pPr>
            <w:r>
              <w:rPr>
                <w:rFonts w:ascii="Arial" w:cs="Arial" w:eastAsia="Arial" w:hAnsi="Arial"/>
                <w:sz w:val="17"/>
                <w:szCs w:val="17"/>
                <w:color w:val="auto"/>
              </w:rPr>
              <w:t>SC</w:t>
            </w:r>
          </w:p>
        </w:tc>
        <w:tc>
          <w:tcPr>
            <w:tcW w:w="1600" w:type="dxa"/>
            <w:vAlign w:val="bottom"/>
          </w:tcPr>
          <w:p>
            <w:pPr>
              <w:ind w:left="140"/>
              <w:spacing w:after="0"/>
              <w:rPr>
                <w:sz w:val="20"/>
                <w:szCs w:val="20"/>
                <w:color w:val="auto"/>
              </w:rPr>
            </w:pPr>
            <w:r>
              <w:rPr>
                <w:rFonts w:ascii="Arial" w:cs="Arial" w:eastAsia="Arial" w:hAnsi="Arial"/>
                <w:sz w:val="17"/>
                <w:szCs w:val="17"/>
                <w:color w:val="auto"/>
              </w:rPr>
              <w:t>San Jose, CA</w:t>
            </w:r>
          </w:p>
        </w:tc>
        <w:tc>
          <w:tcPr>
            <w:tcW w:w="520" w:type="dxa"/>
            <w:vAlign w:val="bottom"/>
          </w:tcPr>
          <w:p>
            <w:pPr>
              <w:jc w:val="right"/>
              <w:spacing w:after="0"/>
              <w:rPr>
                <w:sz w:val="20"/>
                <w:szCs w:val="20"/>
                <w:color w:val="auto"/>
              </w:rPr>
            </w:pPr>
            <w:r>
              <w:rPr>
                <w:rFonts w:ascii="Arial" w:cs="Arial" w:eastAsia="Arial" w:hAnsi="Arial"/>
                <w:sz w:val="17"/>
                <w:szCs w:val="17"/>
                <w:color w:val="auto"/>
              </w:rPr>
              <w:t>1998</w:t>
            </w:r>
          </w:p>
        </w:tc>
        <w:tc>
          <w:tcPr>
            <w:tcW w:w="820" w:type="dxa"/>
            <w:vAlign w:val="bottom"/>
          </w:tcPr>
          <w:p>
            <w:pPr>
              <w:jc w:val="right"/>
              <w:spacing w:after="0"/>
              <w:rPr>
                <w:sz w:val="20"/>
                <w:szCs w:val="20"/>
                <w:color w:val="auto"/>
              </w:rPr>
            </w:pPr>
            <w:r>
              <w:rPr>
                <w:rFonts w:ascii="Arial" w:cs="Arial" w:eastAsia="Arial" w:hAnsi="Arial"/>
                <w:sz w:val="17"/>
                <w:szCs w:val="17"/>
                <w:color w:val="auto"/>
              </w:rPr>
              <w:t>11,409</w:t>
            </w:r>
          </w:p>
        </w:tc>
        <w:tc>
          <w:tcPr>
            <w:tcW w:w="1020" w:type="dxa"/>
            <w:vAlign w:val="bottom"/>
          </w:tcPr>
          <w:p>
            <w:pPr>
              <w:jc w:val="right"/>
              <w:ind w:right="53"/>
              <w:spacing w:after="0"/>
              <w:rPr>
                <w:sz w:val="20"/>
                <w:szCs w:val="20"/>
                <w:color w:val="auto"/>
              </w:rPr>
            </w:pPr>
            <w:r>
              <w:rPr>
                <w:rFonts w:ascii="Arial" w:cs="Arial" w:eastAsia="Arial" w:hAnsi="Arial"/>
                <w:sz w:val="17"/>
                <w:szCs w:val="17"/>
                <w:color w:val="auto"/>
              </w:rPr>
              <w:t>(6)</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79,000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98%</w:t>
            </w:r>
          </w:p>
        </w:tc>
        <w:tc>
          <w:tcPr>
            <w:tcW w:w="780" w:type="dxa"/>
            <w:vAlign w:val="bottom"/>
          </w:tcPr>
          <w:p>
            <w:pPr>
              <w:spacing w:after="0"/>
              <w:rPr>
                <w:sz w:val="17"/>
                <w:szCs w:val="17"/>
                <w:color w:val="auto"/>
              </w:rPr>
            </w:pPr>
          </w:p>
        </w:tc>
        <w:tc>
          <w:tcPr>
            <w:tcW w:w="3120" w:type="dxa"/>
            <w:vAlign w:val="bottom"/>
            <w:gridSpan w:val="2"/>
          </w:tcPr>
          <w:p>
            <w:pPr>
              <w:ind w:left="60"/>
              <w:spacing w:after="0"/>
              <w:rPr>
                <w:sz w:val="20"/>
                <w:szCs w:val="20"/>
                <w:color w:val="auto"/>
              </w:rPr>
            </w:pPr>
            <w:r>
              <w:rPr>
                <w:rFonts w:ascii="Arial" w:cs="Arial" w:eastAsia="Arial" w:hAnsi="Arial"/>
                <w:sz w:val="17"/>
                <w:szCs w:val="17"/>
                <w:color w:val="auto"/>
                <w:w w:val="96"/>
              </w:rPr>
              <w:t>25,000 Lunardi’s Super Longs Drug Store</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Pr>
          <w:p>
            <w:pPr>
              <w:ind w:left="560"/>
              <w:spacing w:after="0"/>
              <w:rPr>
                <w:sz w:val="20"/>
                <w:szCs w:val="20"/>
                <w:color w:val="auto"/>
              </w:rPr>
            </w:pPr>
            <w:r>
              <w:rPr>
                <w:rFonts w:ascii="Arial" w:cs="Arial" w:eastAsia="Arial" w:hAnsi="Arial"/>
                <w:sz w:val="17"/>
                <w:szCs w:val="17"/>
                <w:color w:val="auto"/>
              </w:rPr>
              <w:t>Market</w:t>
            </w:r>
          </w:p>
        </w:tc>
        <w:tc>
          <w:tcPr>
            <w:tcW w:w="1660" w:type="dxa"/>
            <w:vAlign w:val="bottom"/>
          </w:tcPr>
          <w:p>
            <w:pPr>
              <w:spacing w:after="0"/>
              <w:rPr>
                <w:sz w:val="19"/>
                <w:szCs w:val="19"/>
                <w:color w:val="auto"/>
              </w:rPr>
            </w:pPr>
          </w:p>
        </w:tc>
      </w:tr>
      <w:tr>
        <w:trPr>
          <w:trHeight w:val="207"/>
        </w:trPr>
        <w:tc>
          <w:tcPr>
            <w:tcW w:w="1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Old Town Center</w:t>
            </w:r>
          </w:p>
        </w:tc>
        <w:tc>
          <w:tcPr>
            <w:tcW w:w="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SR</w:t>
            </w:r>
          </w:p>
        </w:tc>
        <w:tc>
          <w:tcPr>
            <w:tcW w:w="1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San Jose, CA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33,691</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w:t>
            </w:r>
          </w:p>
        </w:tc>
        <w:tc>
          <w:tcPr>
            <w:tcW w:w="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6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4"/>
              </w:rPr>
              <w:t>Borders / Gap Kids</w:t>
            </w:r>
          </w:p>
        </w:tc>
      </w:tr>
      <w:tr>
        <w:trPr>
          <w:trHeight w:val="223"/>
        </w:trPr>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6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7"/>
              </w:rPr>
              <w:t>/ Banana Republic</w:t>
            </w:r>
          </w:p>
        </w:tc>
      </w:tr>
      <w:tr>
        <w:trPr>
          <w:trHeight w:val="206"/>
        </w:trPr>
        <w:tc>
          <w:tcPr>
            <w:tcW w:w="1340" w:type="dxa"/>
            <w:vAlign w:val="bottom"/>
            <w:gridSpan w:val="4"/>
          </w:tcPr>
          <w:p>
            <w:pPr>
              <w:spacing w:after="0"/>
              <w:rPr>
                <w:sz w:val="20"/>
                <w:szCs w:val="20"/>
                <w:color w:val="auto"/>
              </w:rPr>
            </w:pPr>
            <w:r>
              <w:rPr>
                <w:rFonts w:ascii="Arial" w:cs="Arial" w:eastAsia="Arial" w:hAnsi="Arial"/>
                <w:sz w:val="17"/>
                <w:szCs w:val="17"/>
                <w:color w:val="auto"/>
              </w:rPr>
              <w:t>Westgate</w:t>
            </w:r>
          </w:p>
        </w:tc>
        <w:tc>
          <w:tcPr>
            <w:tcW w:w="480" w:type="dxa"/>
            <w:vAlign w:val="bottom"/>
          </w:tcPr>
          <w:p>
            <w:pPr>
              <w:ind w:left="120"/>
              <w:spacing w:after="0"/>
              <w:rPr>
                <w:sz w:val="20"/>
                <w:szCs w:val="20"/>
                <w:color w:val="auto"/>
              </w:rPr>
            </w:pPr>
            <w:r>
              <w:rPr>
                <w:rFonts w:ascii="Arial" w:cs="Arial" w:eastAsia="Arial" w:hAnsi="Arial"/>
                <w:sz w:val="17"/>
                <w:szCs w:val="17"/>
                <w:color w:val="auto"/>
              </w:rPr>
              <w:t>SC</w:t>
            </w:r>
          </w:p>
        </w:tc>
        <w:tc>
          <w:tcPr>
            <w:tcW w:w="1600" w:type="dxa"/>
            <w:vAlign w:val="bottom"/>
          </w:tcPr>
          <w:p>
            <w:pPr>
              <w:ind w:left="140"/>
              <w:spacing w:after="0"/>
              <w:rPr>
                <w:sz w:val="20"/>
                <w:szCs w:val="20"/>
                <w:color w:val="auto"/>
              </w:rPr>
            </w:pPr>
            <w:r>
              <w:rPr>
                <w:rFonts w:ascii="Arial" w:cs="Arial" w:eastAsia="Arial" w:hAnsi="Arial"/>
                <w:sz w:val="17"/>
                <w:szCs w:val="17"/>
                <w:color w:val="auto"/>
              </w:rPr>
              <w:t>San Jose, CA</w:t>
            </w:r>
          </w:p>
        </w:tc>
        <w:tc>
          <w:tcPr>
            <w:tcW w:w="520" w:type="dxa"/>
            <w:vAlign w:val="bottom"/>
          </w:tcPr>
          <w:p>
            <w:pPr>
              <w:jc w:val="right"/>
              <w:spacing w:after="0"/>
              <w:rPr>
                <w:sz w:val="20"/>
                <w:szCs w:val="20"/>
                <w:color w:val="auto"/>
              </w:rPr>
            </w:pPr>
            <w:r>
              <w:rPr>
                <w:rFonts w:ascii="Arial" w:cs="Arial" w:eastAsia="Arial" w:hAnsi="Arial"/>
                <w:sz w:val="17"/>
                <w:szCs w:val="17"/>
                <w:color w:val="auto"/>
              </w:rPr>
              <w:t>2004</w:t>
            </w:r>
          </w:p>
        </w:tc>
        <w:tc>
          <w:tcPr>
            <w:tcW w:w="820" w:type="dxa"/>
            <w:vAlign w:val="bottom"/>
          </w:tcPr>
          <w:p>
            <w:pPr>
              <w:jc w:val="right"/>
              <w:spacing w:after="0"/>
              <w:rPr>
                <w:sz w:val="20"/>
                <w:szCs w:val="20"/>
                <w:color w:val="auto"/>
              </w:rPr>
            </w:pPr>
            <w:r>
              <w:rPr>
                <w:rFonts w:ascii="Arial" w:cs="Arial" w:eastAsia="Arial" w:hAnsi="Arial"/>
                <w:sz w:val="17"/>
                <w:szCs w:val="17"/>
                <w:color w:val="auto"/>
              </w:rPr>
              <w:t>113,616</w:t>
            </w:r>
          </w:p>
        </w:tc>
        <w:tc>
          <w:tcPr>
            <w:tcW w:w="1020" w:type="dxa"/>
            <w:vAlign w:val="bottom"/>
          </w:tcPr>
          <w:p>
            <w:pPr>
              <w:jc w:val="right"/>
              <w:ind w:right="93"/>
              <w:spacing w:after="0"/>
              <w:rPr>
                <w:sz w:val="20"/>
                <w:szCs w:val="20"/>
                <w:color w:val="auto"/>
              </w:rPr>
            </w:pPr>
            <w:r>
              <w:rPr>
                <w:rFonts w:ascii="Arial" w:cs="Arial" w:eastAsia="Arial" w:hAnsi="Arial"/>
                <w:sz w:val="17"/>
                <w:szCs w:val="17"/>
                <w:color w:val="auto"/>
              </w:rPr>
              <w:t>100.0%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640,000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97%</w:t>
            </w:r>
          </w:p>
        </w:tc>
        <w:tc>
          <w:tcPr>
            <w:tcW w:w="780" w:type="dxa"/>
            <w:vAlign w:val="bottom"/>
          </w:tcPr>
          <w:p>
            <w:pPr>
              <w:spacing w:after="0"/>
              <w:rPr>
                <w:sz w:val="17"/>
                <w:szCs w:val="17"/>
                <w:color w:val="auto"/>
              </w:rPr>
            </w:pPr>
          </w:p>
        </w:tc>
        <w:tc>
          <w:tcPr>
            <w:tcW w:w="1460" w:type="dxa"/>
            <w:vAlign w:val="bottom"/>
          </w:tcPr>
          <w:p>
            <w:pPr>
              <w:ind w:left="60"/>
              <w:spacing w:after="0"/>
              <w:rPr>
                <w:sz w:val="20"/>
                <w:szCs w:val="20"/>
                <w:color w:val="auto"/>
              </w:rPr>
            </w:pPr>
            <w:r>
              <w:rPr>
                <w:rFonts w:ascii="Arial" w:cs="Arial" w:eastAsia="Arial" w:hAnsi="Arial"/>
                <w:sz w:val="17"/>
                <w:szCs w:val="17"/>
                <w:color w:val="auto"/>
              </w:rPr>
              <w:t>38,000 Safeway</w:t>
            </w:r>
          </w:p>
        </w:tc>
        <w:tc>
          <w:tcPr>
            <w:tcW w:w="1660" w:type="dxa"/>
            <w:vAlign w:val="bottom"/>
          </w:tcPr>
          <w:p>
            <w:pPr>
              <w:ind w:left="280"/>
              <w:spacing w:after="0"/>
              <w:rPr>
                <w:sz w:val="20"/>
                <w:szCs w:val="20"/>
                <w:color w:val="auto"/>
              </w:rPr>
            </w:pPr>
            <w:r>
              <w:rPr>
                <w:rFonts w:ascii="Arial" w:cs="Arial" w:eastAsia="Arial" w:hAnsi="Arial"/>
                <w:sz w:val="17"/>
                <w:szCs w:val="17"/>
                <w:color w:val="auto"/>
                <w:w w:val="97"/>
              </w:rPr>
              <w:t>Target / Burlington</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60" w:type="dxa"/>
            <w:vAlign w:val="bottom"/>
          </w:tcPr>
          <w:p>
            <w:pPr>
              <w:ind w:left="280"/>
              <w:spacing w:after="0"/>
              <w:rPr>
                <w:sz w:val="20"/>
                <w:szCs w:val="20"/>
                <w:color w:val="auto"/>
              </w:rPr>
            </w:pPr>
            <w:r>
              <w:rPr>
                <w:rFonts w:ascii="Arial" w:cs="Arial" w:eastAsia="Arial" w:hAnsi="Arial"/>
                <w:sz w:val="17"/>
                <w:szCs w:val="17"/>
                <w:color w:val="auto"/>
              </w:rPr>
              <w:t>Coat Factory</w:t>
            </w:r>
          </w:p>
        </w:tc>
      </w:tr>
      <w:tr>
        <w:trPr>
          <w:trHeight w:val="207"/>
        </w:trPr>
        <w:tc>
          <w:tcPr>
            <w:tcW w:w="1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Santana Row</w:t>
            </w:r>
          </w:p>
        </w:tc>
        <w:tc>
          <w:tcPr>
            <w:tcW w:w="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SR</w:t>
            </w:r>
          </w:p>
        </w:tc>
        <w:tc>
          <w:tcPr>
            <w:tcW w:w="1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San Jose, CA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472,575</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529,000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w:t>
            </w:r>
          </w:p>
        </w:tc>
        <w:tc>
          <w:tcPr>
            <w:tcW w:w="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Crate &amp; Barrel /</w:t>
            </w:r>
          </w:p>
        </w:tc>
      </w:tr>
      <w:tr>
        <w:trPr>
          <w:trHeight w:val="214"/>
        </w:trPr>
        <w:tc>
          <w:tcPr>
            <w:tcW w:w="134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(Phase I &amp; II)</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Container Store /</w:t>
            </w:r>
          </w:p>
        </w:tc>
      </w:tr>
      <w:tr>
        <w:trPr>
          <w:trHeight w:val="223"/>
        </w:trPr>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6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9"/>
              </w:rPr>
              <w:t>Best Buy /Borders</w:t>
            </w:r>
          </w:p>
        </w:tc>
      </w:tr>
      <w:tr>
        <w:trPr>
          <w:trHeight w:val="107"/>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101"/>
        </w:trPr>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60" w:type="dxa"/>
            <w:vAlign w:val="bottom"/>
          </w:tcPr>
          <w:p>
            <w:pPr>
              <w:spacing w:after="0"/>
              <w:rPr>
                <w:sz w:val="8"/>
                <w:szCs w:val="8"/>
                <w:color w:val="auto"/>
              </w:rPr>
            </w:pPr>
          </w:p>
        </w:tc>
      </w:tr>
      <w:tr>
        <w:trPr>
          <w:trHeight w:val="214"/>
        </w:trPr>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817,394</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2,170,000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c>
          <w:tcPr>
            <w:tcW w:w="7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81"/>
        </w:trPr>
        <w:tc>
          <w:tcPr>
            <w:tcW w:w="1340" w:type="dxa"/>
            <w:vAlign w:val="bottom"/>
            <w:gridSpan w:val="4"/>
          </w:tcPr>
          <w:p>
            <w:pPr>
              <w:spacing w:after="0"/>
              <w:rPr>
                <w:sz w:val="20"/>
                <w:szCs w:val="20"/>
                <w:color w:val="auto"/>
              </w:rPr>
            </w:pPr>
            <w:r>
              <w:rPr>
                <w:rFonts w:ascii="Arial" w:cs="Arial" w:eastAsia="Arial" w:hAnsi="Arial"/>
                <w:sz w:val="17"/>
                <w:szCs w:val="17"/>
                <w:b w:val="1"/>
                <w:bCs w:val="1"/>
                <w:color w:val="auto"/>
              </w:rPr>
              <w:t>West Region -</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4"/>
        </w:trPr>
        <w:tc>
          <w:tcPr>
            <w:tcW w:w="104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b w:val="1"/>
                <w:bCs w:val="1"/>
                <w:color w:val="auto"/>
              </w:rPr>
              <w:t>Other</w:t>
            </w:r>
          </w:p>
        </w:tc>
        <w:tc>
          <w:tcPr>
            <w:tcW w:w="30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4"/>
        </w:trPr>
        <w:tc>
          <w:tcPr>
            <w:tcW w:w="1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Mill Avenue</w:t>
            </w:r>
          </w:p>
        </w:tc>
        <w:tc>
          <w:tcPr>
            <w:tcW w:w="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SR</w:t>
            </w:r>
          </w:p>
        </w:tc>
        <w:tc>
          <w:tcPr>
            <w:tcW w:w="1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Phoenix-Mesa, AZ</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11,255</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7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Gordon Biersch</w:t>
            </w:r>
          </w:p>
        </w:tc>
      </w:tr>
      <w:tr>
        <w:trPr>
          <w:trHeight w:val="221"/>
        </w:trPr>
        <w:tc>
          <w:tcPr>
            <w:tcW w:w="1340" w:type="dxa"/>
            <w:vAlign w:val="bottom"/>
            <w:gridSpan w:val="4"/>
          </w:tcPr>
          <w:p>
            <w:pPr>
              <w:spacing w:after="0"/>
              <w:rPr>
                <w:sz w:val="20"/>
                <w:szCs w:val="20"/>
                <w:color w:val="auto"/>
              </w:rPr>
            </w:pPr>
            <w:r>
              <w:rPr>
                <w:rFonts w:ascii="Arial" w:cs="Arial" w:eastAsia="Arial" w:hAnsi="Arial"/>
                <w:sz w:val="17"/>
                <w:szCs w:val="17"/>
                <w:color w:val="auto"/>
              </w:rPr>
              <w:t>Houston St</w:t>
            </w:r>
          </w:p>
        </w:tc>
        <w:tc>
          <w:tcPr>
            <w:tcW w:w="480" w:type="dxa"/>
            <w:vAlign w:val="bottom"/>
          </w:tcPr>
          <w:p>
            <w:pPr>
              <w:ind w:left="120"/>
              <w:spacing w:after="0"/>
              <w:rPr>
                <w:sz w:val="20"/>
                <w:szCs w:val="20"/>
                <w:color w:val="auto"/>
              </w:rPr>
            </w:pPr>
            <w:r>
              <w:rPr>
                <w:rFonts w:ascii="Arial" w:cs="Arial" w:eastAsia="Arial" w:hAnsi="Arial"/>
                <w:sz w:val="17"/>
                <w:szCs w:val="17"/>
                <w:color w:val="auto"/>
              </w:rPr>
              <w:t>SR</w:t>
            </w:r>
          </w:p>
        </w:tc>
        <w:tc>
          <w:tcPr>
            <w:tcW w:w="1600" w:type="dxa"/>
            <w:vAlign w:val="bottom"/>
          </w:tcPr>
          <w:p>
            <w:pPr>
              <w:ind w:left="140"/>
              <w:spacing w:after="0"/>
              <w:rPr>
                <w:sz w:val="20"/>
                <w:szCs w:val="20"/>
                <w:color w:val="auto"/>
              </w:rPr>
            </w:pPr>
            <w:r>
              <w:rPr>
                <w:rFonts w:ascii="Arial" w:cs="Arial" w:eastAsia="Arial" w:hAnsi="Arial"/>
                <w:sz w:val="17"/>
                <w:szCs w:val="17"/>
                <w:color w:val="auto"/>
              </w:rPr>
              <w:t>San Antonio, TX</w:t>
            </w:r>
          </w:p>
        </w:tc>
        <w:tc>
          <w:tcPr>
            <w:tcW w:w="520" w:type="dxa"/>
            <w:vAlign w:val="bottom"/>
          </w:tcPr>
          <w:p>
            <w:pPr>
              <w:jc w:val="right"/>
              <w:spacing w:after="0"/>
              <w:rPr>
                <w:sz w:val="20"/>
                <w:szCs w:val="20"/>
                <w:color w:val="auto"/>
              </w:rPr>
            </w:pPr>
            <w:r>
              <w:rPr>
                <w:rFonts w:ascii="Arial" w:cs="Arial" w:eastAsia="Arial" w:hAnsi="Arial"/>
                <w:sz w:val="17"/>
                <w:szCs w:val="17"/>
                <w:color w:val="auto"/>
              </w:rPr>
              <w:t>1998</w:t>
            </w:r>
          </w:p>
        </w:tc>
        <w:tc>
          <w:tcPr>
            <w:tcW w:w="820" w:type="dxa"/>
            <w:vAlign w:val="bottom"/>
          </w:tcPr>
          <w:p>
            <w:pPr>
              <w:jc w:val="right"/>
              <w:spacing w:after="0"/>
              <w:rPr>
                <w:sz w:val="20"/>
                <w:szCs w:val="20"/>
                <w:color w:val="auto"/>
              </w:rPr>
            </w:pPr>
            <w:r>
              <w:rPr>
                <w:rFonts w:ascii="Arial" w:cs="Arial" w:eastAsia="Arial" w:hAnsi="Arial"/>
                <w:sz w:val="17"/>
                <w:szCs w:val="17"/>
                <w:color w:val="auto"/>
              </w:rPr>
              <w:t>61,737</w:t>
            </w:r>
          </w:p>
        </w:tc>
        <w:tc>
          <w:tcPr>
            <w:tcW w:w="1020" w:type="dxa"/>
            <w:vAlign w:val="bottom"/>
          </w:tcPr>
          <w:p>
            <w:pPr>
              <w:jc w:val="right"/>
              <w:ind w:right="93"/>
              <w:spacing w:after="0"/>
              <w:rPr>
                <w:sz w:val="20"/>
                <w:szCs w:val="20"/>
                <w:color w:val="auto"/>
              </w:rPr>
            </w:pPr>
            <w:r>
              <w:rPr>
                <w:rFonts w:ascii="Arial" w:cs="Arial" w:eastAsia="Arial" w:hAnsi="Arial"/>
                <w:sz w:val="17"/>
                <w:szCs w:val="17"/>
                <w:color w:val="auto"/>
              </w:rPr>
              <w:t>100.0%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171,000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80%</w:t>
            </w:r>
          </w:p>
        </w:tc>
        <w:tc>
          <w:tcPr>
            <w:tcW w:w="780" w:type="dxa"/>
            <w:vAlign w:val="bottom"/>
          </w:tcPr>
          <w:p>
            <w:pPr>
              <w:jc w:val="right"/>
              <w:spacing w:after="0"/>
              <w:rPr>
                <w:sz w:val="20"/>
                <w:szCs w:val="20"/>
                <w:color w:val="auto"/>
              </w:rPr>
            </w:pPr>
            <w:r>
              <w:rPr>
                <w:rFonts w:ascii="Arial" w:cs="Arial" w:eastAsia="Arial" w:hAnsi="Arial"/>
                <w:sz w:val="17"/>
                <w:szCs w:val="17"/>
                <w:color w:val="auto"/>
              </w:rPr>
              <w:t>210</w:t>
            </w:r>
          </w:p>
        </w:tc>
        <w:tc>
          <w:tcPr>
            <w:tcW w:w="14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00"/>
        </w:trPr>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60" w:type="dxa"/>
            <w:vAlign w:val="bottom"/>
          </w:tcPr>
          <w:p>
            <w:pPr>
              <w:spacing w:after="0"/>
              <w:rPr>
                <w:sz w:val="8"/>
                <w:szCs w:val="8"/>
                <w:color w:val="auto"/>
              </w:rPr>
            </w:pPr>
          </w:p>
        </w:tc>
      </w:tr>
      <w:tr>
        <w:trPr>
          <w:trHeight w:val="101"/>
        </w:trPr>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60" w:type="dxa"/>
            <w:vAlign w:val="bottom"/>
          </w:tcPr>
          <w:p>
            <w:pPr>
              <w:spacing w:after="0"/>
              <w:rPr>
                <w:sz w:val="8"/>
                <w:szCs w:val="8"/>
                <w:color w:val="auto"/>
              </w:rPr>
            </w:pPr>
          </w:p>
        </w:tc>
      </w:tr>
      <w:tr>
        <w:trPr>
          <w:trHeight w:val="214"/>
        </w:trPr>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72,992</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210,000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w:t>
            </w:r>
          </w:p>
        </w:tc>
        <w:tc>
          <w:tcPr>
            <w:tcW w:w="7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7"/>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ind w:left="140"/>
              <w:spacing w:after="0"/>
              <w:rPr>
                <w:sz w:val="20"/>
                <w:szCs w:val="20"/>
                <w:color w:val="auto"/>
              </w:rPr>
            </w:pPr>
            <w:r>
              <w:rPr>
                <w:rFonts w:ascii="Arial" w:cs="Arial" w:eastAsia="Arial" w:hAnsi="Arial"/>
                <w:sz w:val="17"/>
                <w:szCs w:val="17"/>
                <w:b w:val="1"/>
                <w:bCs w:val="1"/>
                <w:color w:val="auto"/>
                <w:w w:val="97"/>
              </w:rPr>
              <w:t>Total West Region</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890,386</w:t>
            </w:r>
          </w:p>
        </w:tc>
        <w:tc>
          <w:tcPr>
            <w:tcW w:w="10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2,380,000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91%</w:t>
            </w: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94"/>
        </w:trPr>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660" w:type="dxa"/>
            <w:vAlign w:val="bottom"/>
          </w:tcPr>
          <w:p>
            <w:pPr>
              <w:spacing w:after="0"/>
              <w:rPr>
                <w:sz w:val="8"/>
                <w:szCs w:val="8"/>
                <w:color w:val="auto"/>
              </w:rPr>
            </w:pPr>
          </w:p>
        </w:tc>
      </w:tr>
      <w:tr>
        <w:trPr>
          <w:trHeight w:val="101"/>
        </w:trPr>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60" w:type="dxa"/>
            <w:vAlign w:val="bottom"/>
          </w:tcPr>
          <w:p>
            <w:pPr>
              <w:spacing w:after="0"/>
              <w:rPr>
                <w:sz w:val="8"/>
                <w:szCs w:val="8"/>
                <w:color w:val="auto"/>
              </w:rPr>
            </w:pPr>
          </w:p>
        </w:tc>
      </w:tr>
      <w:tr>
        <w:trPr>
          <w:trHeight w:val="214"/>
        </w:trPr>
        <w:tc>
          <w:tcPr>
            <w:tcW w:w="1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2,624,406</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16,862,000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412,684</w:t>
            </w:r>
          </w:p>
        </w:tc>
        <w:tc>
          <w:tcPr>
            <w:tcW w:w="14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07"/>
        </w:trPr>
        <w:tc>
          <w:tcPr>
            <w:tcW w:w="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60" w:type="dxa"/>
            <w:vAlign w:val="bottom"/>
          </w:tcPr>
          <w:p>
            <w:pPr>
              <w:spacing w:after="0"/>
              <w:rPr>
                <w:sz w:val="9"/>
                <w:szCs w:val="9"/>
                <w:color w:val="auto"/>
              </w:rPr>
            </w:pP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Notes:</w:t>
      </w:r>
    </w:p>
    <w:p>
      <w:pPr>
        <w:spacing w:after="0" w:line="86" w:lineRule="exact"/>
        <w:rPr>
          <w:sz w:val="20"/>
          <w:szCs w:val="20"/>
          <w:color w:val="auto"/>
        </w:rPr>
      </w:pPr>
    </w:p>
    <w:p>
      <w:pPr>
        <w:ind w:left="460" w:hanging="45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SR - Street Retail; SC - Shopping Center</w:t>
      </w:r>
    </w:p>
    <w:p>
      <w:pPr>
        <w:spacing w:after="0" w:line="25" w:lineRule="exact"/>
        <w:rPr>
          <w:rFonts w:ascii="Arial" w:cs="Arial" w:eastAsia="Arial" w:hAnsi="Arial"/>
          <w:sz w:val="17"/>
          <w:szCs w:val="17"/>
          <w:color w:val="auto"/>
        </w:rPr>
      </w:pPr>
    </w:p>
    <w:p>
      <w:pPr>
        <w:ind w:left="460" w:right="920" w:hanging="453"/>
        <w:spacing w:after="0" w:line="263"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Excludes redevelopment square footage not yet in service, Santana Row residential, future phases of Santana Row, Rollingwood and The Crest at Congressional Apartments.</w:t>
      </w:r>
    </w:p>
    <w:p>
      <w:pPr>
        <w:ind w:left="460" w:hanging="45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Total investment includes dollars associated with the 146 units of The Crest at Congressional.</w:t>
      </w:r>
    </w:p>
    <w:p>
      <w:pPr>
        <w:spacing w:after="0" w:line="18" w:lineRule="exact"/>
        <w:rPr>
          <w:rFonts w:ascii="Arial" w:cs="Arial" w:eastAsia="Arial" w:hAnsi="Arial"/>
          <w:sz w:val="17"/>
          <w:szCs w:val="17"/>
          <w:color w:val="auto"/>
        </w:rPr>
      </w:pPr>
    </w:p>
    <w:p>
      <w:pPr>
        <w:ind w:left="460" w:right="360" w:hanging="453"/>
        <w:spacing w:after="0" w:line="263"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ind w:left="460" w:hanging="45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July 1, 2004, property has been contributed to the joint venture with Clarion Lion Properties Fund.</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two properties, one at 100% and one at 90%.</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nine properties, seven at 100% and two at 90%.</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four properties, three at 100% and one at 90%.</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two properties, one at 100% and one at 85%.</w:t>
      </w:r>
    </w:p>
    <w:p>
      <w:pPr>
        <w:sectPr>
          <w:pgSz w:w="11900" w:h="16838" w:orient="portrait"/>
          <w:cols w:equalWidth="0" w:num="1">
            <w:col w:w="11520"/>
          </w:cols>
          <w:pgMar w:left="240" w:top="131" w:right="1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Shopping Center / Street Retail Summary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Shopping Center Summary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thousands, except square footage data)</w:t>
      </w:r>
    </w:p>
    <w:p>
      <w:pPr>
        <w:spacing w:after="0" w:line="75" w:lineRule="exact"/>
        <w:rPr>
          <w:sz w:val="20"/>
          <w:szCs w:val="20"/>
          <w:color w:val="auto"/>
        </w:rPr>
      </w:pPr>
    </w:p>
    <w:p>
      <w:pPr>
        <w:jc w:val="center"/>
        <w:ind w:left="9040"/>
        <w:spacing w:after="0"/>
        <w:rPr>
          <w:sz w:val="20"/>
          <w:szCs w:val="20"/>
          <w:color w:val="auto"/>
        </w:rPr>
      </w:pPr>
      <w:r>
        <w:rPr>
          <w:rFonts w:ascii="Arial" w:cs="Arial" w:eastAsia="Arial" w:hAnsi="Arial"/>
          <w:sz w:val="13"/>
          <w:szCs w:val="13"/>
          <w:b w:val="1"/>
          <w:bCs w:val="1"/>
          <w:color w:val="auto"/>
        </w:rPr>
        <w:t>For the six months ended</w:t>
      </w:r>
    </w:p>
    <w:p>
      <w:pPr>
        <w:spacing w:after="0" w:line="12" w:lineRule="exact"/>
        <w:rPr>
          <w:sz w:val="20"/>
          <w:szCs w:val="20"/>
          <w:color w:val="auto"/>
        </w:rPr>
      </w:pPr>
    </w:p>
    <w:p>
      <w:pPr>
        <w:jc w:val="center"/>
        <w:ind w:left="904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66040</wp:posOffset>
            </wp:positionV>
            <wp:extent cx="15144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Arial" w:cs="Arial" w:eastAsia="Arial" w:hAnsi="Arial"/>
                <w:sz w:val="13"/>
                <w:szCs w:val="13"/>
                <w:b w:val="1"/>
                <w:bCs w:val="1"/>
                <w:color w:val="auto"/>
              </w:rPr>
              <w:t>2004</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35"/>
              <w:spacing w:after="0"/>
              <w:rPr>
                <w:sz w:val="20"/>
                <w:szCs w:val="20"/>
                <w:color w:val="auto"/>
              </w:rPr>
            </w:pPr>
            <w:r>
              <w:rPr>
                <w:rFonts w:ascii="Arial" w:cs="Arial" w:eastAsia="Arial" w:hAnsi="Arial"/>
                <w:sz w:val="13"/>
                <w:szCs w:val="13"/>
                <w:b w:val="1"/>
                <w:bCs w:val="1"/>
                <w:color w:val="auto"/>
              </w:rPr>
              <w:t>2003</w:t>
            </w: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 Estate Assets, at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1,573,979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1,324,025</w:t>
            </w:r>
          </w:p>
        </w:tc>
        <w:tc>
          <w:tcPr>
            <w:tcW w:w="0" w:type="dxa"/>
            <w:vAlign w:val="bottom"/>
          </w:tcPr>
          <w:p>
            <w:pPr>
              <w:spacing w:after="0"/>
              <w:rPr>
                <w:sz w:val="1"/>
                <w:szCs w:val="1"/>
                <w:color w:val="auto"/>
              </w:rPr>
            </w:pPr>
          </w:p>
        </w:tc>
      </w:tr>
      <w:tr>
        <w:trPr>
          <w:trHeight w:val="321"/>
        </w:trPr>
        <w:tc>
          <w:tcPr>
            <w:tcW w:w="9040" w:type="dxa"/>
            <w:vAlign w:val="bottom"/>
            <w:gridSpan w:val="3"/>
          </w:tcPr>
          <w:p>
            <w:pPr>
              <w:ind w:left="440"/>
              <w:spacing w:after="0"/>
              <w:rPr>
                <w:sz w:val="20"/>
                <w:szCs w:val="20"/>
                <w:color w:val="auto"/>
              </w:rPr>
            </w:pPr>
            <w:r>
              <w:rPr>
                <w:rFonts w:ascii="Arial" w:cs="Arial" w:eastAsia="Arial" w:hAnsi="Arial"/>
                <w:sz w:val="17"/>
                <w:szCs w:val="17"/>
                <w:color w:val="auto"/>
              </w:rPr>
              <w:t>Rental Income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125,155</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113,289</w:t>
            </w:r>
          </w:p>
        </w:tc>
        <w:tc>
          <w:tcPr>
            <w:tcW w:w="0" w:type="dxa"/>
            <w:vAlign w:val="bottom"/>
          </w:tcPr>
          <w:p>
            <w:pPr>
              <w:spacing w:after="0"/>
              <w:rPr>
                <w:sz w:val="1"/>
                <w:szCs w:val="1"/>
                <w:color w:val="auto"/>
              </w:rPr>
            </w:pPr>
          </w:p>
        </w:tc>
      </w:tr>
      <w:tr>
        <w:trPr>
          <w:trHeight w:val="215"/>
        </w:trPr>
        <w:tc>
          <w:tcPr>
            <w:tcW w:w="90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Other Property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4,195</w:t>
            </w:r>
          </w:p>
        </w:tc>
        <w:tc>
          <w:tcPr>
            <w:tcW w:w="0" w:type="dxa"/>
            <w:vAlign w:val="bottom"/>
          </w:tcPr>
          <w:p>
            <w:pPr>
              <w:spacing w:after="0"/>
              <w:rPr>
                <w:sz w:val="1"/>
                <w:szCs w:val="1"/>
                <w:color w:val="auto"/>
              </w:rPr>
            </w:pPr>
          </w:p>
        </w:tc>
      </w:tr>
      <w:tr>
        <w:trPr>
          <w:trHeight w:val="221"/>
        </w:trPr>
        <w:tc>
          <w:tcPr>
            <w:tcW w:w="9040" w:type="dxa"/>
            <w:vAlign w:val="bottom"/>
            <w:gridSpan w:val="3"/>
          </w:tcPr>
          <w:p>
            <w:pPr>
              <w:ind w:left="44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485</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100"/>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130,040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117,948</w:t>
            </w:r>
          </w:p>
        </w:tc>
        <w:tc>
          <w:tcPr>
            <w:tcW w:w="0" w:type="dxa"/>
            <w:vAlign w:val="bottom"/>
          </w:tcPr>
          <w:p>
            <w:pPr>
              <w:spacing w:after="0"/>
              <w:rPr>
                <w:sz w:val="1"/>
                <w:szCs w:val="1"/>
                <w:color w:val="auto"/>
              </w:rPr>
            </w:pPr>
          </w:p>
        </w:tc>
      </w:tr>
      <w:tr>
        <w:trPr>
          <w:trHeight w:val="321"/>
        </w:trPr>
        <w:tc>
          <w:tcPr>
            <w:tcW w:w="9040" w:type="dxa"/>
            <w:vAlign w:val="bottom"/>
            <w:gridSpan w:val="3"/>
          </w:tcPr>
          <w:p>
            <w:pPr>
              <w:ind w:left="440"/>
              <w:spacing w:after="0"/>
              <w:rPr>
                <w:sz w:val="20"/>
                <w:szCs w:val="20"/>
                <w:color w:val="auto"/>
              </w:rPr>
            </w:pPr>
            <w:r>
              <w:rPr>
                <w:rFonts w:ascii="Arial" w:cs="Arial" w:eastAsia="Arial" w:hAnsi="Arial"/>
                <w:sz w:val="17"/>
                <w:szCs w:val="17"/>
                <w:color w:val="auto"/>
              </w:rPr>
              <w:t>Rental Expense</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25,204</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22,555</w:t>
            </w:r>
          </w:p>
        </w:tc>
        <w:tc>
          <w:tcPr>
            <w:tcW w:w="0" w:type="dxa"/>
            <w:vAlign w:val="bottom"/>
          </w:tcPr>
          <w:p>
            <w:pPr>
              <w:spacing w:after="0"/>
              <w:rPr>
                <w:sz w:val="1"/>
                <w:szCs w:val="1"/>
                <w:color w:val="auto"/>
              </w:rPr>
            </w:pPr>
          </w:p>
        </w:tc>
      </w:tr>
      <w:tr>
        <w:trPr>
          <w:trHeight w:val="215"/>
        </w:trPr>
        <w:tc>
          <w:tcPr>
            <w:tcW w:w="90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Real Estate Tax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12,343</w:t>
            </w:r>
          </w:p>
        </w:tc>
        <w:tc>
          <w:tcPr>
            <w:tcW w:w="0" w:type="dxa"/>
            <w:vAlign w:val="bottom"/>
          </w:tcPr>
          <w:p>
            <w:pPr>
              <w:spacing w:after="0"/>
              <w:rPr>
                <w:sz w:val="1"/>
                <w:szCs w:val="1"/>
                <w:color w:val="auto"/>
              </w:rPr>
            </w:pPr>
          </w:p>
        </w:tc>
      </w:tr>
      <w:tr>
        <w:trPr>
          <w:trHeight w:val="107"/>
        </w:trPr>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Property Operating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38,956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34,898</w:t>
            </w:r>
          </w:p>
        </w:tc>
        <w:tc>
          <w:tcPr>
            <w:tcW w:w="0" w:type="dxa"/>
            <w:vAlign w:val="bottom"/>
          </w:tcPr>
          <w:p>
            <w:pPr>
              <w:spacing w:after="0"/>
              <w:rPr>
                <w:sz w:val="1"/>
                <w:szCs w:val="1"/>
                <w:color w:val="auto"/>
              </w:rPr>
            </w:pPr>
          </w:p>
        </w:tc>
      </w:tr>
      <w:tr>
        <w:trPr>
          <w:trHeight w:val="107"/>
        </w:trPr>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Property Operating Income (2)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91,084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83,050</w:t>
            </w:r>
          </w:p>
        </w:tc>
        <w:tc>
          <w:tcPr>
            <w:tcW w:w="0" w:type="dxa"/>
            <w:vAlign w:val="bottom"/>
          </w:tcPr>
          <w:p>
            <w:pPr>
              <w:spacing w:after="0"/>
              <w:rPr>
                <w:sz w:val="1"/>
                <w:szCs w:val="1"/>
                <w:color w:val="auto"/>
              </w:rPr>
            </w:pPr>
          </w:p>
        </w:tc>
      </w:tr>
      <w:tr>
        <w:trPr>
          <w:trHeight w:val="131"/>
        </w:trPr>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9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Square Feet (3)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14,086,000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13,024,000</w:t>
            </w:r>
          </w:p>
        </w:tc>
        <w:tc>
          <w:tcPr>
            <w:tcW w:w="0" w:type="dxa"/>
            <w:vAlign w:val="bottom"/>
          </w:tcPr>
          <w:p>
            <w:pPr>
              <w:spacing w:after="0"/>
              <w:rPr>
                <w:sz w:val="1"/>
                <w:szCs w:val="1"/>
                <w:color w:val="auto"/>
              </w:rPr>
            </w:pPr>
          </w:p>
        </w:tc>
      </w:tr>
      <w:tr>
        <w:trPr>
          <w:trHeight w:val="388"/>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3"/>
              </w:rPr>
              <w:t>Street Retail Summary</w:t>
            </w:r>
          </w:p>
        </w:tc>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9040" w:type="dxa"/>
            <w:vAlign w:val="bottom"/>
            <w:gridSpan w:val="3"/>
          </w:tcPr>
          <w:p>
            <w:pPr>
              <w:spacing w:after="0"/>
              <w:rPr>
                <w:sz w:val="20"/>
                <w:szCs w:val="20"/>
                <w:color w:val="auto"/>
              </w:rPr>
            </w:pPr>
            <w:r>
              <w:rPr>
                <w:rFonts w:ascii="Arial" w:cs="Arial" w:eastAsia="Arial" w:hAnsi="Arial"/>
                <w:sz w:val="17"/>
                <w:szCs w:val="17"/>
                <w:color w:val="auto"/>
              </w:rPr>
              <w:t>(in thousands, except square footage data)</w:t>
            </w:r>
          </w:p>
        </w:tc>
        <w:tc>
          <w:tcPr>
            <w:tcW w:w="120" w:type="dxa"/>
            <w:vAlign w:val="bottom"/>
          </w:tcPr>
          <w:p>
            <w:pPr>
              <w:spacing w:after="0"/>
              <w:rPr>
                <w:sz w:val="20"/>
                <w:szCs w:val="20"/>
                <w:color w:val="auto"/>
              </w:rPr>
            </w:pPr>
          </w:p>
        </w:tc>
        <w:tc>
          <w:tcPr>
            <w:tcW w:w="2260" w:type="dxa"/>
            <w:vAlign w:val="bottom"/>
            <w:gridSpan w:val="4"/>
            <w:vMerge w:val="restart"/>
          </w:tcPr>
          <w:p>
            <w:pPr>
              <w:jc w:val="right"/>
              <w:ind w:right="395"/>
              <w:spacing w:after="0"/>
              <w:rPr>
                <w:sz w:val="20"/>
                <w:szCs w:val="20"/>
                <w:color w:val="auto"/>
              </w:rPr>
            </w:pPr>
            <w:r>
              <w:rPr>
                <w:rFonts w:ascii="Arial" w:cs="Arial" w:eastAsia="Arial" w:hAnsi="Arial"/>
                <w:sz w:val="13"/>
                <w:szCs w:val="13"/>
                <w:b w:val="1"/>
                <w:bCs w:val="1"/>
                <w:color w:val="auto"/>
              </w:rPr>
              <w:t>For the six months ended</w:t>
            </w:r>
          </w:p>
        </w:tc>
        <w:tc>
          <w:tcPr>
            <w:tcW w:w="0" w:type="dxa"/>
            <w:vAlign w:val="bottom"/>
          </w:tcPr>
          <w:p>
            <w:pPr>
              <w:spacing w:after="0"/>
              <w:rPr>
                <w:sz w:val="1"/>
                <w:szCs w:val="1"/>
                <w:color w:val="auto"/>
              </w:rPr>
            </w:pPr>
          </w:p>
        </w:tc>
      </w:tr>
      <w:tr>
        <w:trPr>
          <w:trHeight w:val="136"/>
        </w:trPr>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2"/>
              </w:rPr>
              <w:t>June 30,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236"/>
              <w:spacing w:after="0"/>
              <w:rPr>
                <w:sz w:val="20"/>
                <w:szCs w:val="20"/>
                <w:color w:val="auto"/>
              </w:rPr>
            </w:pPr>
            <w:r>
              <w:rPr>
                <w:rFonts w:ascii="Arial" w:cs="Arial" w:eastAsia="Arial" w:hAnsi="Arial"/>
                <w:sz w:val="13"/>
                <w:szCs w:val="13"/>
                <w:b w:val="1"/>
                <w:bCs w:val="1"/>
                <w:color w:val="auto"/>
              </w:rPr>
              <w:t>2004</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35"/>
              <w:spacing w:after="0"/>
              <w:rPr>
                <w:sz w:val="20"/>
                <w:szCs w:val="20"/>
                <w:color w:val="auto"/>
              </w:rPr>
            </w:pPr>
            <w:r>
              <w:rPr>
                <w:rFonts w:ascii="Arial" w:cs="Arial" w:eastAsia="Arial" w:hAnsi="Arial"/>
                <w:sz w:val="13"/>
                <w:szCs w:val="13"/>
                <w:b w:val="1"/>
                <w:bCs w:val="1"/>
                <w:color w:val="auto"/>
              </w:rPr>
              <w:t>2003</w:t>
            </w: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 Estate Assets, at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1,050,429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1,016,775</w:t>
            </w:r>
          </w:p>
        </w:tc>
        <w:tc>
          <w:tcPr>
            <w:tcW w:w="0" w:type="dxa"/>
            <w:vAlign w:val="bottom"/>
          </w:tcPr>
          <w:p>
            <w:pPr>
              <w:spacing w:after="0"/>
              <w:rPr>
                <w:sz w:val="1"/>
                <w:szCs w:val="1"/>
                <w:color w:val="auto"/>
              </w:rPr>
            </w:pPr>
          </w:p>
        </w:tc>
      </w:tr>
      <w:tr>
        <w:trPr>
          <w:trHeight w:val="321"/>
        </w:trPr>
        <w:tc>
          <w:tcPr>
            <w:tcW w:w="9040" w:type="dxa"/>
            <w:vAlign w:val="bottom"/>
            <w:gridSpan w:val="3"/>
          </w:tcPr>
          <w:p>
            <w:pPr>
              <w:ind w:left="440"/>
              <w:spacing w:after="0"/>
              <w:rPr>
                <w:sz w:val="20"/>
                <w:szCs w:val="20"/>
                <w:color w:val="auto"/>
              </w:rPr>
            </w:pPr>
            <w:r>
              <w:rPr>
                <w:rFonts w:ascii="Arial" w:cs="Arial" w:eastAsia="Arial" w:hAnsi="Arial"/>
                <w:sz w:val="17"/>
                <w:szCs w:val="17"/>
                <w:color w:val="auto"/>
              </w:rPr>
              <w:t>Rental Income (4)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56,268</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44,848</w:t>
            </w:r>
          </w:p>
        </w:tc>
        <w:tc>
          <w:tcPr>
            <w:tcW w:w="0" w:type="dxa"/>
            <w:vAlign w:val="bottom"/>
          </w:tcPr>
          <w:p>
            <w:pPr>
              <w:spacing w:after="0"/>
              <w:rPr>
                <w:sz w:val="1"/>
                <w:szCs w:val="1"/>
                <w:color w:val="auto"/>
              </w:rPr>
            </w:pPr>
          </w:p>
        </w:tc>
      </w:tr>
      <w:tr>
        <w:trPr>
          <w:trHeight w:val="215"/>
        </w:trPr>
        <w:tc>
          <w:tcPr>
            <w:tcW w:w="90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Other Property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4,085</w:t>
            </w:r>
          </w:p>
        </w:tc>
        <w:tc>
          <w:tcPr>
            <w:tcW w:w="0" w:type="dxa"/>
            <w:vAlign w:val="bottom"/>
          </w:tcPr>
          <w:p>
            <w:pPr>
              <w:spacing w:after="0"/>
              <w:rPr>
                <w:sz w:val="1"/>
                <w:szCs w:val="1"/>
                <w:color w:val="auto"/>
              </w:rPr>
            </w:pPr>
          </w:p>
        </w:tc>
      </w:tr>
      <w:tr>
        <w:trPr>
          <w:trHeight w:val="221"/>
        </w:trPr>
        <w:tc>
          <w:tcPr>
            <w:tcW w:w="9040" w:type="dxa"/>
            <w:vAlign w:val="bottom"/>
            <w:gridSpan w:val="3"/>
          </w:tcPr>
          <w:p>
            <w:pPr>
              <w:ind w:left="44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2,560</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2,388</w:t>
            </w:r>
          </w:p>
        </w:tc>
        <w:tc>
          <w:tcPr>
            <w:tcW w:w="0" w:type="dxa"/>
            <w:vAlign w:val="bottom"/>
          </w:tcPr>
          <w:p>
            <w:pPr>
              <w:spacing w:after="0"/>
              <w:rPr>
                <w:sz w:val="1"/>
                <w:szCs w:val="1"/>
                <w:color w:val="auto"/>
              </w:rPr>
            </w:pPr>
          </w:p>
        </w:tc>
      </w:tr>
      <w:tr>
        <w:trPr>
          <w:trHeight w:val="100"/>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66,047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51,321</w:t>
            </w:r>
          </w:p>
        </w:tc>
        <w:tc>
          <w:tcPr>
            <w:tcW w:w="0" w:type="dxa"/>
            <w:vAlign w:val="bottom"/>
          </w:tcPr>
          <w:p>
            <w:pPr>
              <w:spacing w:after="0"/>
              <w:rPr>
                <w:sz w:val="1"/>
                <w:szCs w:val="1"/>
                <w:color w:val="auto"/>
              </w:rPr>
            </w:pPr>
          </w:p>
        </w:tc>
      </w:tr>
      <w:tr>
        <w:trPr>
          <w:trHeight w:val="321"/>
        </w:trPr>
        <w:tc>
          <w:tcPr>
            <w:tcW w:w="9040" w:type="dxa"/>
            <w:vAlign w:val="bottom"/>
            <w:gridSpan w:val="3"/>
          </w:tcPr>
          <w:p>
            <w:pPr>
              <w:ind w:left="440"/>
              <w:spacing w:after="0"/>
              <w:rPr>
                <w:sz w:val="20"/>
                <w:szCs w:val="20"/>
                <w:color w:val="auto"/>
              </w:rPr>
            </w:pPr>
            <w:r>
              <w:rPr>
                <w:rFonts w:ascii="Arial" w:cs="Arial" w:eastAsia="Arial" w:hAnsi="Arial"/>
                <w:sz w:val="17"/>
                <w:szCs w:val="17"/>
                <w:color w:val="auto"/>
              </w:rPr>
              <w:t>Rental Expense</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19,583</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17,860</w:t>
            </w:r>
          </w:p>
        </w:tc>
        <w:tc>
          <w:tcPr>
            <w:tcW w:w="0" w:type="dxa"/>
            <w:vAlign w:val="bottom"/>
          </w:tcPr>
          <w:p>
            <w:pPr>
              <w:spacing w:after="0"/>
              <w:rPr>
                <w:sz w:val="1"/>
                <w:szCs w:val="1"/>
                <w:color w:val="auto"/>
              </w:rPr>
            </w:pPr>
          </w:p>
        </w:tc>
      </w:tr>
      <w:tr>
        <w:trPr>
          <w:trHeight w:val="215"/>
        </w:trPr>
        <w:tc>
          <w:tcPr>
            <w:tcW w:w="90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Real Estate Tax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4,072</w:t>
            </w:r>
          </w:p>
        </w:tc>
        <w:tc>
          <w:tcPr>
            <w:tcW w:w="0" w:type="dxa"/>
            <w:vAlign w:val="bottom"/>
          </w:tcPr>
          <w:p>
            <w:pPr>
              <w:spacing w:after="0"/>
              <w:rPr>
                <w:sz w:val="1"/>
                <w:szCs w:val="1"/>
                <w:color w:val="auto"/>
              </w:rPr>
            </w:pPr>
          </w:p>
        </w:tc>
      </w:tr>
      <w:tr>
        <w:trPr>
          <w:trHeight w:val="107"/>
        </w:trPr>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Property Operating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21,932</w:t>
            </w:r>
          </w:p>
        </w:tc>
        <w:tc>
          <w:tcPr>
            <w:tcW w:w="0" w:type="dxa"/>
            <w:vAlign w:val="bottom"/>
          </w:tcPr>
          <w:p>
            <w:pPr>
              <w:spacing w:after="0"/>
              <w:rPr>
                <w:sz w:val="1"/>
                <w:szCs w:val="1"/>
                <w:color w:val="auto"/>
              </w:rPr>
            </w:pPr>
          </w:p>
        </w:tc>
      </w:tr>
      <w:tr>
        <w:trPr>
          <w:trHeight w:val="107"/>
        </w:trPr>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Property Operating Income (2)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41,513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29,389</w:t>
            </w:r>
          </w:p>
        </w:tc>
        <w:tc>
          <w:tcPr>
            <w:tcW w:w="0" w:type="dxa"/>
            <w:vAlign w:val="bottom"/>
          </w:tcPr>
          <w:p>
            <w:pPr>
              <w:spacing w:after="0"/>
              <w:rPr>
                <w:sz w:val="1"/>
                <w:szCs w:val="1"/>
                <w:color w:val="auto"/>
              </w:rPr>
            </w:pPr>
          </w:p>
        </w:tc>
      </w:tr>
      <w:tr>
        <w:trPr>
          <w:trHeight w:val="131"/>
        </w:trPr>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9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Square Feet (3)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2,776,000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2,790,000</w:t>
            </w:r>
          </w:p>
        </w:tc>
        <w:tc>
          <w:tcPr>
            <w:tcW w:w="0" w:type="dxa"/>
            <w:vAlign w:val="bottom"/>
          </w:tcPr>
          <w:p>
            <w:pPr>
              <w:spacing w:after="0"/>
              <w:rPr>
                <w:sz w:val="1"/>
                <w:szCs w:val="1"/>
                <w:color w:val="auto"/>
              </w:rPr>
            </w:pPr>
          </w:p>
        </w:tc>
      </w:tr>
      <w:tr>
        <w:trPr>
          <w:trHeight w:val="107"/>
        </w:trPr>
        <w:tc>
          <w:tcPr>
            <w:tcW w:w="11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5735955</wp:posOffset>
            </wp:positionH>
            <wp:positionV relativeFrom="paragraph">
              <wp:posOffset>-3378835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-3378835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-3378835</wp:posOffset>
            </wp:positionV>
            <wp:extent cx="2095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-3378835</wp:posOffset>
            </wp:positionV>
            <wp:extent cx="57404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4040" cy="2984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-307975</wp:posOffset>
            </wp:positionV>
            <wp:extent cx="59118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1185" cy="29845"/>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-307975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-307975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6739890</wp:posOffset>
            </wp:positionH>
            <wp:positionV relativeFrom="paragraph">
              <wp:posOffset>-307975</wp:posOffset>
            </wp:positionV>
            <wp:extent cx="2095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86" w:lineRule="exact"/>
        <w:rPr>
          <w:sz w:val="20"/>
          <w:szCs w:val="20"/>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rent revenue from residential units of $1.1 million in 2004 and $1.1 million in 2003.</w:t>
      </w:r>
    </w:p>
    <w:p>
      <w:pPr>
        <w:spacing w:after="0" w:line="25" w:lineRule="exact"/>
        <w:rPr>
          <w:rFonts w:ascii="Arial" w:cs="Arial" w:eastAsia="Arial" w:hAnsi="Arial"/>
          <w:sz w:val="17"/>
          <w:szCs w:val="17"/>
          <w:color w:val="auto"/>
        </w:rPr>
      </w:pP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components of property operating income for the periods ended June 30, 2004 and 2003 have been restated for discontinued operations.</w:t>
      </w:r>
    </w:p>
    <w:p>
      <w:pPr>
        <w:spacing w:after="0" w:line="18" w:lineRule="exact"/>
        <w:rPr>
          <w:rFonts w:ascii="Arial" w:cs="Arial" w:eastAsia="Arial" w:hAnsi="Arial"/>
          <w:sz w:val="17"/>
          <w:szCs w:val="17"/>
          <w:color w:val="auto"/>
        </w:rPr>
      </w:pPr>
    </w:p>
    <w:p>
      <w:pPr>
        <w:ind w:left="460" w:right="60" w:hanging="453"/>
        <w:spacing w:after="0" w:line="26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Excludes redevelopment square footage not yet in service. Does not include any future phases of Santana Row or residential square footage at Santana Row, Rollingwood Apartments or The Crest at Congressional Apartments.</w:t>
      </w:r>
    </w:p>
    <w:p>
      <w:pPr>
        <w:ind w:left="460" w:hanging="453"/>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rent revenue from residential units of $5.1 million in 2004 and $3.2 million in 2003.</w:t>
      </w:r>
    </w:p>
    <w:p>
      <w:pPr>
        <w:sectPr>
          <w:pgSz w:w="11900" w:h="16838" w:orient="portrait"/>
          <w:cols w:equalWidth="0" w:num="1">
            <w:col w:w="11420"/>
          </w:cols>
          <w:pgMar w:left="240" w:top="272"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 - Comparable Basis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Lease Summary - Comparable (2)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Straight-lined</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300"/>
              <w:spacing w:after="0" w:line="148" w:lineRule="exact"/>
              <w:rPr>
                <w:sz w:val="20"/>
                <w:szCs w:val="20"/>
                <w:color w:val="auto"/>
              </w:rPr>
            </w:pPr>
            <w:r>
              <w:rPr>
                <w:rFonts w:ascii="Arial" w:cs="Arial" w:eastAsia="Arial" w:hAnsi="Arial"/>
                <w:sz w:val="13"/>
                <w:szCs w:val="13"/>
                <w:b w:val="1"/>
                <w:bCs w:val="1"/>
                <w:color w:val="auto"/>
                <w:w w:val="88"/>
              </w:rPr>
              <w:t>Cash Basis</w:t>
            </w: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2"/>
              </w:rPr>
              <w:t>Basis %</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4"/>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8"/>
              </w:rPr>
              <w:t>Prior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Annual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280"/>
              <w:spacing w:after="0" w:line="148" w:lineRule="exact"/>
              <w:rPr>
                <w:sz w:val="20"/>
                <w:szCs w:val="20"/>
                <w:color w:val="auto"/>
              </w:rPr>
            </w:pPr>
            <w:r>
              <w:rPr>
                <w:rFonts w:ascii="Arial" w:cs="Arial" w:eastAsia="Arial" w:hAnsi="Arial"/>
                <w:sz w:val="13"/>
                <w:szCs w:val="13"/>
                <w:b w:val="1"/>
                <w:bCs w:val="1"/>
                <w:color w:val="auto"/>
                <w:w w:val="94"/>
              </w:rPr>
              <w:t>% Increase</w:t>
            </w:r>
          </w:p>
        </w:tc>
        <w:tc>
          <w:tcPr>
            <w:tcW w:w="108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0"/>
              </w:rPr>
              <w:t>Increase</w:t>
            </w: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Weighted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9"/>
              <w:spacing w:after="0" w:line="148"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5"/>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280"/>
              <w:spacing w:after="0" w:line="148" w:lineRule="exact"/>
              <w:rPr>
                <w:sz w:val="20"/>
                <w:szCs w:val="20"/>
                <w:color w:val="auto"/>
              </w:rPr>
            </w:pPr>
            <w:r>
              <w:rPr>
                <w:rFonts w:ascii="Arial" w:cs="Arial" w:eastAsia="Arial" w:hAnsi="Arial"/>
                <w:sz w:val="13"/>
                <w:szCs w:val="13"/>
                <w:b w:val="1"/>
                <w:bCs w:val="1"/>
                <w:color w:val="auto"/>
                <w:w w:val="96"/>
              </w:rPr>
              <w:t>% of Total</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6"/>
              <w:spacing w:after="0" w:line="148" w:lineRule="exact"/>
              <w:rPr>
                <w:sz w:val="20"/>
                <w:szCs w:val="20"/>
                <w:color w:val="auto"/>
              </w:rPr>
            </w:pPr>
            <w:r>
              <w:rPr>
                <w:rFonts w:ascii="Arial" w:cs="Arial" w:eastAsia="Arial" w:hAnsi="Arial"/>
                <w:sz w:val="13"/>
                <w:szCs w:val="13"/>
                <w:b w:val="1"/>
                <w:bCs w:val="1"/>
                <w:color w:val="auto"/>
                <w:w w:val="94"/>
              </w:rPr>
              <w:t>Rent (3)</w:t>
            </w:r>
          </w:p>
        </w:tc>
        <w:tc>
          <w:tcPr>
            <w:tcW w:w="140" w:type="dxa"/>
            <w:vAlign w:val="bottom"/>
          </w:tcPr>
          <w:p>
            <w:pPr>
              <w:spacing w:after="0"/>
              <w:rPr>
                <w:sz w:val="12"/>
                <w:szCs w:val="12"/>
                <w:color w:val="auto"/>
              </w:rPr>
            </w:pPr>
          </w:p>
        </w:tc>
        <w:tc>
          <w:tcPr>
            <w:tcW w:w="740" w:type="dxa"/>
            <w:vAlign w:val="bottom"/>
            <w:gridSpan w:val="3"/>
          </w:tcPr>
          <w:p>
            <w:pPr>
              <w:jc w:val="center"/>
              <w:ind w:right="120"/>
              <w:spacing w:after="0" w:line="148" w:lineRule="exact"/>
              <w:rPr>
                <w:sz w:val="20"/>
                <w:szCs w:val="20"/>
                <w:color w:val="auto"/>
              </w:rPr>
            </w:pPr>
            <w:r>
              <w:rPr>
                <w:rFonts w:ascii="Arial" w:cs="Arial" w:eastAsia="Arial" w:hAnsi="Arial"/>
                <w:sz w:val="13"/>
                <w:szCs w:val="13"/>
                <w:b w:val="1"/>
                <w:bCs w:val="1"/>
                <w:color w:val="auto"/>
                <w:w w:val="94"/>
              </w:rPr>
              <w:t>Rent (4)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Increase in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280"/>
              <w:spacing w:after="0" w:line="148" w:lineRule="exact"/>
              <w:rPr>
                <w:sz w:val="20"/>
                <w:szCs w:val="20"/>
                <w:color w:val="auto"/>
              </w:rPr>
            </w:pPr>
            <w:r>
              <w:rPr>
                <w:rFonts w:ascii="Arial" w:cs="Arial" w:eastAsia="Arial" w:hAnsi="Arial"/>
                <w:sz w:val="13"/>
                <w:szCs w:val="13"/>
                <w:b w:val="1"/>
                <w:bCs w:val="1"/>
                <w:color w:val="auto"/>
              </w:rPr>
              <w:t>Over Prior</w:t>
            </w:r>
          </w:p>
        </w:tc>
        <w:tc>
          <w:tcPr>
            <w:tcW w:w="108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rPr>
              <w:t>Over Prior</w:t>
            </w: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ind w:right="33"/>
              <w:spacing w:after="0" w:line="148" w:lineRule="exact"/>
              <w:rPr>
                <w:sz w:val="20"/>
                <w:szCs w:val="20"/>
                <w:color w:val="auto"/>
              </w:rPr>
            </w:pPr>
            <w:r>
              <w:rPr>
                <w:rFonts w:ascii="Arial" w:cs="Arial" w:eastAsia="Arial" w:hAnsi="Arial"/>
                <w:sz w:val="13"/>
                <w:szCs w:val="13"/>
                <w:b w:val="1"/>
                <w:bCs w:val="1"/>
                <w:color w:val="auto"/>
                <w:w w:val="93"/>
              </w:rPr>
              <w:t>Tenant</w:t>
            </w:r>
          </w:p>
        </w:tc>
        <w:tc>
          <w:tcPr>
            <w:tcW w:w="140" w:type="dxa"/>
            <w:vAlign w:val="bottom"/>
          </w:tcPr>
          <w:p>
            <w:pPr>
              <w:spacing w:after="0"/>
              <w:rPr>
                <w:sz w:val="12"/>
                <w:szCs w:val="12"/>
                <w:color w:val="auto"/>
              </w:rPr>
            </w:pPr>
          </w:p>
        </w:tc>
        <w:tc>
          <w:tcPr>
            <w:tcW w:w="84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73"/>
        </w:trPr>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Leases Signed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7"/>
              </w:rPr>
              <w:t>Leases Signed</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GLA Signed</w:t>
            </w: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1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Per Sq. Ft.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9"/>
              </w:rPr>
              <w:t>Rent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6"/>
              </w:rPr>
              <w:t>Rent</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Rent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Lease Term (5)</w:t>
            </w:r>
          </w:p>
        </w:tc>
        <w:tc>
          <w:tcPr>
            <w:tcW w:w="14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w w:val="92"/>
              </w:rPr>
              <w:t>Improvements (6)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94"/>
        </w:trPr>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2nd</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Quarter</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5"/>
              </w:rPr>
              <w:t>2004</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37%</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261,186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16.74</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617,736</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3,694,856</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14.15</w:t>
            </w:r>
          </w:p>
        </w:tc>
        <w:tc>
          <w:tcPr>
            <w:tcW w:w="0" w:type="dxa"/>
            <w:vAlign w:val="bottom"/>
          </w:tcPr>
          <w:p>
            <w:pPr>
              <w:spacing w:after="0"/>
              <w:rPr>
                <w:sz w:val="1"/>
                <w:szCs w:val="1"/>
                <w:color w:val="auto"/>
              </w:rPr>
            </w:pPr>
          </w:p>
        </w:tc>
      </w:tr>
      <w:tr>
        <w:trPr>
          <w:trHeight w:val="206"/>
        </w:trPr>
        <w:tc>
          <w:tcPr>
            <w:tcW w:w="940" w:type="dxa"/>
            <w:vAlign w:val="bottom"/>
            <w:gridSpan w:val="2"/>
          </w:tcPr>
          <w:p>
            <w:pPr>
              <w:spacing w:after="0"/>
              <w:rPr>
                <w:sz w:val="20"/>
                <w:szCs w:val="20"/>
                <w:color w:val="auto"/>
              </w:rPr>
            </w:pPr>
            <w:r>
              <w:rPr>
                <w:rFonts w:ascii="Arial" w:cs="Arial" w:eastAsia="Arial" w:hAnsi="Arial"/>
                <w:sz w:val="17"/>
                <w:szCs w:val="17"/>
                <w:color w:val="auto"/>
              </w:rPr>
              <w:t>1st Quarter</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0" w:type="dxa"/>
            <w:vAlign w:val="bottom"/>
          </w:tcPr>
          <w:p>
            <w:pPr>
              <w:ind w:left="220"/>
              <w:spacing w:after="0"/>
              <w:rPr>
                <w:sz w:val="20"/>
                <w:szCs w:val="20"/>
                <w:color w:val="auto"/>
              </w:rPr>
            </w:pPr>
            <w:r>
              <w:rPr>
                <w:rFonts w:ascii="Arial" w:cs="Arial" w:eastAsia="Arial" w:hAnsi="Arial"/>
                <w:sz w:val="17"/>
                <w:szCs w:val="17"/>
                <w:color w:val="auto"/>
                <w:w w:val="95"/>
              </w:rPr>
              <w:t>2004</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1200" w:type="dxa"/>
            <w:vAlign w:val="bottom"/>
            <w:gridSpan w:val="4"/>
          </w:tcPr>
          <w:p>
            <w:pPr>
              <w:jc w:val="right"/>
              <w:ind w:right="100"/>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272,835</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19.93</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tcPr>
          <w:p>
            <w:pPr>
              <w:ind w:left="120"/>
              <w:spacing w:after="0"/>
              <w:rPr>
                <w:sz w:val="20"/>
                <w:szCs w:val="20"/>
                <w:color w:val="auto"/>
              </w:rPr>
            </w:pPr>
            <w:r>
              <w:rPr>
                <w:rFonts w:ascii="Arial" w:cs="Arial" w:eastAsia="Arial" w:hAnsi="Arial"/>
                <w:sz w:val="17"/>
                <w:szCs w:val="17"/>
                <w:color w:val="auto"/>
                <w:w w:val="84"/>
              </w:rPr>
              <w:t>16.46</w:t>
            </w:r>
          </w:p>
        </w:tc>
        <w:tc>
          <w:tcPr>
            <w:tcW w:w="1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948,063</w:t>
            </w:r>
          </w:p>
        </w:tc>
        <w:tc>
          <w:tcPr>
            <w:tcW w:w="1080" w:type="dxa"/>
            <w:vAlign w:val="bottom"/>
            <w:gridSpan w:val="5"/>
          </w:tcPr>
          <w:p>
            <w:pPr>
              <w:jc w:val="right"/>
              <w:ind w:right="120"/>
              <w:spacing w:after="0"/>
              <w:rPr>
                <w:sz w:val="20"/>
                <w:szCs w:val="20"/>
                <w:color w:val="auto"/>
              </w:rPr>
            </w:pPr>
            <w:r>
              <w:rPr>
                <w:rFonts w:ascii="Arial" w:cs="Arial" w:eastAsia="Arial" w:hAnsi="Arial"/>
                <w:sz w:val="17"/>
                <w:szCs w:val="17"/>
                <w:color w:val="auto"/>
              </w:rPr>
              <w:t>21%</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30%</w:t>
            </w:r>
          </w:p>
        </w:tc>
        <w:tc>
          <w:tcPr>
            <w:tcW w:w="860" w:type="dxa"/>
            <w:vAlign w:val="bottom"/>
          </w:tcPr>
          <w:p>
            <w:pPr>
              <w:jc w:val="right"/>
              <w:spacing w:after="0"/>
              <w:rPr>
                <w:sz w:val="20"/>
                <w:szCs w:val="20"/>
                <w:color w:val="auto"/>
              </w:rPr>
            </w:pPr>
            <w:r>
              <w:rPr>
                <w:rFonts w:ascii="Arial" w:cs="Arial" w:eastAsia="Arial" w:hAnsi="Arial"/>
                <w:sz w:val="17"/>
                <w:szCs w:val="17"/>
                <w:color w:val="auto"/>
              </w:rPr>
              <w:t>9.9</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2,754,080</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07"/>
        </w:trPr>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4th Quarter</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5"/>
              </w:rPr>
              <w:t>2003</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45%</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124,333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18.88</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623,990</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27%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3,700,718</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206"/>
        </w:trPr>
        <w:tc>
          <w:tcPr>
            <w:tcW w:w="940" w:type="dxa"/>
            <w:vAlign w:val="bottom"/>
            <w:gridSpan w:val="2"/>
          </w:tcPr>
          <w:p>
            <w:pPr>
              <w:spacing w:after="0"/>
              <w:rPr>
                <w:sz w:val="20"/>
                <w:szCs w:val="20"/>
                <w:color w:val="auto"/>
              </w:rPr>
            </w:pPr>
            <w:r>
              <w:rPr>
                <w:rFonts w:ascii="Arial" w:cs="Arial" w:eastAsia="Arial" w:hAnsi="Arial"/>
                <w:sz w:val="17"/>
                <w:szCs w:val="17"/>
                <w:color w:val="auto"/>
              </w:rPr>
              <w:t>3rd</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40" w:type="dxa"/>
            <w:vAlign w:val="bottom"/>
            <w:gridSpan w:val="2"/>
          </w:tcPr>
          <w:p>
            <w:pPr>
              <w:ind w:left="220"/>
              <w:spacing w:after="0"/>
              <w:rPr>
                <w:sz w:val="20"/>
                <w:szCs w:val="20"/>
                <w:color w:val="auto"/>
              </w:rPr>
            </w:pPr>
            <w:r>
              <w:rPr>
                <w:rFonts w:ascii="Arial" w:cs="Arial" w:eastAsia="Arial" w:hAnsi="Arial"/>
                <w:sz w:val="17"/>
                <w:szCs w:val="17"/>
                <w:color w:val="auto"/>
              </w:rPr>
              <w:t>Quarter</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 w:type="dxa"/>
            <w:vAlign w:val="bottom"/>
          </w:tcPr>
          <w:p>
            <w:pPr>
              <w:ind w:left="220"/>
              <w:spacing w:after="0"/>
              <w:rPr>
                <w:sz w:val="20"/>
                <w:szCs w:val="20"/>
                <w:color w:val="auto"/>
              </w:rPr>
            </w:pPr>
            <w:r>
              <w:rPr>
                <w:rFonts w:ascii="Arial" w:cs="Arial" w:eastAsia="Arial" w:hAnsi="Arial"/>
                <w:sz w:val="17"/>
                <w:szCs w:val="17"/>
                <w:color w:val="auto"/>
                <w:w w:val="95"/>
              </w:rPr>
              <w:t>2003</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1200" w:type="dxa"/>
            <w:vAlign w:val="bottom"/>
            <w:gridSpan w:val="4"/>
          </w:tcPr>
          <w:p>
            <w:pPr>
              <w:jc w:val="right"/>
              <w:ind w:right="100"/>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218,307</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14.21</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tcPr>
          <w:p>
            <w:pPr>
              <w:ind w:left="120"/>
              <w:spacing w:after="0"/>
              <w:rPr>
                <w:sz w:val="20"/>
                <w:szCs w:val="20"/>
                <w:color w:val="auto"/>
              </w:rPr>
            </w:pPr>
            <w:r>
              <w:rPr>
                <w:rFonts w:ascii="Arial" w:cs="Arial" w:eastAsia="Arial" w:hAnsi="Arial"/>
                <w:sz w:val="17"/>
                <w:szCs w:val="17"/>
                <w:color w:val="auto"/>
                <w:w w:val="84"/>
              </w:rPr>
              <w:t>11.82</w:t>
            </w:r>
          </w:p>
        </w:tc>
        <w:tc>
          <w:tcPr>
            <w:tcW w:w="1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522,865</w:t>
            </w:r>
          </w:p>
        </w:tc>
        <w:tc>
          <w:tcPr>
            <w:tcW w:w="1080" w:type="dxa"/>
            <w:vAlign w:val="bottom"/>
            <w:gridSpan w:val="5"/>
          </w:tcPr>
          <w:p>
            <w:pPr>
              <w:jc w:val="right"/>
              <w:ind w:right="120"/>
              <w:spacing w:after="0"/>
              <w:rPr>
                <w:sz w:val="20"/>
                <w:szCs w:val="20"/>
                <w:color w:val="auto"/>
              </w:rPr>
            </w:pPr>
            <w:r>
              <w:rPr>
                <w:rFonts w:ascii="Arial" w:cs="Arial" w:eastAsia="Arial" w:hAnsi="Arial"/>
                <w:sz w:val="17"/>
                <w:szCs w:val="17"/>
                <w:color w:val="auto"/>
              </w:rPr>
              <w:t>20%</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28%</w:t>
            </w:r>
          </w:p>
        </w:tc>
        <w:tc>
          <w:tcPr>
            <w:tcW w:w="860" w:type="dxa"/>
            <w:vAlign w:val="bottom"/>
          </w:tcPr>
          <w:p>
            <w:pPr>
              <w:jc w:val="right"/>
              <w:spacing w:after="0"/>
              <w:rPr>
                <w:sz w:val="20"/>
                <w:szCs w:val="20"/>
                <w:color w:val="auto"/>
              </w:rPr>
            </w:pPr>
            <w:r>
              <w:rPr>
                <w:rFonts w:ascii="Arial" w:cs="Arial" w:eastAsia="Arial" w:hAnsi="Arial"/>
                <w:sz w:val="17"/>
                <w:szCs w:val="17"/>
                <w:color w:val="auto"/>
              </w:rPr>
              <w:t>10.9</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2,596,768</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11.90</w:t>
            </w:r>
          </w:p>
        </w:tc>
        <w:tc>
          <w:tcPr>
            <w:tcW w:w="0" w:type="dxa"/>
            <w:vAlign w:val="bottom"/>
          </w:tcPr>
          <w:p>
            <w:pPr>
              <w:spacing w:after="0"/>
              <w:rPr>
                <w:sz w:val="1"/>
                <w:szCs w:val="1"/>
                <w:color w:val="auto"/>
              </w:rPr>
            </w:pPr>
          </w:p>
        </w:tc>
      </w:tr>
      <w:tr>
        <w:trPr>
          <w:trHeight w:val="109"/>
        </w:trPr>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- 12</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months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44%</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876,661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15.73</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2,712,654</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20%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12,746,422</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0" w:type="dxa"/>
            <w:vAlign w:val="bottom"/>
          </w:tcPr>
          <w:p>
            <w:pPr>
              <w:spacing w:after="0"/>
              <w:rPr>
                <w:sz w:val="1"/>
                <w:szCs w:val="1"/>
                <w:color w:val="auto"/>
              </w:rPr>
            </w:pPr>
          </w:p>
        </w:tc>
      </w:tr>
      <w:tr>
        <w:trPr>
          <w:trHeight w:val="131"/>
        </w:trPr>
        <w:tc>
          <w:tcPr>
            <w:tcW w:w="940" w:type="dxa"/>
            <w:vAlign w:val="bottom"/>
            <w:gridSpan w:val="2"/>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bottom w:val="single" w:sz="8" w:color="auto"/>
            </w:tcBorders>
            <w:gridSpan w:val="2"/>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2"/>
        </w:trPr>
        <w:tc>
          <w:tcPr>
            <w:tcW w:w="3840" w:type="dxa"/>
            <w:vAlign w:val="bottom"/>
            <w:gridSpan w:val="12"/>
          </w:tcPr>
          <w:p>
            <w:pPr>
              <w:spacing w:after="0"/>
              <w:rPr>
                <w:sz w:val="20"/>
                <w:szCs w:val="20"/>
                <w:color w:val="auto"/>
              </w:rPr>
            </w:pPr>
            <w:r>
              <w:rPr>
                <w:rFonts w:ascii="Arial" w:cs="Arial" w:eastAsia="Arial" w:hAnsi="Arial"/>
                <w:sz w:val="17"/>
                <w:szCs w:val="17"/>
                <w:b w:val="1"/>
                <w:bCs w:val="1"/>
                <w:color w:val="auto"/>
              </w:rPr>
              <w:t>Renewal Lease Summary - Comparable (2) (7)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Straight-lined</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8"/>
              </w:rPr>
              <w:t>Prior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300"/>
              <w:spacing w:after="0" w:line="148" w:lineRule="exact"/>
              <w:rPr>
                <w:sz w:val="20"/>
                <w:szCs w:val="20"/>
                <w:color w:val="auto"/>
              </w:rPr>
            </w:pPr>
            <w:r>
              <w:rPr>
                <w:rFonts w:ascii="Arial" w:cs="Arial" w:eastAsia="Arial" w:hAnsi="Arial"/>
                <w:sz w:val="13"/>
                <w:szCs w:val="13"/>
                <w:b w:val="1"/>
                <w:bCs w:val="1"/>
                <w:color w:val="auto"/>
                <w:w w:val="88"/>
              </w:rPr>
              <w:t>Cash Basis</w:t>
            </w: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2"/>
              </w:rPr>
              <w:t>Basis %</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4"/>
              </w:rPr>
              <w:t>Contractual</w:t>
            </w:r>
          </w:p>
        </w:tc>
        <w:tc>
          <w:tcPr>
            <w:tcW w:w="140" w:type="dxa"/>
            <w:vAlign w:val="bottom"/>
          </w:tcPr>
          <w:p>
            <w:pPr>
              <w:spacing w:after="0"/>
              <w:rPr>
                <w:sz w:val="12"/>
                <w:szCs w:val="12"/>
                <w:color w:val="auto"/>
              </w:rPr>
            </w:pPr>
          </w:p>
        </w:tc>
        <w:tc>
          <w:tcPr>
            <w:tcW w:w="740" w:type="dxa"/>
            <w:vAlign w:val="bottom"/>
            <w:gridSpan w:val="3"/>
          </w:tcPr>
          <w:p>
            <w:pPr>
              <w:jc w:val="center"/>
              <w:ind w:right="120"/>
              <w:spacing w:after="0" w:line="148" w:lineRule="exact"/>
              <w:rPr>
                <w:sz w:val="20"/>
                <w:szCs w:val="20"/>
                <w:color w:val="auto"/>
              </w:rPr>
            </w:pPr>
            <w:r>
              <w:rPr>
                <w:rFonts w:ascii="Arial" w:cs="Arial" w:eastAsia="Arial" w:hAnsi="Arial"/>
                <w:sz w:val="13"/>
                <w:szCs w:val="13"/>
                <w:b w:val="1"/>
                <w:bCs w:val="1"/>
                <w:color w:val="auto"/>
                <w:w w:val="94"/>
              </w:rPr>
              <w:t>Rent (4)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Annual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280"/>
              <w:spacing w:after="0" w:line="148" w:lineRule="exact"/>
              <w:rPr>
                <w:sz w:val="20"/>
                <w:szCs w:val="20"/>
                <w:color w:val="auto"/>
              </w:rPr>
            </w:pPr>
            <w:r>
              <w:rPr>
                <w:rFonts w:ascii="Arial" w:cs="Arial" w:eastAsia="Arial" w:hAnsi="Arial"/>
                <w:sz w:val="13"/>
                <w:szCs w:val="13"/>
                <w:b w:val="1"/>
                <w:bCs w:val="1"/>
                <w:color w:val="auto"/>
                <w:w w:val="94"/>
              </w:rPr>
              <w:t>% Increase</w:t>
            </w:r>
          </w:p>
        </w:tc>
        <w:tc>
          <w:tcPr>
            <w:tcW w:w="108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0"/>
              </w:rPr>
              <w:t>Increase</w:t>
            </w: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Weighted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ind w:right="33"/>
              <w:spacing w:after="0" w:line="148" w:lineRule="exact"/>
              <w:rPr>
                <w:sz w:val="20"/>
                <w:szCs w:val="20"/>
                <w:color w:val="auto"/>
              </w:rPr>
            </w:pPr>
            <w:r>
              <w:rPr>
                <w:rFonts w:ascii="Arial" w:cs="Arial" w:eastAsia="Arial" w:hAnsi="Arial"/>
                <w:sz w:val="13"/>
                <w:szCs w:val="13"/>
                <w:b w:val="1"/>
                <w:bCs w:val="1"/>
                <w:color w:val="auto"/>
                <w:w w:val="93"/>
              </w:rPr>
              <w:t>Tenant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9"/>
              <w:spacing w:after="0" w:line="148"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5"/>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280"/>
              <w:spacing w:after="0" w:line="148" w:lineRule="exact"/>
              <w:rPr>
                <w:sz w:val="20"/>
                <w:szCs w:val="20"/>
                <w:color w:val="auto"/>
              </w:rPr>
            </w:pPr>
            <w:r>
              <w:rPr>
                <w:rFonts w:ascii="Arial" w:cs="Arial" w:eastAsia="Arial" w:hAnsi="Arial"/>
                <w:sz w:val="13"/>
                <w:szCs w:val="13"/>
                <w:b w:val="1"/>
                <w:bCs w:val="1"/>
                <w:color w:val="auto"/>
                <w:w w:val="96"/>
              </w:rPr>
              <w:t>% of Total</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6"/>
              <w:spacing w:after="0" w:line="148" w:lineRule="exact"/>
              <w:rPr>
                <w:sz w:val="20"/>
                <w:szCs w:val="20"/>
                <w:color w:val="auto"/>
              </w:rPr>
            </w:pPr>
            <w:r>
              <w:rPr>
                <w:rFonts w:ascii="Arial" w:cs="Arial" w:eastAsia="Arial" w:hAnsi="Arial"/>
                <w:sz w:val="13"/>
                <w:szCs w:val="13"/>
                <w:b w:val="1"/>
                <w:bCs w:val="1"/>
                <w:color w:val="auto"/>
                <w:w w:val="94"/>
              </w:rPr>
              <w:t>Rent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Per Sq.</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Increase in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280"/>
              <w:spacing w:after="0" w:line="148" w:lineRule="exact"/>
              <w:rPr>
                <w:sz w:val="20"/>
                <w:szCs w:val="20"/>
                <w:color w:val="auto"/>
              </w:rPr>
            </w:pPr>
            <w:r>
              <w:rPr>
                <w:rFonts w:ascii="Arial" w:cs="Arial" w:eastAsia="Arial" w:hAnsi="Arial"/>
                <w:sz w:val="13"/>
                <w:szCs w:val="13"/>
                <w:b w:val="1"/>
                <w:bCs w:val="1"/>
                <w:color w:val="auto"/>
              </w:rPr>
              <w:t>Over Prior</w:t>
            </w:r>
          </w:p>
        </w:tc>
        <w:tc>
          <w:tcPr>
            <w:tcW w:w="108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rPr>
              <w:t>Over Prior</w:t>
            </w: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Average Lease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3"/>
              <w:spacing w:after="0" w:line="148" w:lineRule="exact"/>
              <w:rPr>
                <w:sz w:val="20"/>
                <w:szCs w:val="20"/>
                <w:color w:val="auto"/>
              </w:rPr>
            </w:pPr>
            <w:r>
              <w:rPr>
                <w:rFonts w:ascii="Arial" w:cs="Arial" w:eastAsia="Arial" w:hAnsi="Arial"/>
                <w:sz w:val="13"/>
                <w:szCs w:val="13"/>
                <w:b w:val="1"/>
                <w:bCs w:val="1"/>
                <w:color w:val="auto"/>
                <w:w w:val="92"/>
              </w:rPr>
              <w:t>Improvements</w:t>
            </w:r>
          </w:p>
        </w:tc>
        <w:tc>
          <w:tcPr>
            <w:tcW w:w="140" w:type="dxa"/>
            <w:vAlign w:val="bottom"/>
          </w:tcPr>
          <w:p>
            <w:pPr>
              <w:spacing w:after="0"/>
              <w:rPr>
                <w:sz w:val="12"/>
                <w:szCs w:val="12"/>
                <w:color w:val="auto"/>
              </w:rPr>
            </w:pPr>
          </w:p>
        </w:tc>
        <w:tc>
          <w:tcPr>
            <w:tcW w:w="84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73"/>
        </w:trPr>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Leases Signed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7"/>
              </w:rPr>
              <w:t>Leases Signed</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GLA Signed</w:t>
            </w: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120"/>
              <w:spacing w:after="0"/>
              <w:rPr>
                <w:sz w:val="20"/>
                <w:szCs w:val="20"/>
                <w:color w:val="auto"/>
              </w:rPr>
            </w:pPr>
            <w:r>
              <w:rPr>
                <w:rFonts w:ascii="Arial" w:cs="Arial" w:eastAsia="Arial" w:hAnsi="Arial"/>
                <w:sz w:val="13"/>
                <w:szCs w:val="13"/>
                <w:b w:val="1"/>
                <w:bCs w:val="1"/>
                <w:color w:val="auto"/>
              </w:rPr>
              <w:t>Ft.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9"/>
              </w:rPr>
              <w:t>Rent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6"/>
              </w:rPr>
              <w:t>Rent</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Rent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Term (5)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3"/>
              <w:spacing w:after="0"/>
              <w:rPr>
                <w:sz w:val="20"/>
                <w:szCs w:val="20"/>
                <w:color w:val="auto"/>
              </w:rPr>
            </w:pPr>
            <w:r>
              <w:rPr>
                <w:rFonts w:ascii="Arial" w:cs="Arial" w:eastAsia="Arial" w:hAnsi="Arial"/>
                <w:sz w:val="13"/>
                <w:szCs w:val="13"/>
                <w:b w:val="1"/>
                <w:bCs w:val="1"/>
                <w:color w:val="auto"/>
              </w:rPr>
              <w:t>(6)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94"/>
        </w:trPr>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2nd</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Quarter</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5"/>
              </w:rPr>
              <w:t>2004</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63%</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219,919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18.35</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544,693</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529,924</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06"/>
        </w:trPr>
        <w:tc>
          <w:tcPr>
            <w:tcW w:w="940" w:type="dxa"/>
            <w:vAlign w:val="bottom"/>
            <w:gridSpan w:val="2"/>
          </w:tcPr>
          <w:p>
            <w:pPr>
              <w:spacing w:after="0"/>
              <w:rPr>
                <w:sz w:val="20"/>
                <w:szCs w:val="20"/>
                <w:color w:val="auto"/>
              </w:rPr>
            </w:pPr>
            <w:r>
              <w:rPr>
                <w:rFonts w:ascii="Arial" w:cs="Arial" w:eastAsia="Arial" w:hAnsi="Arial"/>
                <w:sz w:val="17"/>
                <w:szCs w:val="17"/>
                <w:color w:val="auto"/>
              </w:rPr>
              <w:t>1st Quarter</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0" w:type="dxa"/>
            <w:vAlign w:val="bottom"/>
          </w:tcPr>
          <w:p>
            <w:pPr>
              <w:ind w:left="220"/>
              <w:spacing w:after="0"/>
              <w:rPr>
                <w:sz w:val="20"/>
                <w:szCs w:val="20"/>
                <w:color w:val="auto"/>
              </w:rPr>
            </w:pPr>
            <w:r>
              <w:rPr>
                <w:rFonts w:ascii="Arial" w:cs="Arial" w:eastAsia="Arial" w:hAnsi="Arial"/>
                <w:sz w:val="17"/>
                <w:szCs w:val="17"/>
                <w:color w:val="auto"/>
                <w:w w:val="95"/>
              </w:rPr>
              <w:t>2004</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32</w:t>
            </w:r>
          </w:p>
        </w:tc>
        <w:tc>
          <w:tcPr>
            <w:tcW w:w="1200" w:type="dxa"/>
            <w:vAlign w:val="bottom"/>
            <w:gridSpan w:val="4"/>
          </w:tcPr>
          <w:p>
            <w:pPr>
              <w:jc w:val="right"/>
              <w:ind w:right="100"/>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102,220</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27.45</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tcPr>
          <w:p>
            <w:pPr>
              <w:ind w:left="120"/>
              <w:spacing w:after="0"/>
              <w:rPr>
                <w:sz w:val="20"/>
                <w:szCs w:val="20"/>
                <w:color w:val="auto"/>
              </w:rPr>
            </w:pPr>
            <w:r>
              <w:rPr>
                <w:rFonts w:ascii="Arial" w:cs="Arial" w:eastAsia="Arial" w:hAnsi="Arial"/>
                <w:sz w:val="17"/>
                <w:szCs w:val="17"/>
                <w:color w:val="auto"/>
                <w:w w:val="84"/>
              </w:rPr>
              <w:t>24.98</w:t>
            </w:r>
          </w:p>
        </w:tc>
        <w:tc>
          <w:tcPr>
            <w:tcW w:w="1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252,272</w:t>
            </w:r>
          </w:p>
        </w:tc>
        <w:tc>
          <w:tcPr>
            <w:tcW w:w="1080" w:type="dxa"/>
            <w:vAlign w:val="bottom"/>
            <w:gridSpan w:val="5"/>
          </w:tcPr>
          <w:p>
            <w:pPr>
              <w:jc w:val="right"/>
              <w:ind w:right="120"/>
              <w:spacing w:after="0"/>
              <w:rPr>
                <w:sz w:val="20"/>
                <w:szCs w:val="20"/>
                <w:color w:val="auto"/>
              </w:rPr>
            </w:pPr>
            <w:r>
              <w:rPr>
                <w:rFonts w:ascii="Arial" w:cs="Arial" w:eastAsia="Arial" w:hAnsi="Arial"/>
                <w:sz w:val="17"/>
                <w:szCs w:val="17"/>
                <w:color w:val="auto"/>
              </w:rPr>
              <w:t>10%</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860" w:type="dxa"/>
            <w:vAlign w:val="bottom"/>
          </w:tcPr>
          <w:p>
            <w:pPr>
              <w:jc w:val="right"/>
              <w:spacing w:after="0"/>
              <w:rPr>
                <w:sz w:val="20"/>
                <w:szCs w:val="20"/>
                <w:color w:val="auto"/>
              </w:rPr>
            </w:pPr>
            <w:r>
              <w:rPr>
                <w:rFonts w:ascii="Arial" w:cs="Arial" w:eastAsia="Arial" w:hAnsi="Arial"/>
                <w:sz w:val="17"/>
                <w:szCs w:val="17"/>
                <w:color w:val="auto"/>
              </w:rPr>
              <w:t>5.7</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70,000</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0.68</w:t>
            </w:r>
          </w:p>
        </w:tc>
        <w:tc>
          <w:tcPr>
            <w:tcW w:w="0" w:type="dxa"/>
            <w:vAlign w:val="bottom"/>
          </w:tcPr>
          <w:p>
            <w:pPr>
              <w:spacing w:after="0"/>
              <w:rPr>
                <w:sz w:val="1"/>
                <w:szCs w:val="1"/>
                <w:color w:val="auto"/>
              </w:rPr>
            </w:pPr>
          </w:p>
        </w:tc>
      </w:tr>
      <w:tr>
        <w:trPr>
          <w:trHeight w:val="207"/>
        </w:trPr>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4th Quarter</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5"/>
              </w:rPr>
              <w:t>2003</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124,683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25.59</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169,950</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47,000</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6"/>
        </w:trPr>
        <w:tc>
          <w:tcPr>
            <w:tcW w:w="940" w:type="dxa"/>
            <w:vAlign w:val="bottom"/>
            <w:gridSpan w:val="2"/>
          </w:tcPr>
          <w:p>
            <w:pPr>
              <w:spacing w:after="0"/>
              <w:rPr>
                <w:sz w:val="20"/>
                <w:szCs w:val="20"/>
                <w:color w:val="auto"/>
              </w:rPr>
            </w:pPr>
            <w:r>
              <w:rPr>
                <w:rFonts w:ascii="Arial" w:cs="Arial" w:eastAsia="Arial" w:hAnsi="Arial"/>
                <w:sz w:val="17"/>
                <w:szCs w:val="17"/>
                <w:color w:val="auto"/>
              </w:rPr>
              <w:t>3rd</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40" w:type="dxa"/>
            <w:vAlign w:val="bottom"/>
            <w:gridSpan w:val="2"/>
          </w:tcPr>
          <w:p>
            <w:pPr>
              <w:ind w:left="220"/>
              <w:spacing w:after="0"/>
              <w:rPr>
                <w:sz w:val="20"/>
                <w:szCs w:val="20"/>
                <w:color w:val="auto"/>
              </w:rPr>
            </w:pPr>
            <w:r>
              <w:rPr>
                <w:rFonts w:ascii="Arial" w:cs="Arial" w:eastAsia="Arial" w:hAnsi="Arial"/>
                <w:sz w:val="17"/>
                <w:szCs w:val="17"/>
                <w:color w:val="auto"/>
              </w:rPr>
              <w:t>Quarter</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 w:type="dxa"/>
            <w:vAlign w:val="bottom"/>
          </w:tcPr>
          <w:p>
            <w:pPr>
              <w:ind w:left="220"/>
              <w:spacing w:after="0"/>
              <w:rPr>
                <w:sz w:val="20"/>
                <w:szCs w:val="20"/>
                <w:color w:val="auto"/>
              </w:rPr>
            </w:pPr>
            <w:r>
              <w:rPr>
                <w:rFonts w:ascii="Arial" w:cs="Arial" w:eastAsia="Arial" w:hAnsi="Arial"/>
                <w:sz w:val="17"/>
                <w:szCs w:val="17"/>
                <w:color w:val="auto"/>
                <w:w w:val="95"/>
              </w:rPr>
              <w:t>2003</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1200" w:type="dxa"/>
            <w:vAlign w:val="bottom"/>
            <w:gridSpan w:val="4"/>
          </w:tcPr>
          <w:p>
            <w:pPr>
              <w:jc w:val="right"/>
              <w:ind w:right="100"/>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189,521</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21.41</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tcPr>
          <w:p>
            <w:pPr>
              <w:ind w:left="120"/>
              <w:spacing w:after="0"/>
              <w:rPr>
                <w:sz w:val="20"/>
                <w:szCs w:val="20"/>
                <w:color w:val="auto"/>
              </w:rPr>
            </w:pPr>
            <w:r>
              <w:rPr>
                <w:rFonts w:ascii="Arial" w:cs="Arial" w:eastAsia="Arial" w:hAnsi="Arial"/>
                <w:sz w:val="17"/>
                <w:szCs w:val="17"/>
                <w:color w:val="auto"/>
                <w:w w:val="84"/>
              </w:rPr>
              <w:t>19.44</w:t>
            </w:r>
          </w:p>
        </w:tc>
        <w:tc>
          <w:tcPr>
            <w:tcW w:w="1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373,441</w:t>
            </w:r>
          </w:p>
        </w:tc>
        <w:tc>
          <w:tcPr>
            <w:tcW w:w="1080" w:type="dxa"/>
            <w:vAlign w:val="bottom"/>
            <w:gridSpan w:val="5"/>
          </w:tcPr>
          <w:p>
            <w:pPr>
              <w:jc w:val="right"/>
              <w:ind w:right="120"/>
              <w:spacing w:after="0"/>
              <w:rPr>
                <w:sz w:val="20"/>
                <w:szCs w:val="20"/>
                <w:color w:val="auto"/>
              </w:rPr>
            </w:pPr>
            <w:r>
              <w:rPr>
                <w:rFonts w:ascii="Arial" w:cs="Arial" w:eastAsia="Arial" w:hAnsi="Arial"/>
                <w:sz w:val="17"/>
                <w:szCs w:val="17"/>
                <w:color w:val="auto"/>
              </w:rPr>
              <w:t>10%</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860" w:type="dxa"/>
            <w:vAlign w:val="bottom"/>
          </w:tcPr>
          <w:p>
            <w:pPr>
              <w:jc w:val="right"/>
              <w:spacing w:after="0"/>
              <w:rPr>
                <w:sz w:val="20"/>
                <w:szCs w:val="20"/>
                <w:color w:val="auto"/>
              </w:rPr>
            </w:pPr>
            <w:r>
              <w:rPr>
                <w:rFonts w:ascii="Arial" w:cs="Arial" w:eastAsia="Arial" w:hAnsi="Arial"/>
                <w:sz w:val="17"/>
                <w:szCs w:val="17"/>
                <w:color w:val="auto"/>
              </w:rPr>
              <w:t>5.0</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536,173</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109"/>
        </w:trPr>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- 12</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months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56%</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636,343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21.16</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1,340,356</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1,183,097</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131"/>
        </w:trPr>
        <w:tc>
          <w:tcPr>
            <w:tcW w:w="940" w:type="dxa"/>
            <w:vAlign w:val="bottom"/>
            <w:gridSpan w:val="2"/>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2"/>
        </w:trPr>
        <w:tc>
          <w:tcPr>
            <w:tcW w:w="29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w w:val="93"/>
              </w:rPr>
              <w:t>Total Lease Summary - Comparable (2)</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Straight-lined</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8"/>
              </w:rPr>
              <w:t>Prior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300"/>
              <w:spacing w:after="0" w:line="148" w:lineRule="exact"/>
              <w:rPr>
                <w:sz w:val="20"/>
                <w:szCs w:val="20"/>
                <w:color w:val="auto"/>
              </w:rPr>
            </w:pPr>
            <w:r>
              <w:rPr>
                <w:rFonts w:ascii="Arial" w:cs="Arial" w:eastAsia="Arial" w:hAnsi="Arial"/>
                <w:sz w:val="13"/>
                <w:szCs w:val="13"/>
                <w:b w:val="1"/>
                <w:bCs w:val="1"/>
                <w:color w:val="auto"/>
                <w:w w:val="88"/>
              </w:rPr>
              <w:t>Cash Basis</w:t>
            </w: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2"/>
              </w:rPr>
              <w:t>Basis %</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4"/>
              </w:rPr>
              <w:t>Contractual</w:t>
            </w:r>
          </w:p>
        </w:tc>
        <w:tc>
          <w:tcPr>
            <w:tcW w:w="140" w:type="dxa"/>
            <w:vAlign w:val="bottom"/>
          </w:tcPr>
          <w:p>
            <w:pPr>
              <w:spacing w:after="0"/>
              <w:rPr>
                <w:sz w:val="12"/>
                <w:szCs w:val="12"/>
                <w:color w:val="auto"/>
              </w:rPr>
            </w:pPr>
          </w:p>
        </w:tc>
        <w:tc>
          <w:tcPr>
            <w:tcW w:w="740" w:type="dxa"/>
            <w:vAlign w:val="bottom"/>
            <w:gridSpan w:val="3"/>
          </w:tcPr>
          <w:p>
            <w:pPr>
              <w:jc w:val="center"/>
              <w:ind w:right="120"/>
              <w:spacing w:after="0" w:line="148" w:lineRule="exact"/>
              <w:rPr>
                <w:sz w:val="20"/>
                <w:szCs w:val="20"/>
                <w:color w:val="auto"/>
              </w:rPr>
            </w:pPr>
            <w:r>
              <w:rPr>
                <w:rFonts w:ascii="Arial" w:cs="Arial" w:eastAsia="Arial" w:hAnsi="Arial"/>
                <w:sz w:val="13"/>
                <w:szCs w:val="13"/>
                <w:b w:val="1"/>
                <w:bCs w:val="1"/>
                <w:color w:val="auto"/>
                <w:w w:val="94"/>
              </w:rPr>
              <w:t>Rent (4)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Annual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280"/>
              <w:spacing w:after="0" w:line="148" w:lineRule="exact"/>
              <w:rPr>
                <w:sz w:val="20"/>
                <w:szCs w:val="20"/>
                <w:color w:val="auto"/>
              </w:rPr>
            </w:pPr>
            <w:r>
              <w:rPr>
                <w:rFonts w:ascii="Arial" w:cs="Arial" w:eastAsia="Arial" w:hAnsi="Arial"/>
                <w:sz w:val="13"/>
                <w:szCs w:val="13"/>
                <w:b w:val="1"/>
                <w:bCs w:val="1"/>
                <w:color w:val="auto"/>
                <w:w w:val="94"/>
              </w:rPr>
              <w:t>% Increase</w:t>
            </w:r>
          </w:p>
        </w:tc>
        <w:tc>
          <w:tcPr>
            <w:tcW w:w="108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0"/>
              </w:rPr>
              <w:t>Increase</w:t>
            </w: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Weighted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ind w:right="33"/>
              <w:spacing w:after="0" w:line="148" w:lineRule="exact"/>
              <w:rPr>
                <w:sz w:val="20"/>
                <w:szCs w:val="20"/>
                <w:color w:val="auto"/>
              </w:rPr>
            </w:pPr>
            <w:r>
              <w:rPr>
                <w:rFonts w:ascii="Arial" w:cs="Arial" w:eastAsia="Arial" w:hAnsi="Arial"/>
                <w:sz w:val="13"/>
                <w:szCs w:val="13"/>
                <w:b w:val="1"/>
                <w:bCs w:val="1"/>
                <w:color w:val="auto"/>
                <w:w w:val="93"/>
              </w:rPr>
              <w:t>Tenant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9"/>
              <w:spacing w:after="0" w:line="148"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5"/>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280"/>
              <w:spacing w:after="0" w:line="148" w:lineRule="exact"/>
              <w:rPr>
                <w:sz w:val="20"/>
                <w:szCs w:val="20"/>
                <w:color w:val="auto"/>
              </w:rPr>
            </w:pPr>
            <w:r>
              <w:rPr>
                <w:rFonts w:ascii="Arial" w:cs="Arial" w:eastAsia="Arial" w:hAnsi="Arial"/>
                <w:sz w:val="13"/>
                <w:szCs w:val="13"/>
                <w:b w:val="1"/>
                <w:bCs w:val="1"/>
                <w:color w:val="auto"/>
                <w:w w:val="96"/>
              </w:rPr>
              <w:t>% of Total</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6"/>
              <w:spacing w:after="0" w:line="148" w:lineRule="exact"/>
              <w:rPr>
                <w:sz w:val="20"/>
                <w:szCs w:val="20"/>
                <w:color w:val="auto"/>
              </w:rPr>
            </w:pPr>
            <w:r>
              <w:rPr>
                <w:rFonts w:ascii="Arial" w:cs="Arial" w:eastAsia="Arial" w:hAnsi="Arial"/>
                <w:sz w:val="13"/>
                <w:szCs w:val="13"/>
                <w:b w:val="1"/>
                <w:bCs w:val="1"/>
                <w:color w:val="auto"/>
                <w:w w:val="94"/>
              </w:rPr>
              <w:t>Rent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Per Sq.</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Increase in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280"/>
              <w:spacing w:after="0" w:line="148" w:lineRule="exact"/>
              <w:rPr>
                <w:sz w:val="20"/>
                <w:szCs w:val="20"/>
                <w:color w:val="auto"/>
              </w:rPr>
            </w:pPr>
            <w:r>
              <w:rPr>
                <w:rFonts w:ascii="Arial" w:cs="Arial" w:eastAsia="Arial" w:hAnsi="Arial"/>
                <w:sz w:val="13"/>
                <w:szCs w:val="13"/>
                <w:b w:val="1"/>
                <w:bCs w:val="1"/>
                <w:color w:val="auto"/>
              </w:rPr>
              <w:t>Over Prior</w:t>
            </w:r>
          </w:p>
        </w:tc>
        <w:tc>
          <w:tcPr>
            <w:tcW w:w="108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rPr>
              <w:t>Over Prior</w:t>
            </w: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Average Lease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3"/>
              <w:spacing w:after="0" w:line="148" w:lineRule="exact"/>
              <w:rPr>
                <w:sz w:val="20"/>
                <w:szCs w:val="20"/>
                <w:color w:val="auto"/>
              </w:rPr>
            </w:pPr>
            <w:r>
              <w:rPr>
                <w:rFonts w:ascii="Arial" w:cs="Arial" w:eastAsia="Arial" w:hAnsi="Arial"/>
                <w:sz w:val="13"/>
                <w:szCs w:val="13"/>
                <w:b w:val="1"/>
                <w:bCs w:val="1"/>
                <w:color w:val="auto"/>
                <w:w w:val="92"/>
              </w:rPr>
              <w:t>Improvements</w:t>
            </w:r>
          </w:p>
        </w:tc>
        <w:tc>
          <w:tcPr>
            <w:tcW w:w="140" w:type="dxa"/>
            <w:vAlign w:val="bottom"/>
          </w:tcPr>
          <w:p>
            <w:pPr>
              <w:spacing w:after="0"/>
              <w:rPr>
                <w:sz w:val="12"/>
                <w:szCs w:val="12"/>
                <w:color w:val="auto"/>
              </w:rPr>
            </w:pPr>
          </w:p>
        </w:tc>
        <w:tc>
          <w:tcPr>
            <w:tcW w:w="84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73"/>
        </w:trPr>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Leases Signed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7"/>
              </w:rPr>
              <w:t>Leases Signed</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GLA Signed</w:t>
            </w: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120"/>
              <w:spacing w:after="0"/>
              <w:rPr>
                <w:sz w:val="20"/>
                <w:szCs w:val="20"/>
                <w:color w:val="auto"/>
              </w:rPr>
            </w:pPr>
            <w:r>
              <w:rPr>
                <w:rFonts w:ascii="Arial" w:cs="Arial" w:eastAsia="Arial" w:hAnsi="Arial"/>
                <w:sz w:val="13"/>
                <w:szCs w:val="13"/>
                <w:b w:val="1"/>
                <w:bCs w:val="1"/>
                <w:color w:val="auto"/>
              </w:rPr>
              <w:t>Ft.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9"/>
              </w:rPr>
              <w:t>Rent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6"/>
              </w:rPr>
              <w:t>Rent</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Rent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Term (5)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3"/>
              <w:spacing w:after="0"/>
              <w:rPr>
                <w:sz w:val="20"/>
                <w:szCs w:val="20"/>
                <w:color w:val="auto"/>
              </w:rPr>
            </w:pPr>
            <w:r>
              <w:rPr>
                <w:rFonts w:ascii="Arial" w:cs="Arial" w:eastAsia="Arial" w:hAnsi="Arial"/>
                <w:sz w:val="13"/>
                <w:szCs w:val="13"/>
                <w:b w:val="1"/>
                <w:bCs w:val="1"/>
                <w:color w:val="auto"/>
              </w:rPr>
              <w:t>(6)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94"/>
        </w:trPr>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2nd</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Quarter</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5"/>
              </w:rPr>
              <w:t>2004</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481,105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17.47</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1,162,429</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4,224,780</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06"/>
        </w:trPr>
        <w:tc>
          <w:tcPr>
            <w:tcW w:w="940" w:type="dxa"/>
            <w:vAlign w:val="bottom"/>
            <w:gridSpan w:val="2"/>
          </w:tcPr>
          <w:p>
            <w:pPr>
              <w:spacing w:after="0"/>
              <w:rPr>
                <w:sz w:val="20"/>
                <w:szCs w:val="20"/>
                <w:color w:val="auto"/>
              </w:rPr>
            </w:pPr>
            <w:r>
              <w:rPr>
                <w:rFonts w:ascii="Arial" w:cs="Arial" w:eastAsia="Arial" w:hAnsi="Arial"/>
                <w:sz w:val="17"/>
                <w:szCs w:val="17"/>
                <w:color w:val="auto"/>
              </w:rPr>
              <w:t>1st Quarter</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0" w:type="dxa"/>
            <w:vAlign w:val="bottom"/>
          </w:tcPr>
          <w:p>
            <w:pPr>
              <w:ind w:left="220"/>
              <w:spacing w:after="0"/>
              <w:rPr>
                <w:sz w:val="20"/>
                <w:szCs w:val="20"/>
                <w:color w:val="auto"/>
              </w:rPr>
            </w:pPr>
            <w:r>
              <w:rPr>
                <w:rFonts w:ascii="Arial" w:cs="Arial" w:eastAsia="Arial" w:hAnsi="Arial"/>
                <w:sz w:val="17"/>
                <w:szCs w:val="17"/>
                <w:color w:val="auto"/>
                <w:w w:val="95"/>
              </w:rPr>
              <w:t>2004</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1200" w:type="dxa"/>
            <w:vAlign w:val="bottom"/>
            <w:gridSpan w:val="4"/>
          </w:tcPr>
          <w:p>
            <w:pPr>
              <w:jc w:val="right"/>
              <w:ind w:right="10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375,055</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21.98</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tcPr>
          <w:p>
            <w:pPr>
              <w:ind w:left="120"/>
              <w:spacing w:after="0"/>
              <w:rPr>
                <w:sz w:val="20"/>
                <w:szCs w:val="20"/>
                <w:color w:val="auto"/>
              </w:rPr>
            </w:pPr>
            <w:r>
              <w:rPr>
                <w:rFonts w:ascii="Arial" w:cs="Arial" w:eastAsia="Arial" w:hAnsi="Arial"/>
                <w:sz w:val="17"/>
                <w:szCs w:val="17"/>
                <w:color w:val="auto"/>
                <w:w w:val="84"/>
              </w:rPr>
              <w:t>18.78</w:t>
            </w:r>
          </w:p>
        </w:tc>
        <w:tc>
          <w:tcPr>
            <w:tcW w:w="1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1,200,335</w:t>
            </w:r>
          </w:p>
        </w:tc>
        <w:tc>
          <w:tcPr>
            <w:tcW w:w="1080" w:type="dxa"/>
            <w:vAlign w:val="bottom"/>
            <w:gridSpan w:val="5"/>
          </w:tcPr>
          <w:p>
            <w:pPr>
              <w:jc w:val="right"/>
              <w:ind w:right="120"/>
              <w:spacing w:after="0"/>
              <w:rPr>
                <w:sz w:val="20"/>
                <w:szCs w:val="20"/>
                <w:color w:val="auto"/>
              </w:rPr>
            </w:pPr>
            <w:r>
              <w:rPr>
                <w:rFonts w:ascii="Arial" w:cs="Arial" w:eastAsia="Arial" w:hAnsi="Arial"/>
                <w:sz w:val="17"/>
                <w:szCs w:val="17"/>
                <w:color w:val="auto"/>
              </w:rPr>
              <w:t>17%</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27%</w:t>
            </w:r>
          </w:p>
        </w:tc>
        <w:tc>
          <w:tcPr>
            <w:tcW w:w="860" w:type="dxa"/>
            <w:vAlign w:val="bottom"/>
          </w:tcPr>
          <w:p>
            <w:pPr>
              <w:jc w:val="right"/>
              <w:spacing w:after="0"/>
              <w:rPr>
                <w:sz w:val="20"/>
                <w:szCs w:val="20"/>
                <w:color w:val="auto"/>
              </w:rPr>
            </w:pPr>
            <w:r>
              <w:rPr>
                <w:rFonts w:ascii="Arial" w:cs="Arial" w:eastAsia="Arial" w:hAnsi="Arial"/>
                <w:sz w:val="17"/>
                <w:szCs w:val="17"/>
                <w:color w:val="auto"/>
              </w:rPr>
              <w:t>8.5</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2,824,080</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7.53</w:t>
            </w:r>
          </w:p>
        </w:tc>
        <w:tc>
          <w:tcPr>
            <w:tcW w:w="0" w:type="dxa"/>
            <w:vAlign w:val="bottom"/>
          </w:tcPr>
          <w:p>
            <w:pPr>
              <w:spacing w:after="0"/>
              <w:rPr>
                <w:sz w:val="1"/>
                <w:szCs w:val="1"/>
                <w:color w:val="auto"/>
              </w:rPr>
            </w:pPr>
          </w:p>
        </w:tc>
      </w:tr>
      <w:tr>
        <w:trPr>
          <w:trHeight w:val="207"/>
        </w:trPr>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4th Quarter</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5"/>
              </w:rPr>
              <w:t>2003</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249,016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22.24</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793,940</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3,747,718</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0" w:type="dxa"/>
            <w:vAlign w:val="bottom"/>
          </w:tcPr>
          <w:p>
            <w:pPr>
              <w:spacing w:after="0"/>
              <w:rPr>
                <w:sz w:val="1"/>
                <w:szCs w:val="1"/>
                <w:color w:val="auto"/>
              </w:rPr>
            </w:pPr>
          </w:p>
        </w:tc>
      </w:tr>
      <w:tr>
        <w:trPr>
          <w:trHeight w:val="206"/>
        </w:trPr>
        <w:tc>
          <w:tcPr>
            <w:tcW w:w="940" w:type="dxa"/>
            <w:vAlign w:val="bottom"/>
            <w:gridSpan w:val="2"/>
          </w:tcPr>
          <w:p>
            <w:pPr>
              <w:spacing w:after="0"/>
              <w:rPr>
                <w:sz w:val="20"/>
                <w:szCs w:val="20"/>
                <w:color w:val="auto"/>
              </w:rPr>
            </w:pPr>
            <w:r>
              <w:rPr>
                <w:rFonts w:ascii="Arial" w:cs="Arial" w:eastAsia="Arial" w:hAnsi="Arial"/>
                <w:sz w:val="17"/>
                <w:szCs w:val="17"/>
                <w:color w:val="auto"/>
              </w:rPr>
              <w:t>3rd</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40" w:type="dxa"/>
            <w:vAlign w:val="bottom"/>
            <w:gridSpan w:val="2"/>
          </w:tcPr>
          <w:p>
            <w:pPr>
              <w:ind w:left="220"/>
              <w:spacing w:after="0"/>
              <w:rPr>
                <w:sz w:val="20"/>
                <w:szCs w:val="20"/>
                <w:color w:val="auto"/>
              </w:rPr>
            </w:pPr>
            <w:r>
              <w:rPr>
                <w:rFonts w:ascii="Arial" w:cs="Arial" w:eastAsia="Arial" w:hAnsi="Arial"/>
                <w:sz w:val="17"/>
                <w:szCs w:val="17"/>
                <w:color w:val="auto"/>
              </w:rPr>
              <w:t>Quarter</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 w:type="dxa"/>
            <w:vAlign w:val="bottom"/>
          </w:tcPr>
          <w:p>
            <w:pPr>
              <w:ind w:left="220"/>
              <w:spacing w:after="0"/>
              <w:rPr>
                <w:sz w:val="20"/>
                <w:szCs w:val="20"/>
                <w:color w:val="auto"/>
              </w:rPr>
            </w:pPr>
            <w:r>
              <w:rPr>
                <w:rFonts w:ascii="Arial" w:cs="Arial" w:eastAsia="Arial" w:hAnsi="Arial"/>
                <w:sz w:val="17"/>
                <w:szCs w:val="17"/>
                <w:color w:val="auto"/>
                <w:w w:val="95"/>
              </w:rPr>
              <w:t>2003</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73</w:t>
            </w:r>
          </w:p>
        </w:tc>
        <w:tc>
          <w:tcPr>
            <w:tcW w:w="1200" w:type="dxa"/>
            <w:vAlign w:val="bottom"/>
            <w:gridSpan w:val="4"/>
          </w:tcPr>
          <w:p>
            <w:pPr>
              <w:jc w:val="right"/>
              <w:ind w:right="10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407,828</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17.56</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tcPr>
          <w:p>
            <w:pPr>
              <w:ind w:left="120"/>
              <w:spacing w:after="0"/>
              <w:rPr>
                <w:sz w:val="20"/>
                <w:szCs w:val="20"/>
                <w:color w:val="auto"/>
              </w:rPr>
            </w:pPr>
            <w:r>
              <w:rPr>
                <w:rFonts w:ascii="Arial" w:cs="Arial" w:eastAsia="Arial" w:hAnsi="Arial"/>
                <w:sz w:val="17"/>
                <w:szCs w:val="17"/>
                <w:color w:val="auto"/>
                <w:w w:val="84"/>
              </w:rPr>
              <w:t>15.36</w:t>
            </w:r>
          </w:p>
        </w:tc>
        <w:tc>
          <w:tcPr>
            <w:tcW w:w="1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896,306</w:t>
            </w:r>
          </w:p>
        </w:tc>
        <w:tc>
          <w:tcPr>
            <w:tcW w:w="1080" w:type="dxa"/>
            <w:vAlign w:val="bottom"/>
            <w:gridSpan w:val="5"/>
          </w:tcPr>
          <w:p>
            <w:pPr>
              <w:jc w:val="right"/>
              <w:ind w:right="120"/>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860" w:type="dxa"/>
            <w:vAlign w:val="bottom"/>
          </w:tcPr>
          <w:p>
            <w:pPr>
              <w:jc w:val="right"/>
              <w:spacing w:after="0"/>
              <w:rPr>
                <w:sz w:val="20"/>
                <w:szCs w:val="20"/>
                <w:color w:val="auto"/>
              </w:rPr>
            </w:pPr>
            <w:r>
              <w:rPr>
                <w:rFonts w:ascii="Arial" w:cs="Arial" w:eastAsia="Arial" w:hAnsi="Arial"/>
                <w:sz w:val="17"/>
                <w:szCs w:val="17"/>
                <w:color w:val="auto"/>
              </w:rPr>
              <w:t>7.5</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3,132,941</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109"/>
        </w:trPr>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- 12</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months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1,513,004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18.01</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4,053,010</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13,929,519</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0" w:type="dxa"/>
            <w:vAlign w:val="bottom"/>
          </w:tcPr>
          <w:p>
            <w:pPr>
              <w:spacing w:after="0"/>
              <w:rPr>
                <w:sz w:val="1"/>
                <w:szCs w:val="1"/>
                <w:color w:val="auto"/>
              </w:rPr>
            </w:pPr>
          </w:p>
        </w:tc>
      </w:tr>
      <w:tr>
        <w:trPr>
          <w:trHeight w:val="131"/>
        </w:trPr>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-5819775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-5819775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-5819775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1695450</wp:posOffset>
            </wp:positionH>
            <wp:positionV relativeFrom="paragraph">
              <wp:posOffset>-5819775</wp:posOffset>
            </wp:positionV>
            <wp:extent cx="381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-5819775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-5819775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-5819775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-5819775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-5819775</wp:posOffset>
            </wp:positionV>
            <wp:extent cx="2095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-5819775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-5819775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-5819775</wp:posOffset>
            </wp:positionV>
            <wp:extent cx="2095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-5819775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-5819775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-5819775</wp:posOffset>
            </wp:positionV>
            <wp:extent cx="2095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-5819775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-5819775</wp:posOffset>
            </wp:positionV>
            <wp:extent cx="381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4655820</wp:posOffset>
            </wp:positionH>
            <wp:positionV relativeFrom="paragraph">
              <wp:posOffset>-5819775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-5819775</wp:posOffset>
            </wp:positionV>
            <wp:extent cx="381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-5819775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5344795</wp:posOffset>
            </wp:positionH>
            <wp:positionV relativeFrom="paragraph">
              <wp:posOffset>-5819775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-5819775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-5819775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-5819775</wp:posOffset>
            </wp:positionV>
            <wp:extent cx="2095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-5819775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-5819775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-5819775</wp:posOffset>
            </wp:positionV>
            <wp:extent cx="2095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-2995930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-2995930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-2995930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1695450</wp:posOffset>
            </wp:positionH>
            <wp:positionV relativeFrom="paragraph">
              <wp:posOffset>-2995930</wp:posOffset>
            </wp:positionV>
            <wp:extent cx="381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-2995930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-2995930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-2995930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-2995930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-2995930</wp:posOffset>
            </wp:positionV>
            <wp:extent cx="2095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-2995930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-2995930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-2995930</wp:posOffset>
            </wp:positionV>
            <wp:extent cx="2095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-2995930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-2995930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-2995930</wp:posOffset>
            </wp:positionV>
            <wp:extent cx="2095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-2995930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-2995930</wp:posOffset>
            </wp:positionV>
            <wp:extent cx="381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4655820</wp:posOffset>
            </wp:positionH>
            <wp:positionV relativeFrom="paragraph">
              <wp:posOffset>-2995930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-2995930</wp:posOffset>
            </wp:positionV>
            <wp:extent cx="381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5344795</wp:posOffset>
            </wp:positionH>
            <wp:positionV relativeFrom="paragraph">
              <wp:posOffset>-2995930</wp:posOffset>
            </wp:positionV>
            <wp:extent cx="190944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09445" cy="2984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-171450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-171450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-171450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1695450</wp:posOffset>
            </wp:positionH>
            <wp:positionV relativeFrom="paragraph">
              <wp:posOffset>-171450</wp:posOffset>
            </wp:positionV>
            <wp:extent cx="381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-171450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-171450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-171450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-171450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-171450</wp:posOffset>
            </wp:positionV>
            <wp:extent cx="2095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-171450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-171450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-171450</wp:posOffset>
            </wp:positionV>
            <wp:extent cx="2095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-171450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-171450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-171450</wp:posOffset>
            </wp:positionV>
            <wp:extent cx="2095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-171450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-171450</wp:posOffset>
            </wp:positionV>
            <wp:extent cx="381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4655820</wp:posOffset>
            </wp:positionH>
            <wp:positionV relativeFrom="paragraph">
              <wp:posOffset>-171450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-171450</wp:posOffset>
            </wp:positionV>
            <wp:extent cx="381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-171450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5344795</wp:posOffset>
            </wp:positionH>
            <wp:positionV relativeFrom="paragraph">
              <wp:posOffset>-171450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-171450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-171450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-171450</wp:posOffset>
            </wp:positionV>
            <wp:extent cx="2095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-171450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-171450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-171450</wp:posOffset>
            </wp:positionV>
            <wp:extent cx="2095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86" w:lineRule="exact"/>
        <w:rPr>
          <w:sz w:val="20"/>
          <w:szCs w:val="20"/>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25"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Comparable leases represent those leases signed on spaces for which there was a former tenant.</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paid by the prior tenant in the final 12 months of the term.</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All other leases are categorized as new.</w:t>
      </w:r>
    </w:p>
    <w:p>
      <w:pPr>
        <w:sectPr>
          <w:pgSz w:w="11900" w:h="16838" w:orient="portrait"/>
          <w:cols w:equalWidth="0" w:num="1">
            <w:col w:w="11420"/>
          </w:cols>
          <w:pgMar w:left="240" w:top="272" w:right="239" w:bottom="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 - Non-Comparable Basis (cash, non-straight-lined basis)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Non-Comparable (2)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4"/>
              </w:rPr>
              <w:t>Contractual</w:t>
            </w:r>
          </w:p>
        </w:tc>
        <w:tc>
          <w:tcPr>
            <w:tcW w:w="5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39"/>
              <w:spacing w:after="0"/>
              <w:rPr>
                <w:sz w:val="20"/>
                <w:szCs w:val="20"/>
                <w:color w:val="auto"/>
              </w:rPr>
            </w:pPr>
            <w:r>
              <w:rPr>
                <w:rFonts w:ascii="Arial" w:cs="Arial" w:eastAsia="Arial" w:hAnsi="Arial"/>
                <w:sz w:val="13"/>
                <w:szCs w:val="13"/>
                <w:b w:val="1"/>
                <w:bCs w:val="1"/>
                <w:color w:val="auto"/>
              </w:rPr>
              <w:t>Tenant</w:t>
            </w:r>
          </w:p>
        </w:tc>
      </w:tr>
      <w:tr>
        <w:trPr>
          <w:trHeight w:val="147"/>
        </w:trPr>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gridSpan w:val="4"/>
          </w:tcPr>
          <w:p>
            <w:pPr>
              <w:jc w:val="center"/>
              <w:ind w:right="560"/>
              <w:spacing w:after="0" w:line="148" w:lineRule="exact"/>
              <w:rPr>
                <w:sz w:val="20"/>
                <w:szCs w:val="20"/>
                <w:color w:val="auto"/>
              </w:rPr>
            </w:pPr>
            <w:r>
              <w:rPr>
                <w:rFonts w:ascii="Arial" w:cs="Arial" w:eastAsia="Arial" w:hAnsi="Arial"/>
                <w:sz w:val="13"/>
                <w:szCs w:val="13"/>
                <w:b w:val="1"/>
                <w:bCs w:val="1"/>
                <w:color w:val="auto"/>
                <w:w w:val="95"/>
              </w:rPr>
              <w:t>Number of</w:t>
            </w:r>
          </w:p>
        </w:tc>
        <w:tc>
          <w:tcPr>
            <w:tcW w:w="1500" w:type="dxa"/>
            <w:vAlign w:val="bottom"/>
            <w:gridSpan w:val="3"/>
          </w:tcPr>
          <w:p>
            <w:pPr>
              <w:jc w:val="center"/>
              <w:ind w:right="700"/>
              <w:spacing w:after="0" w:line="148" w:lineRule="exact"/>
              <w:rPr>
                <w:sz w:val="20"/>
                <w:szCs w:val="20"/>
                <w:color w:val="auto"/>
              </w:rPr>
            </w:pPr>
            <w:r>
              <w:rPr>
                <w:rFonts w:ascii="Arial" w:cs="Arial" w:eastAsia="Arial" w:hAnsi="Arial"/>
                <w:sz w:val="13"/>
                <w:szCs w:val="13"/>
                <w:b w:val="1"/>
                <w:bCs w:val="1"/>
                <w:color w:val="auto"/>
                <w:w w:val="96"/>
              </w:rPr>
              <w:t>% of Total</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6"/>
              <w:spacing w:after="0" w:line="148" w:lineRule="exact"/>
              <w:rPr>
                <w:sz w:val="20"/>
                <w:szCs w:val="20"/>
                <w:color w:val="auto"/>
              </w:rPr>
            </w:pPr>
            <w:r>
              <w:rPr>
                <w:rFonts w:ascii="Arial" w:cs="Arial" w:eastAsia="Arial" w:hAnsi="Arial"/>
                <w:sz w:val="13"/>
                <w:szCs w:val="13"/>
                <w:b w:val="1"/>
                <w:bCs w:val="1"/>
                <w:color w:val="auto"/>
                <w:w w:val="94"/>
              </w:rPr>
              <w:t>Rent (3)</w:t>
            </w:r>
          </w:p>
        </w:tc>
        <w:tc>
          <w:tcPr>
            <w:tcW w:w="56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Average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16"/>
              <w:spacing w:after="0" w:line="148" w:lineRule="exact"/>
              <w:rPr>
                <w:sz w:val="20"/>
                <w:szCs w:val="20"/>
                <w:color w:val="auto"/>
              </w:rPr>
            </w:pPr>
            <w:r>
              <w:rPr>
                <w:rFonts w:ascii="Arial" w:cs="Arial" w:eastAsia="Arial" w:hAnsi="Arial"/>
                <w:sz w:val="13"/>
                <w:szCs w:val="13"/>
                <w:b w:val="1"/>
                <w:bCs w:val="1"/>
                <w:color w:val="auto"/>
              </w:rPr>
              <w:t>Tenant</w:t>
            </w:r>
          </w:p>
        </w:tc>
        <w:tc>
          <w:tcPr>
            <w:tcW w:w="560" w:type="dxa"/>
            <w:vAlign w:val="bottom"/>
          </w:tcPr>
          <w:p>
            <w:pPr>
              <w:spacing w:after="0"/>
              <w:rPr>
                <w:sz w:val="12"/>
                <w:szCs w:val="12"/>
                <w:color w:val="auto"/>
              </w:rPr>
            </w:pPr>
          </w:p>
        </w:tc>
        <w:tc>
          <w:tcPr>
            <w:tcW w:w="84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w w:val="89"/>
              </w:rPr>
              <w:t>Improvements</w:t>
            </w:r>
          </w:p>
        </w:tc>
      </w:tr>
      <w:tr>
        <w:trPr>
          <w:trHeight w:val="173"/>
        </w:trPr>
        <w:tc>
          <w:tcPr>
            <w:tcW w:w="212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1380" w:type="dxa"/>
            <w:vAlign w:val="bottom"/>
            <w:gridSpan w:val="4"/>
          </w:tcPr>
          <w:p>
            <w:pPr>
              <w:jc w:val="center"/>
              <w:ind w:right="580"/>
              <w:spacing w:after="0"/>
              <w:rPr>
                <w:sz w:val="20"/>
                <w:szCs w:val="20"/>
                <w:color w:val="auto"/>
              </w:rPr>
            </w:pPr>
            <w:r>
              <w:rPr>
                <w:rFonts w:ascii="Arial" w:cs="Arial" w:eastAsia="Arial" w:hAnsi="Arial"/>
                <w:sz w:val="13"/>
                <w:szCs w:val="13"/>
                <w:b w:val="1"/>
                <w:bCs w:val="1"/>
                <w:color w:val="auto"/>
                <w:w w:val="87"/>
              </w:rPr>
              <w:t>Leases Signed</w:t>
            </w:r>
          </w:p>
        </w:tc>
        <w:tc>
          <w:tcPr>
            <w:tcW w:w="150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87"/>
              </w:rPr>
              <w:t>Leases Signed</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4"/>
              </w:rPr>
              <w:t>GLA Signed</w:t>
            </w:r>
          </w:p>
        </w:tc>
        <w:tc>
          <w:tcPr>
            <w:tcW w:w="5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Per Sq. Ft.</w:t>
            </w:r>
          </w:p>
        </w:tc>
        <w:tc>
          <w:tcPr>
            <w:tcW w:w="5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Lease Term (4)</w:t>
            </w:r>
          </w:p>
        </w:tc>
        <w:tc>
          <w:tcPr>
            <w:tcW w:w="5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92"/>
              </w:rPr>
              <w:t>Improvements (5)</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9"/>
              <w:spacing w:after="0"/>
              <w:rPr>
                <w:sz w:val="20"/>
                <w:szCs w:val="20"/>
                <w:color w:val="auto"/>
              </w:rPr>
            </w:pPr>
            <w:r>
              <w:rPr>
                <w:rFonts w:ascii="Arial" w:cs="Arial" w:eastAsia="Arial" w:hAnsi="Arial"/>
                <w:sz w:val="13"/>
                <w:szCs w:val="13"/>
                <w:b w:val="1"/>
                <w:bCs w:val="1"/>
                <w:color w:val="auto"/>
                <w:w w:val="96"/>
              </w:rPr>
              <w:t>Per Sq. Ft.</w:t>
            </w:r>
          </w:p>
        </w:tc>
      </w:tr>
      <w:tr>
        <w:trPr>
          <w:trHeight w:val="94"/>
        </w:trPr>
        <w:tc>
          <w:tcPr>
            <w:tcW w:w="5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101"/>
        </w:trPr>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14"/>
        </w:trPr>
        <w:tc>
          <w:tcPr>
            <w:tcW w:w="2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2nd Quarter 2004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14,816</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196,052</w:t>
            </w:r>
          </w:p>
        </w:tc>
        <w:tc>
          <w:tcPr>
            <w:tcW w:w="660" w:type="dxa"/>
            <w:vAlign w:val="bottom"/>
            <w:gridSpan w:val="3"/>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w:t>
            </w:r>
          </w:p>
        </w:tc>
      </w:tr>
      <w:tr>
        <w:trPr>
          <w:trHeight w:val="214"/>
        </w:trPr>
        <w:tc>
          <w:tcPr>
            <w:tcW w:w="2120" w:type="dxa"/>
            <w:vAlign w:val="bottom"/>
            <w:gridSpan w:val="3"/>
          </w:tcPr>
          <w:p>
            <w:pPr>
              <w:spacing w:after="0"/>
              <w:rPr>
                <w:sz w:val="20"/>
                <w:szCs w:val="20"/>
                <w:color w:val="auto"/>
              </w:rPr>
            </w:pPr>
            <w:r>
              <w:rPr>
                <w:rFonts w:ascii="Arial" w:cs="Arial" w:eastAsia="Arial" w:hAnsi="Arial"/>
                <w:sz w:val="17"/>
                <w:szCs w:val="17"/>
                <w:color w:val="auto"/>
              </w:rPr>
              <w:t>1st Quarter 2004</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78,843</w:t>
            </w:r>
          </w:p>
        </w:tc>
        <w:tc>
          <w:tcPr>
            <w:tcW w:w="660" w:type="dxa"/>
            <w:vAlign w:val="bottom"/>
            <w:gridSpan w:val="2"/>
          </w:tcPr>
          <w:p>
            <w:pPr>
              <w:ind w:left="56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24.69</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13.7</w:t>
            </w:r>
          </w:p>
        </w:tc>
        <w:tc>
          <w:tcPr>
            <w:tcW w:w="7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25,000</w:t>
            </w:r>
          </w:p>
        </w:tc>
        <w:tc>
          <w:tcPr>
            <w:tcW w:w="660" w:type="dxa"/>
            <w:vAlign w:val="bottom"/>
            <w:gridSpan w:val="3"/>
          </w:tcPr>
          <w:p>
            <w:pPr>
              <w:ind w:left="5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0.32</w:t>
            </w:r>
          </w:p>
        </w:tc>
      </w:tr>
      <w:tr>
        <w:trPr>
          <w:trHeight w:val="214"/>
        </w:trPr>
        <w:tc>
          <w:tcPr>
            <w:tcW w:w="2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4th Quarter 2003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84,425</w:t>
            </w:r>
          </w:p>
        </w:tc>
        <w:tc>
          <w:tcPr>
            <w:tcW w:w="660" w:type="dxa"/>
            <w:vAlign w:val="bottom"/>
            <w:gridSpan w:val="3"/>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21"/>
        </w:trPr>
        <w:tc>
          <w:tcPr>
            <w:tcW w:w="2120" w:type="dxa"/>
            <w:vAlign w:val="bottom"/>
            <w:gridSpan w:val="3"/>
          </w:tcPr>
          <w:p>
            <w:pPr>
              <w:spacing w:after="0"/>
              <w:rPr>
                <w:sz w:val="20"/>
                <w:szCs w:val="20"/>
                <w:color w:val="auto"/>
              </w:rPr>
            </w:pPr>
            <w:r>
              <w:rPr>
                <w:rFonts w:ascii="Arial" w:cs="Arial" w:eastAsia="Arial" w:hAnsi="Arial"/>
                <w:sz w:val="17"/>
                <w:szCs w:val="17"/>
                <w:color w:val="auto"/>
              </w:rPr>
              <w:t>3rd Quarter 2003</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85,426</w:t>
            </w:r>
          </w:p>
        </w:tc>
        <w:tc>
          <w:tcPr>
            <w:tcW w:w="660" w:type="dxa"/>
            <w:vAlign w:val="bottom"/>
            <w:gridSpan w:val="2"/>
          </w:tcPr>
          <w:p>
            <w:pPr>
              <w:ind w:left="56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24.59</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17.3</w:t>
            </w:r>
          </w:p>
        </w:tc>
        <w:tc>
          <w:tcPr>
            <w:tcW w:w="7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50,000</w:t>
            </w:r>
          </w:p>
        </w:tc>
        <w:tc>
          <w:tcPr>
            <w:tcW w:w="660" w:type="dxa"/>
            <w:vAlign w:val="bottom"/>
            <w:gridSpan w:val="3"/>
          </w:tcPr>
          <w:p>
            <w:pPr>
              <w:ind w:left="5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0.59</w:t>
            </w:r>
          </w:p>
        </w:tc>
      </w:tr>
      <w:tr>
        <w:trPr>
          <w:trHeight w:val="100"/>
        </w:trPr>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101"/>
        </w:trPr>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14"/>
        </w:trPr>
        <w:tc>
          <w:tcPr>
            <w:tcW w:w="2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-12 months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200,952</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355,477</w:t>
            </w:r>
          </w:p>
        </w:tc>
        <w:tc>
          <w:tcPr>
            <w:tcW w:w="660" w:type="dxa"/>
            <w:vAlign w:val="bottom"/>
            <w:gridSpan w:val="3"/>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131"/>
        </w:trPr>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211"/>
        </w:trPr>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-171450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-171450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-171450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-171450</wp:posOffset>
            </wp:positionV>
            <wp:extent cx="381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-171450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-171450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-171450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-171450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-171450</wp:posOffset>
            </wp:positionV>
            <wp:extent cx="2095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5344795</wp:posOffset>
            </wp:positionH>
            <wp:positionV relativeFrom="paragraph">
              <wp:posOffset>-171450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-171450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5710555</wp:posOffset>
            </wp:positionH>
            <wp:positionV relativeFrom="paragraph">
              <wp:posOffset>-171450</wp:posOffset>
            </wp:positionV>
            <wp:extent cx="65913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59130" cy="2984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-171450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-171450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-171450</wp:posOffset>
            </wp:positionV>
            <wp:extent cx="2095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86" w:lineRule="exact"/>
        <w:rPr>
          <w:sz w:val="20"/>
          <w:szCs w:val="20"/>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25" w:lineRule="exact"/>
        <w:rPr>
          <w:rFonts w:ascii="Arial" w:cs="Arial" w:eastAsia="Arial" w:hAnsi="Arial"/>
          <w:sz w:val="17"/>
          <w:szCs w:val="17"/>
          <w:color w:val="auto"/>
        </w:rPr>
      </w:pPr>
    </w:p>
    <w:p>
      <w:pPr>
        <w:ind w:left="460" w:right="80" w:hanging="453"/>
        <w:spacing w:after="0" w:line="263"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Non-comparable leases represent those leases signed on spaces for which there was no former tenant, or expansion square footage for leases rolling over for which there was no former tenant.</w:t>
      </w: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 Glossary of Terms.</w:t>
      </w:r>
    </w:p>
    <w:p>
      <w:pPr>
        <w:sectPr>
          <w:pgSz w:w="11900" w:h="16838" w:orient="portrait"/>
          <w:cols w:equalWidth="0" w:num="1">
            <w:col w:w="11420"/>
          </w:cols>
          <w:pgMar w:left="240" w:top="272"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9"/>
              </w:rPr>
              <w:t>Anchor Tenants (1)</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Small Shop Tenants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4"/>
        </w:trPr>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235"/>
        </w:trPr>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 of</w:t>
            </w:r>
          </w:p>
        </w:tc>
        <w:tc>
          <w:tcPr>
            <w:tcW w:w="1160" w:type="dxa"/>
            <w:vAlign w:val="bottom"/>
            <w:gridSpan w:val="5"/>
          </w:tcPr>
          <w:p>
            <w:pPr>
              <w:spacing w:after="0"/>
              <w:rPr>
                <w:sz w:val="20"/>
                <w:szCs w:val="20"/>
                <w:color w:val="auto"/>
              </w:rPr>
            </w:pPr>
            <w:r>
              <w:rPr>
                <w:rFonts w:ascii="Arial" w:cs="Arial" w:eastAsia="Arial" w:hAnsi="Arial"/>
                <w:sz w:val="13"/>
                <w:szCs w:val="13"/>
                <w:b w:val="1"/>
                <w:bCs w:val="1"/>
                <w:color w:val="auto"/>
              </w:rPr>
              <w:t>Minimum Rent</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 of Small</w:t>
            </w:r>
          </w:p>
        </w:tc>
        <w:tc>
          <w:tcPr>
            <w:tcW w:w="1180" w:type="dxa"/>
            <w:vAlign w:val="bottom"/>
            <w:gridSpan w:val="5"/>
          </w:tcPr>
          <w:p>
            <w:pPr>
              <w:spacing w:after="0"/>
              <w:rPr>
                <w:sz w:val="20"/>
                <w:szCs w:val="20"/>
                <w:color w:val="auto"/>
              </w:rPr>
            </w:pPr>
            <w:r>
              <w:rPr>
                <w:rFonts w:ascii="Arial" w:cs="Arial" w:eastAsia="Arial" w:hAnsi="Arial"/>
                <w:sz w:val="13"/>
                <w:szCs w:val="13"/>
                <w:b w:val="1"/>
                <w:bCs w:val="1"/>
                <w:color w:val="auto"/>
              </w:rPr>
              <w:t>Minimum Rent</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 of Total</w:t>
            </w:r>
          </w:p>
        </w:tc>
        <w:tc>
          <w:tcPr>
            <w:tcW w:w="900" w:type="dxa"/>
            <w:vAlign w:val="bottom"/>
            <w:gridSpan w:val="4"/>
          </w:tcPr>
          <w:p>
            <w:pPr>
              <w:ind w:left="20"/>
              <w:spacing w:after="0"/>
              <w:rPr>
                <w:sz w:val="20"/>
                <w:szCs w:val="20"/>
                <w:color w:val="auto"/>
              </w:rPr>
            </w:pPr>
            <w:r>
              <w:rPr>
                <w:rFonts w:ascii="Arial" w:cs="Arial" w:eastAsia="Arial" w:hAnsi="Arial"/>
                <w:sz w:val="13"/>
                <w:szCs w:val="13"/>
                <w:b w:val="1"/>
                <w:bCs w:val="1"/>
                <w:color w:val="auto"/>
                <w:w w:val="95"/>
              </w:rPr>
              <w:t>Minimum Rent</w:t>
            </w:r>
          </w:p>
        </w:tc>
      </w:tr>
      <w:tr>
        <w:trPr>
          <w:trHeight w:val="173"/>
        </w:trPr>
        <w:tc>
          <w:tcPr>
            <w:tcW w:w="360" w:type="dxa"/>
            <w:vAlign w:val="bottom"/>
          </w:tcPr>
          <w:p>
            <w:pPr>
              <w:spacing w:after="0"/>
              <w:rPr>
                <w:sz w:val="15"/>
                <w:szCs w:val="15"/>
                <w:color w:val="auto"/>
              </w:rPr>
            </w:pPr>
          </w:p>
        </w:tc>
        <w:tc>
          <w:tcPr>
            <w:tcW w:w="102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2"/>
              </w:rPr>
              <w:t>Year</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w w:val="93"/>
              </w:rPr>
              <w:t>Expiring SF (2)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Anchor SF</w:t>
            </w:r>
          </w:p>
        </w:tc>
        <w:tc>
          <w:tcPr>
            <w:tcW w:w="200" w:type="dxa"/>
            <w:vAlign w:val="bottom"/>
          </w:tcPr>
          <w:p>
            <w:pPr>
              <w:spacing w:after="0"/>
              <w:rPr>
                <w:sz w:val="15"/>
                <w:szCs w:val="15"/>
                <w:color w:val="auto"/>
              </w:rPr>
            </w:pPr>
          </w:p>
        </w:tc>
        <w:tc>
          <w:tcPr>
            <w:tcW w:w="960" w:type="dxa"/>
            <w:vAlign w:val="bottom"/>
            <w:gridSpan w:val="4"/>
          </w:tcPr>
          <w:p>
            <w:pPr>
              <w:ind w:left="120"/>
              <w:spacing w:after="0"/>
              <w:rPr>
                <w:sz w:val="20"/>
                <w:szCs w:val="20"/>
                <w:color w:val="auto"/>
              </w:rPr>
            </w:pPr>
            <w:r>
              <w:rPr>
                <w:rFonts w:ascii="Arial" w:cs="Arial" w:eastAsia="Arial" w:hAnsi="Arial"/>
                <w:sz w:val="13"/>
                <w:szCs w:val="13"/>
                <w:b w:val="1"/>
                <w:bCs w:val="1"/>
                <w:color w:val="auto"/>
              </w:rPr>
              <w:t>PSF</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w w:val="93"/>
              </w:rPr>
              <w:t>Expiring SF (2)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Shop SF</w:t>
            </w:r>
          </w:p>
        </w:tc>
        <w:tc>
          <w:tcPr>
            <w:tcW w:w="200" w:type="dxa"/>
            <w:vAlign w:val="bottom"/>
          </w:tcPr>
          <w:p>
            <w:pPr>
              <w:spacing w:after="0"/>
              <w:rPr>
                <w:sz w:val="15"/>
                <w:szCs w:val="15"/>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b w:val="1"/>
                <w:bCs w:val="1"/>
                <w:color w:val="auto"/>
              </w:rPr>
              <w:t>PSF</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w w:val="95"/>
              </w:rPr>
              <w:t>Expiring SF (2)</w:t>
            </w:r>
          </w:p>
        </w:tc>
        <w:tc>
          <w:tcPr>
            <w:tcW w:w="38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SF</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3"/>
                <w:szCs w:val="13"/>
                <w:b w:val="1"/>
                <w:bCs w:val="1"/>
                <w:color w:val="auto"/>
              </w:rPr>
              <w:t>PSF</w:t>
            </w:r>
          </w:p>
        </w:tc>
      </w:tr>
      <w:tr>
        <w:trPr>
          <w:trHeight w:val="94"/>
        </w:trPr>
        <w:tc>
          <w:tcPr>
            <w:tcW w:w="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4"/>
        </w:trPr>
        <w:tc>
          <w:tcPr>
            <w:tcW w:w="740" w:type="dxa"/>
            <w:vAlign w:val="bottom"/>
            <w:gridSpan w:val="2"/>
            <w:shd w:val="clear" w:color="auto" w:fill="CCEEFF"/>
          </w:tcPr>
          <w:p>
            <w:pPr>
              <w:jc w:val="center"/>
              <w:ind w:left="273"/>
              <w:spacing w:after="0"/>
              <w:rPr>
                <w:sz w:val="20"/>
                <w:szCs w:val="20"/>
                <w:color w:val="auto"/>
              </w:rPr>
            </w:pPr>
            <w:r>
              <w:rPr>
                <w:rFonts w:ascii="Arial" w:cs="Arial" w:eastAsia="Arial" w:hAnsi="Arial"/>
                <w:sz w:val="17"/>
                <w:szCs w:val="17"/>
                <w:b w:val="1"/>
                <w:bCs w:val="1"/>
                <w:color w:val="auto"/>
                <w:w w:val="89"/>
              </w:rPr>
              <w:t>2004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20" w:type="dxa"/>
            <w:vAlign w:val="bottom"/>
          </w:tcPr>
          <w:p>
            <w:pPr>
              <w:spacing w:after="0"/>
              <w:rPr>
                <w:sz w:val="18"/>
                <w:szCs w:val="18"/>
                <w:color w:val="auto"/>
              </w:rPr>
            </w:pPr>
          </w:p>
        </w:tc>
      </w:tr>
      <w:tr>
        <w:trPr>
          <w:trHeight w:val="214"/>
        </w:trPr>
        <w:tc>
          <w:tcPr>
            <w:tcW w:w="7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w w:val="89"/>
              </w:rPr>
              <w:t>2005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344,000</w:t>
            </w:r>
          </w:p>
        </w:tc>
        <w:tc>
          <w:tcPr>
            <w:tcW w:w="1320" w:type="dxa"/>
            <w:vAlign w:val="bottom"/>
            <w:gridSpan w:val="4"/>
          </w:tcPr>
          <w:p>
            <w:pPr>
              <w:jc w:val="right"/>
              <w:ind w:right="28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12.17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818,000</w:t>
            </w:r>
          </w:p>
        </w:tc>
        <w:tc>
          <w:tcPr>
            <w:tcW w:w="1360" w:type="dxa"/>
            <w:vAlign w:val="bottom"/>
            <w:gridSpan w:val="4"/>
          </w:tcPr>
          <w:p>
            <w:pPr>
              <w:jc w:val="right"/>
              <w:ind w:right="28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22.50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1,162,000</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8%</w:t>
            </w: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19.45</w:t>
            </w:r>
          </w:p>
        </w:tc>
        <w:tc>
          <w:tcPr>
            <w:tcW w:w="20" w:type="dxa"/>
            <w:vAlign w:val="bottom"/>
          </w:tcPr>
          <w:p>
            <w:pPr>
              <w:spacing w:after="0"/>
              <w:rPr>
                <w:sz w:val="18"/>
                <w:szCs w:val="18"/>
                <w:color w:val="auto"/>
              </w:rPr>
            </w:pPr>
          </w:p>
        </w:tc>
      </w:tr>
      <w:tr>
        <w:trPr>
          <w:trHeight w:val="214"/>
        </w:trPr>
        <w:tc>
          <w:tcPr>
            <w:tcW w:w="740" w:type="dxa"/>
            <w:vAlign w:val="bottom"/>
            <w:gridSpan w:val="2"/>
            <w:shd w:val="clear" w:color="auto" w:fill="CCEEFF"/>
          </w:tcPr>
          <w:p>
            <w:pPr>
              <w:jc w:val="center"/>
              <w:ind w:left="273"/>
              <w:spacing w:after="0"/>
              <w:rPr>
                <w:sz w:val="20"/>
                <w:szCs w:val="20"/>
                <w:color w:val="auto"/>
              </w:rPr>
            </w:pPr>
            <w:r>
              <w:rPr>
                <w:rFonts w:ascii="Arial" w:cs="Arial" w:eastAsia="Arial" w:hAnsi="Arial"/>
                <w:sz w:val="17"/>
                <w:szCs w:val="17"/>
                <w:b w:val="1"/>
                <w:bCs w:val="1"/>
                <w:color w:val="auto"/>
                <w:w w:val="89"/>
              </w:rPr>
              <w:t>2006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10.47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9%</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w:t>
            </w:r>
          </w:p>
        </w:tc>
        <w:tc>
          <w:tcPr>
            <w:tcW w:w="20" w:type="dxa"/>
            <w:vAlign w:val="bottom"/>
          </w:tcPr>
          <w:p>
            <w:pPr>
              <w:spacing w:after="0"/>
              <w:rPr>
                <w:sz w:val="18"/>
                <w:szCs w:val="18"/>
                <w:color w:val="auto"/>
              </w:rPr>
            </w:pPr>
          </w:p>
        </w:tc>
      </w:tr>
      <w:tr>
        <w:trPr>
          <w:trHeight w:val="214"/>
        </w:trPr>
        <w:tc>
          <w:tcPr>
            <w:tcW w:w="7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w w:val="89"/>
              </w:rPr>
              <w:t>2007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884,000</w:t>
            </w:r>
          </w:p>
        </w:tc>
        <w:tc>
          <w:tcPr>
            <w:tcW w:w="1320" w:type="dxa"/>
            <w:vAlign w:val="bottom"/>
            <w:gridSpan w:val="4"/>
          </w:tcPr>
          <w:p>
            <w:pPr>
              <w:jc w:val="right"/>
              <w:ind w:right="280"/>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8.47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976,000</w:t>
            </w:r>
          </w:p>
        </w:tc>
        <w:tc>
          <w:tcPr>
            <w:tcW w:w="1360" w:type="dxa"/>
            <w:vAlign w:val="bottom"/>
            <w:gridSpan w:val="4"/>
          </w:tcPr>
          <w:p>
            <w:pPr>
              <w:jc w:val="right"/>
              <w:ind w:right="28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24.07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1,860,000</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12%</w:t>
            </w: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16.66</w:t>
            </w:r>
          </w:p>
        </w:tc>
        <w:tc>
          <w:tcPr>
            <w:tcW w:w="20" w:type="dxa"/>
            <w:vAlign w:val="bottom"/>
          </w:tcPr>
          <w:p>
            <w:pPr>
              <w:spacing w:after="0"/>
              <w:rPr>
                <w:sz w:val="18"/>
                <w:szCs w:val="18"/>
                <w:color w:val="auto"/>
              </w:rPr>
            </w:pPr>
          </w:p>
        </w:tc>
      </w:tr>
      <w:tr>
        <w:trPr>
          <w:trHeight w:val="214"/>
        </w:trPr>
        <w:tc>
          <w:tcPr>
            <w:tcW w:w="740" w:type="dxa"/>
            <w:vAlign w:val="bottom"/>
            <w:gridSpan w:val="2"/>
            <w:shd w:val="clear" w:color="auto" w:fill="CCEEFF"/>
          </w:tcPr>
          <w:p>
            <w:pPr>
              <w:jc w:val="center"/>
              <w:ind w:left="273"/>
              <w:spacing w:after="0"/>
              <w:rPr>
                <w:sz w:val="20"/>
                <w:szCs w:val="20"/>
                <w:color w:val="auto"/>
              </w:rPr>
            </w:pPr>
            <w:r>
              <w:rPr>
                <w:rFonts w:ascii="Arial" w:cs="Arial" w:eastAsia="Arial" w:hAnsi="Arial"/>
                <w:sz w:val="17"/>
                <w:szCs w:val="17"/>
                <w:b w:val="1"/>
                <w:bCs w:val="1"/>
                <w:color w:val="auto"/>
                <w:w w:val="89"/>
              </w:rPr>
              <w:t>2008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11%</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w:t>
            </w:r>
          </w:p>
        </w:tc>
        <w:tc>
          <w:tcPr>
            <w:tcW w:w="20" w:type="dxa"/>
            <w:vAlign w:val="bottom"/>
          </w:tcPr>
          <w:p>
            <w:pPr>
              <w:spacing w:after="0"/>
              <w:rPr>
                <w:sz w:val="18"/>
                <w:szCs w:val="18"/>
                <w:color w:val="auto"/>
              </w:rPr>
            </w:pPr>
          </w:p>
        </w:tc>
      </w:tr>
      <w:tr>
        <w:trPr>
          <w:trHeight w:val="214"/>
        </w:trPr>
        <w:tc>
          <w:tcPr>
            <w:tcW w:w="7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w w:val="89"/>
              </w:rPr>
              <w:t>2009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1,167,000</w:t>
            </w:r>
          </w:p>
        </w:tc>
        <w:tc>
          <w:tcPr>
            <w:tcW w:w="1320" w:type="dxa"/>
            <w:vAlign w:val="bottom"/>
            <w:gridSpan w:val="4"/>
          </w:tcPr>
          <w:p>
            <w:pPr>
              <w:jc w:val="right"/>
              <w:ind w:right="28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10.76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813,000</w:t>
            </w:r>
          </w:p>
        </w:tc>
        <w:tc>
          <w:tcPr>
            <w:tcW w:w="1360" w:type="dxa"/>
            <w:vAlign w:val="bottom"/>
            <w:gridSpan w:val="4"/>
          </w:tcPr>
          <w:p>
            <w:pPr>
              <w:jc w:val="right"/>
              <w:ind w:right="28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26.04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1,980,000</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13%</w:t>
            </w: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17.04</w:t>
            </w:r>
          </w:p>
        </w:tc>
        <w:tc>
          <w:tcPr>
            <w:tcW w:w="20" w:type="dxa"/>
            <w:vAlign w:val="bottom"/>
          </w:tcPr>
          <w:p>
            <w:pPr>
              <w:spacing w:after="0"/>
              <w:rPr>
                <w:sz w:val="18"/>
                <w:szCs w:val="18"/>
                <w:color w:val="auto"/>
              </w:rPr>
            </w:pPr>
          </w:p>
        </w:tc>
      </w:tr>
      <w:tr>
        <w:trPr>
          <w:trHeight w:val="214"/>
        </w:trPr>
        <w:tc>
          <w:tcPr>
            <w:tcW w:w="740" w:type="dxa"/>
            <w:vAlign w:val="bottom"/>
            <w:gridSpan w:val="2"/>
            <w:shd w:val="clear" w:color="auto" w:fill="CCEEFF"/>
          </w:tcPr>
          <w:p>
            <w:pPr>
              <w:jc w:val="center"/>
              <w:ind w:left="273"/>
              <w:spacing w:after="0"/>
              <w:rPr>
                <w:sz w:val="20"/>
                <w:szCs w:val="20"/>
                <w:color w:val="auto"/>
              </w:rPr>
            </w:pPr>
            <w:r>
              <w:rPr>
                <w:rFonts w:ascii="Arial" w:cs="Arial" w:eastAsia="Arial" w:hAnsi="Arial"/>
                <w:sz w:val="17"/>
                <w:szCs w:val="17"/>
                <w:b w:val="1"/>
                <w:bCs w:val="1"/>
                <w:color w:val="auto"/>
                <w:w w:val="89"/>
              </w:rPr>
              <w:t>2010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12.53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6%</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w:t>
            </w:r>
          </w:p>
        </w:tc>
        <w:tc>
          <w:tcPr>
            <w:tcW w:w="20" w:type="dxa"/>
            <w:vAlign w:val="bottom"/>
          </w:tcPr>
          <w:p>
            <w:pPr>
              <w:spacing w:after="0"/>
              <w:rPr>
                <w:sz w:val="18"/>
                <w:szCs w:val="18"/>
                <w:color w:val="auto"/>
              </w:rPr>
            </w:pPr>
          </w:p>
        </w:tc>
      </w:tr>
      <w:tr>
        <w:trPr>
          <w:trHeight w:val="214"/>
        </w:trPr>
        <w:tc>
          <w:tcPr>
            <w:tcW w:w="7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w w:val="89"/>
              </w:rPr>
              <w:t>2011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376,000</w:t>
            </w:r>
          </w:p>
        </w:tc>
        <w:tc>
          <w:tcPr>
            <w:tcW w:w="1320" w:type="dxa"/>
            <w:vAlign w:val="bottom"/>
            <w:gridSpan w:val="4"/>
          </w:tcPr>
          <w:p>
            <w:pPr>
              <w:jc w:val="right"/>
              <w:ind w:right="28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18.32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470,000</w:t>
            </w:r>
          </w:p>
        </w:tc>
        <w:tc>
          <w:tcPr>
            <w:tcW w:w="1360" w:type="dxa"/>
            <w:vAlign w:val="bottom"/>
            <w:gridSpan w:val="4"/>
          </w:tcPr>
          <w:p>
            <w:pPr>
              <w:jc w:val="right"/>
              <w:ind w:right="28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29.49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846,000</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6%</w:t>
            </w: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24.53</w:t>
            </w:r>
          </w:p>
        </w:tc>
        <w:tc>
          <w:tcPr>
            <w:tcW w:w="20" w:type="dxa"/>
            <w:vAlign w:val="bottom"/>
          </w:tcPr>
          <w:p>
            <w:pPr>
              <w:spacing w:after="0"/>
              <w:rPr>
                <w:sz w:val="18"/>
                <w:szCs w:val="18"/>
                <w:color w:val="auto"/>
              </w:rPr>
            </w:pPr>
          </w:p>
        </w:tc>
      </w:tr>
      <w:tr>
        <w:trPr>
          <w:trHeight w:val="214"/>
        </w:trPr>
        <w:tc>
          <w:tcPr>
            <w:tcW w:w="740" w:type="dxa"/>
            <w:vAlign w:val="bottom"/>
            <w:gridSpan w:val="2"/>
            <w:shd w:val="clear" w:color="auto" w:fill="CCEEFF"/>
          </w:tcPr>
          <w:p>
            <w:pPr>
              <w:jc w:val="center"/>
              <w:ind w:left="273"/>
              <w:spacing w:after="0"/>
              <w:rPr>
                <w:sz w:val="20"/>
                <w:szCs w:val="20"/>
                <w:color w:val="auto"/>
              </w:rPr>
            </w:pPr>
            <w:r>
              <w:rPr>
                <w:rFonts w:ascii="Arial" w:cs="Arial" w:eastAsia="Arial" w:hAnsi="Arial"/>
                <w:sz w:val="17"/>
                <w:szCs w:val="17"/>
                <w:b w:val="1"/>
                <w:bCs w:val="1"/>
                <w:color w:val="auto"/>
                <w:w w:val="89"/>
              </w:rPr>
              <w:t>2012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12.73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6%</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21.09</w:t>
            </w:r>
          </w:p>
        </w:tc>
        <w:tc>
          <w:tcPr>
            <w:tcW w:w="20" w:type="dxa"/>
            <w:vAlign w:val="bottom"/>
          </w:tcPr>
          <w:p>
            <w:pPr>
              <w:spacing w:after="0"/>
              <w:rPr>
                <w:sz w:val="18"/>
                <w:szCs w:val="18"/>
                <w:color w:val="auto"/>
              </w:rPr>
            </w:pPr>
          </w:p>
        </w:tc>
      </w:tr>
      <w:tr>
        <w:trPr>
          <w:trHeight w:val="214"/>
        </w:trPr>
        <w:tc>
          <w:tcPr>
            <w:tcW w:w="7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w w:val="89"/>
              </w:rPr>
              <w:t>2013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709,000</w:t>
            </w:r>
          </w:p>
        </w:tc>
        <w:tc>
          <w:tcPr>
            <w:tcW w:w="1320" w:type="dxa"/>
            <w:vAlign w:val="bottom"/>
            <w:gridSpan w:val="4"/>
          </w:tcPr>
          <w:p>
            <w:pPr>
              <w:jc w:val="right"/>
              <w:ind w:right="28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14.35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251,000</w:t>
            </w:r>
          </w:p>
        </w:tc>
        <w:tc>
          <w:tcPr>
            <w:tcW w:w="1360" w:type="dxa"/>
            <w:vAlign w:val="bottom"/>
            <w:gridSpan w:val="4"/>
          </w:tcPr>
          <w:p>
            <w:pPr>
              <w:jc w:val="right"/>
              <w:ind w:right="28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31.33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960,000</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6%</w:t>
            </w: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18.79</w:t>
            </w:r>
          </w:p>
        </w:tc>
        <w:tc>
          <w:tcPr>
            <w:tcW w:w="20" w:type="dxa"/>
            <w:vAlign w:val="bottom"/>
          </w:tcPr>
          <w:p>
            <w:pPr>
              <w:spacing w:after="0"/>
              <w:rPr>
                <w:sz w:val="18"/>
                <w:szCs w:val="18"/>
                <w:color w:val="auto"/>
              </w:rPr>
            </w:pPr>
          </w:p>
        </w:tc>
      </w:tr>
      <w:tr>
        <w:trPr>
          <w:trHeight w:val="214"/>
        </w:trPr>
        <w:tc>
          <w:tcPr>
            <w:tcW w:w="1380" w:type="dxa"/>
            <w:vAlign w:val="bottom"/>
            <w:gridSpan w:val="4"/>
            <w:shd w:val="clear" w:color="auto" w:fill="CCEEFF"/>
          </w:tcPr>
          <w:p>
            <w:pPr>
              <w:jc w:val="center"/>
              <w:ind w:right="280"/>
              <w:spacing w:after="0"/>
              <w:rPr>
                <w:sz w:val="20"/>
                <w:szCs w:val="20"/>
                <w:color w:val="auto"/>
              </w:rPr>
            </w:pPr>
            <w:r>
              <w:rPr>
                <w:rFonts w:ascii="Arial" w:cs="Arial" w:eastAsia="Arial" w:hAnsi="Arial"/>
                <w:sz w:val="17"/>
                <w:szCs w:val="17"/>
                <w:b w:val="1"/>
                <w:bCs w:val="1"/>
                <w:color w:val="auto"/>
                <w:w w:val="93"/>
              </w:rPr>
              <w:t>Thereafter</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2,787,000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3,330,000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22%</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w:t>
            </w:r>
          </w:p>
        </w:tc>
        <w:tc>
          <w:tcPr>
            <w:tcW w:w="20" w:type="dxa"/>
            <w:vAlign w:val="bottom"/>
          </w:tcPr>
          <w:p>
            <w:pPr>
              <w:spacing w:after="0"/>
              <w:rPr>
                <w:sz w:val="18"/>
                <w:szCs w:val="18"/>
                <w:color w:val="auto"/>
              </w:rPr>
            </w:pPr>
          </w:p>
        </w:tc>
      </w:tr>
      <w:tr>
        <w:trPr>
          <w:trHeight w:val="107"/>
        </w:trPr>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1"/>
        </w:trPr>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4"/>
        </w:trPr>
        <w:tc>
          <w:tcPr>
            <w:tcW w:w="1380" w:type="dxa"/>
            <w:vAlign w:val="bottom"/>
            <w:gridSpan w:val="4"/>
            <w:shd w:val="clear" w:color="auto" w:fill="CCEEFF"/>
          </w:tcPr>
          <w:p>
            <w:pPr>
              <w:jc w:val="center"/>
              <w:ind w:right="280"/>
              <w:spacing w:after="0"/>
              <w:rPr>
                <w:sz w:val="20"/>
                <w:szCs w:val="20"/>
                <w:color w:val="auto"/>
              </w:rPr>
            </w:pPr>
            <w:r>
              <w:rPr>
                <w:rFonts w:ascii="Arial" w:cs="Arial" w:eastAsia="Arial" w:hAnsi="Arial"/>
                <w:sz w:val="17"/>
                <w:szCs w:val="17"/>
                <w:b w:val="1"/>
                <w:bCs w:val="1"/>
                <w:color w:val="auto"/>
                <w:w w:val="93"/>
              </w:rPr>
              <w:t>Total (3)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8,628,000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6,744,000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15,372,000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100%</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w:t>
            </w:r>
          </w:p>
        </w:tc>
        <w:tc>
          <w:tcPr>
            <w:tcW w:w="20" w:type="dxa"/>
            <w:vAlign w:val="bottom"/>
          </w:tcPr>
          <w:p>
            <w:pPr>
              <w:spacing w:after="0"/>
              <w:rPr>
                <w:sz w:val="18"/>
                <w:szCs w:val="18"/>
                <w:color w:val="auto"/>
              </w:rPr>
            </w:pPr>
          </w:p>
        </w:tc>
      </w:tr>
      <w:tr>
        <w:trPr>
          <w:trHeight w:val="131"/>
        </w:trPr>
        <w:tc>
          <w:tcPr>
            <w:tcW w:w="118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464"/>
        </w:trPr>
        <w:tc>
          <w:tcPr>
            <w:tcW w:w="3600" w:type="dxa"/>
            <w:vAlign w:val="bottom"/>
            <w:gridSpan w:val="9"/>
          </w:tcPr>
          <w:p>
            <w:pPr>
              <w:jc w:val="right"/>
              <w:ind w:right="940"/>
              <w:spacing w:after="0"/>
              <w:rPr>
                <w:sz w:val="20"/>
                <w:szCs w:val="20"/>
                <w:color w:val="auto"/>
              </w:rPr>
            </w:pPr>
            <w:r>
              <w:rPr>
                <w:rFonts w:ascii="Arial" w:cs="Arial" w:eastAsia="Arial" w:hAnsi="Arial"/>
                <w:sz w:val="17"/>
                <w:szCs w:val="17"/>
                <w:b w:val="1"/>
                <w:bCs w:val="1"/>
                <w:color w:val="auto"/>
                <w:w w:val="87"/>
              </w:rPr>
              <w:t>Assumes lease options are exercised</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9"/>
              </w:rPr>
              <w:t>Anchor Tenants (1)</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Small Shop Tenants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300" w:type="dxa"/>
            <w:vAlign w:val="bottom"/>
            <w:gridSpan w:val="3"/>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00" w:type="dxa"/>
            <w:vAlign w:val="bottom"/>
            <w:gridSpan w:val="3"/>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r>
      <w:tr>
        <w:trPr>
          <w:trHeight w:val="235"/>
        </w:trPr>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 of</w:t>
            </w:r>
          </w:p>
        </w:tc>
        <w:tc>
          <w:tcPr>
            <w:tcW w:w="1160" w:type="dxa"/>
            <w:vAlign w:val="bottom"/>
            <w:gridSpan w:val="5"/>
          </w:tcPr>
          <w:p>
            <w:pPr>
              <w:spacing w:after="0"/>
              <w:rPr>
                <w:sz w:val="20"/>
                <w:szCs w:val="20"/>
                <w:color w:val="auto"/>
              </w:rPr>
            </w:pPr>
            <w:r>
              <w:rPr>
                <w:rFonts w:ascii="Arial" w:cs="Arial" w:eastAsia="Arial" w:hAnsi="Arial"/>
                <w:sz w:val="13"/>
                <w:szCs w:val="13"/>
                <w:b w:val="1"/>
                <w:bCs w:val="1"/>
                <w:color w:val="auto"/>
              </w:rPr>
              <w:t>Minimum Rent</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 of Small</w:t>
            </w:r>
          </w:p>
        </w:tc>
        <w:tc>
          <w:tcPr>
            <w:tcW w:w="1180" w:type="dxa"/>
            <w:vAlign w:val="bottom"/>
            <w:gridSpan w:val="5"/>
          </w:tcPr>
          <w:p>
            <w:pPr>
              <w:spacing w:after="0"/>
              <w:rPr>
                <w:sz w:val="20"/>
                <w:szCs w:val="20"/>
                <w:color w:val="auto"/>
              </w:rPr>
            </w:pPr>
            <w:r>
              <w:rPr>
                <w:rFonts w:ascii="Arial" w:cs="Arial" w:eastAsia="Arial" w:hAnsi="Arial"/>
                <w:sz w:val="13"/>
                <w:szCs w:val="13"/>
                <w:b w:val="1"/>
                <w:bCs w:val="1"/>
                <w:color w:val="auto"/>
              </w:rPr>
              <w:t>Minimum Rent</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 of Total</w:t>
            </w:r>
          </w:p>
        </w:tc>
        <w:tc>
          <w:tcPr>
            <w:tcW w:w="900" w:type="dxa"/>
            <w:vAlign w:val="bottom"/>
            <w:gridSpan w:val="4"/>
          </w:tcPr>
          <w:p>
            <w:pPr>
              <w:ind w:left="20"/>
              <w:spacing w:after="0"/>
              <w:rPr>
                <w:sz w:val="20"/>
                <w:szCs w:val="20"/>
                <w:color w:val="auto"/>
              </w:rPr>
            </w:pPr>
            <w:r>
              <w:rPr>
                <w:rFonts w:ascii="Arial" w:cs="Arial" w:eastAsia="Arial" w:hAnsi="Arial"/>
                <w:sz w:val="13"/>
                <w:szCs w:val="13"/>
                <w:b w:val="1"/>
                <w:bCs w:val="1"/>
                <w:color w:val="auto"/>
                <w:w w:val="95"/>
              </w:rPr>
              <w:t>Minimum Rent</w:t>
            </w:r>
          </w:p>
        </w:tc>
      </w:tr>
      <w:tr>
        <w:trPr>
          <w:trHeight w:val="173"/>
        </w:trPr>
        <w:tc>
          <w:tcPr>
            <w:tcW w:w="360" w:type="dxa"/>
            <w:vAlign w:val="bottom"/>
          </w:tcPr>
          <w:p>
            <w:pPr>
              <w:spacing w:after="0"/>
              <w:rPr>
                <w:sz w:val="15"/>
                <w:szCs w:val="15"/>
                <w:color w:val="auto"/>
              </w:rPr>
            </w:pPr>
          </w:p>
        </w:tc>
        <w:tc>
          <w:tcPr>
            <w:tcW w:w="102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2"/>
              </w:rPr>
              <w:t>Year</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w w:val="93"/>
              </w:rPr>
              <w:t>Expiring SF (2)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Anchor SF</w:t>
            </w:r>
          </w:p>
        </w:tc>
        <w:tc>
          <w:tcPr>
            <w:tcW w:w="200" w:type="dxa"/>
            <w:vAlign w:val="bottom"/>
          </w:tcPr>
          <w:p>
            <w:pPr>
              <w:spacing w:after="0"/>
              <w:rPr>
                <w:sz w:val="15"/>
                <w:szCs w:val="15"/>
                <w:color w:val="auto"/>
              </w:rPr>
            </w:pPr>
          </w:p>
        </w:tc>
        <w:tc>
          <w:tcPr>
            <w:tcW w:w="960" w:type="dxa"/>
            <w:vAlign w:val="bottom"/>
            <w:gridSpan w:val="4"/>
          </w:tcPr>
          <w:p>
            <w:pPr>
              <w:ind w:left="120"/>
              <w:spacing w:after="0"/>
              <w:rPr>
                <w:sz w:val="20"/>
                <w:szCs w:val="20"/>
                <w:color w:val="auto"/>
              </w:rPr>
            </w:pPr>
            <w:r>
              <w:rPr>
                <w:rFonts w:ascii="Arial" w:cs="Arial" w:eastAsia="Arial" w:hAnsi="Arial"/>
                <w:sz w:val="13"/>
                <w:szCs w:val="13"/>
                <w:b w:val="1"/>
                <w:bCs w:val="1"/>
                <w:color w:val="auto"/>
              </w:rPr>
              <w:t>PSF</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w w:val="93"/>
              </w:rPr>
              <w:t>Expiring SF (2)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Shop SF</w:t>
            </w:r>
          </w:p>
        </w:tc>
        <w:tc>
          <w:tcPr>
            <w:tcW w:w="200" w:type="dxa"/>
            <w:vAlign w:val="bottom"/>
          </w:tcPr>
          <w:p>
            <w:pPr>
              <w:spacing w:after="0"/>
              <w:rPr>
                <w:sz w:val="15"/>
                <w:szCs w:val="15"/>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b w:val="1"/>
                <w:bCs w:val="1"/>
                <w:color w:val="auto"/>
              </w:rPr>
              <w:t>PSF</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w w:val="95"/>
              </w:rPr>
              <w:t>Expiring SF (2)</w:t>
            </w:r>
          </w:p>
        </w:tc>
        <w:tc>
          <w:tcPr>
            <w:tcW w:w="38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SF</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3"/>
                <w:szCs w:val="13"/>
                <w:b w:val="1"/>
                <w:bCs w:val="1"/>
                <w:color w:val="auto"/>
              </w:rPr>
              <w:t>PSF</w:t>
            </w:r>
          </w:p>
        </w:tc>
      </w:tr>
      <w:tr>
        <w:trPr>
          <w:trHeight w:val="94"/>
        </w:trPr>
        <w:tc>
          <w:tcPr>
            <w:tcW w:w="74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gridSpan w:val="4"/>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gridSpan w:val="4"/>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1"/>
        </w:trPr>
        <w:tc>
          <w:tcPr>
            <w:tcW w:w="36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14"/>
        </w:trPr>
        <w:tc>
          <w:tcPr>
            <w:tcW w:w="740" w:type="dxa"/>
            <w:vAlign w:val="bottom"/>
            <w:gridSpan w:val="2"/>
            <w:shd w:val="clear" w:color="auto" w:fill="CCEEFF"/>
          </w:tcPr>
          <w:p>
            <w:pPr>
              <w:jc w:val="center"/>
              <w:ind w:left="273"/>
              <w:spacing w:after="0"/>
              <w:rPr>
                <w:sz w:val="20"/>
                <w:szCs w:val="20"/>
                <w:color w:val="auto"/>
              </w:rPr>
            </w:pPr>
            <w:r>
              <w:rPr>
                <w:rFonts w:ascii="Arial" w:cs="Arial" w:eastAsia="Arial" w:hAnsi="Arial"/>
                <w:sz w:val="17"/>
                <w:szCs w:val="17"/>
                <w:b w:val="1"/>
                <w:bCs w:val="1"/>
                <w:color w:val="auto"/>
                <w:w w:val="89"/>
              </w:rPr>
              <w:t>2004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w:t>
            </w:r>
          </w:p>
        </w:tc>
        <w:tc>
          <w:tcPr>
            <w:tcW w:w="20" w:type="dxa"/>
            <w:vAlign w:val="bottom"/>
          </w:tcPr>
          <w:p>
            <w:pPr>
              <w:spacing w:after="0"/>
              <w:rPr>
                <w:sz w:val="18"/>
                <w:szCs w:val="18"/>
                <w:color w:val="auto"/>
              </w:rPr>
            </w:pPr>
          </w:p>
        </w:tc>
      </w:tr>
      <w:tr>
        <w:trPr>
          <w:trHeight w:val="214"/>
        </w:trPr>
        <w:tc>
          <w:tcPr>
            <w:tcW w:w="7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w w:val="89"/>
              </w:rPr>
              <w:t>2005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19,000</w:t>
            </w:r>
          </w:p>
        </w:tc>
        <w:tc>
          <w:tcPr>
            <w:tcW w:w="1320" w:type="dxa"/>
            <w:vAlign w:val="bottom"/>
            <w:gridSpan w:val="4"/>
          </w:tcPr>
          <w:p>
            <w:pPr>
              <w:jc w:val="right"/>
              <w:ind w:right="28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15.58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524,000</w:t>
            </w:r>
          </w:p>
        </w:tc>
        <w:tc>
          <w:tcPr>
            <w:tcW w:w="1360" w:type="dxa"/>
            <w:vAlign w:val="bottom"/>
            <w:gridSpan w:val="4"/>
          </w:tcPr>
          <w:p>
            <w:pPr>
              <w:jc w:val="right"/>
              <w:ind w:right="28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23.74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543,000</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4%</w:t>
            </w: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23.46</w:t>
            </w:r>
          </w:p>
        </w:tc>
        <w:tc>
          <w:tcPr>
            <w:tcW w:w="20" w:type="dxa"/>
            <w:vAlign w:val="bottom"/>
          </w:tcPr>
          <w:p>
            <w:pPr>
              <w:spacing w:after="0"/>
              <w:rPr>
                <w:sz w:val="18"/>
                <w:szCs w:val="18"/>
                <w:color w:val="auto"/>
              </w:rPr>
            </w:pPr>
          </w:p>
        </w:tc>
      </w:tr>
      <w:tr>
        <w:trPr>
          <w:trHeight w:val="214"/>
        </w:trPr>
        <w:tc>
          <w:tcPr>
            <w:tcW w:w="740" w:type="dxa"/>
            <w:vAlign w:val="bottom"/>
            <w:gridSpan w:val="2"/>
            <w:shd w:val="clear" w:color="auto" w:fill="CCEEFF"/>
          </w:tcPr>
          <w:p>
            <w:pPr>
              <w:jc w:val="center"/>
              <w:ind w:left="273"/>
              <w:spacing w:after="0"/>
              <w:rPr>
                <w:sz w:val="20"/>
                <w:szCs w:val="20"/>
                <w:color w:val="auto"/>
              </w:rPr>
            </w:pPr>
            <w:r>
              <w:rPr>
                <w:rFonts w:ascii="Arial" w:cs="Arial" w:eastAsia="Arial" w:hAnsi="Arial"/>
                <w:sz w:val="17"/>
                <w:szCs w:val="17"/>
                <w:b w:val="1"/>
                <w:bCs w:val="1"/>
                <w:color w:val="auto"/>
                <w:w w:val="89"/>
              </w:rPr>
              <w:t>2006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4%</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25.27</w:t>
            </w:r>
          </w:p>
        </w:tc>
        <w:tc>
          <w:tcPr>
            <w:tcW w:w="20" w:type="dxa"/>
            <w:vAlign w:val="bottom"/>
          </w:tcPr>
          <w:p>
            <w:pPr>
              <w:spacing w:after="0"/>
              <w:rPr>
                <w:sz w:val="18"/>
                <w:szCs w:val="18"/>
                <w:color w:val="auto"/>
              </w:rPr>
            </w:pPr>
          </w:p>
        </w:tc>
      </w:tr>
      <w:tr>
        <w:trPr>
          <w:trHeight w:val="214"/>
        </w:trPr>
        <w:tc>
          <w:tcPr>
            <w:tcW w:w="7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w w:val="89"/>
              </w:rPr>
              <w:t>2007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174,000</w:t>
            </w:r>
          </w:p>
        </w:tc>
        <w:tc>
          <w:tcPr>
            <w:tcW w:w="1320" w:type="dxa"/>
            <w:vAlign w:val="bottom"/>
            <w:gridSpan w:val="4"/>
          </w:tcPr>
          <w:p>
            <w:pPr>
              <w:jc w:val="right"/>
              <w:ind w:right="28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8.39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557,000</w:t>
            </w:r>
          </w:p>
        </w:tc>
        <w:tc>
          <w:tcPr>
            <w:tcW w:w="1360" w:type="dxa"/>
            <w:vAlign w:val="bottom"/>
            <w:gridSpan w:val="4"/>
          </w:tcPr>
          <w:p>
            <w:pPr>
              <w:jc w:val="right"/>
              <w:ind w:right="28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24.41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731,000</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5%</w:t>
            </w: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20.60</w:t>
            </w:r>
          </w:p>
        </w:tc>
        <w:tc>
          <w:tcPr>
            <w:tcW w:w="20" w:type="dxa"/>
            <w:vAlign w:val="bottom"/>
          </w:tcPr>
          <w:p>
            <w:pPr>
              <w:spacing w:after="0"/>
              <w:rPr>
                <w:sz w:val="18"/>
                <w:szCs w:val="18"/>
                <w:color w:val="auto"/>
              </w:rPr>
            </w:pPr>
          </w:p>
        </w:tc>
      </w:tr>
      <w:tr>
        <w:trPr>
          <w:trHeight w:val="214"/>
        </w:trPr>
        <w:tc>
          <w:tcPr>
            <w:tcW w:w="740" w:type="dxa"/>
            <w:vAlign w:val="bottom"/>
            <w:gridSpan w:val="2"/>
            <w:shd w:val="clear" w:color="auto" w:fill="CCEEFF"/>
          </w:tcPr>
          <w:p>
            <w:pPr>
              <w:jc w:val="center"/>
              <w:ind w:left="273"/>
              <w:spacing w:after="0"/>
              <w:rPr>
                <w:sz w:val="20"/>
                <w:szCs w:val="20"/>
                <w:color w:val="auto"/>
              </w:rPr>
            </w:pPr>
            <w:r>
              <w:rPr>
                <w:rFonts w:ascii="Arial" w:cs="Arial" w:eastAsia="Arial" w:hAnsi="Arial"/>
                <w:sz w:val="17"/>
                <w:szCs w:val="17"/>
                <w:b w:val="1"/>
                <w:bCs w:val="1"/>
                <w:color w:val="auto"/>
                <w:w w:val="89"/>
              </w:rPr>
              <w:t>2008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11.91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4%</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w:t>
            </w:r>
          </w:p>
        </w:tc>
        <w:tc>
          <w:tcPr>
            <w:tcW w:w="20" w:type="dxa"/>
            <w:vAlign w:val="bottom"/>
          </w:tcPr>
          <w:p>
            <w:pPr>
              <w:spacing w:after="0"/>
              <w:rPr>
                <w:sz w:val="18"/>
                <w:szCs w:val="18"/>
                <w:color w:val="auto"/>
              </w:rPr>
            </w:pPr>
          </w:p>
        </w:tc>
      </w:tr>
      <w:tr>
        <w:trPr>
          <w:trHeight w:val="214"/>
        </w:trPr>
        <w:tc>
          <w:tcPr>
            <w:tcW w:w="7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w w:val="89"/>
              </w:rPr>
              <w:t>2009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291,000</w:t>
            </w:r>
          </w:p>
        </w:tc>
        <w:tc>
          <w:tcPr>
            <w:tcW w:w="1320" w:type="dxa"/>
            <w:vAlign w:val="bottom"/>
            <w:gridSpan w:val="4"/>
          </w:tcPr>
          <w:p>
            <w:pPr>
              <w:jc w:val="right"/>
              <w:ind w:right="28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13.18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535,000</w:t>
            </w:r>
          </w:p>
        </w:tc>
        <w:tc>
          <w:tcPr>
            <w:tcW w:w="1360" w:type="dxa"/>
            <w:vAlign w:val="bottom"/>
            <w:gridSpan w:val="4"/>
          </w:tcPr>
          <w:p>
            <w:pPr>
              <w:jc w:val="right"/>
              <w:ind w:right="28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27.75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826,000</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5%</w:t>
            </w: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22.62</w:t>
            </w:r>
          </w:p>
        </w:tc>
        <w:tc>
          <w:tcPr>
            <w:tcW w:w="20" w:type="dxa"/>
            <w:vAlign w:val="bottom"/>
          </w:tcPr>
          <w:p>
            <w:pPr>
              <w:spacing w:after="0"/>
              <w:rPr>
                <w:sz w:val="18"/>
                <w:szCs w:val="18"/>
                <w:color w:val="auto"/>
              </w:rPr>
            </w:pPr>
          </w:p>
        </w:tc>
      </w:tr>
      <w:tr>
        <w:trPr>
          <w:trHeight w:val="214"/>
        </w:trPr>
        <w:tc>
          <w:tcPr>
            <w:tcW w:w="740" w:type="dxa"/>
            <w:vAlign w:val="bottom"/>
            <w:gridSpan w:val="2"/>
            <w:shd w:val="clear" w:color="auto" w:fill="CCEEFF"/>
          </w:tcPr>
          <w:p>
            <w:pPr>
              <w:jc w:val="center"/>
              <w:ind w:left="273"/>
              <w:spacing w:after="0"/>
              <w:rPr>
                <w:sz w:val="20"/>
                <w:szCs w:val="20"/>
                <w:color w:val="auto"/>
              </w:rPr>
            </w:pPr>
            <w:r>
              <w:rPr>
                <w:rFonts w:ascii="Arial" w:cs="Arial" w:eastAsia="Arial" w:hAnsi="Arial"/>
                <w:sz w:val="17"/>
                <w:szCs w:val="17"/>
                <w:b w:val="1"/>
                <w:bCs w:val="1"/>
                <w:color w:val="auto"/>
                <w:w w:val="89"/>
              </w:rPr>
              <w:t>2010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13.46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21.40</w:t>
            </w:r>
          </w:p>
        </w:tc>
        <w:tc>
          <w:tcPr>
            <w:tcW w:w="20" w:type="dxa"/>
            <w:vAlign w:val="bottom"/>
          </w:tcPr>
          <w:p>
            <w:pPr>
              <w:spacing w:after="0"/>
              <w:rPr>
                <w:sz w:val="18"/>
                <w:szCs w:val="18"/>
                <w:color w:val="auto"/>
              </w:rPr>
            </w:pPr>
          </w:p>
        </w:tc>
      </w:tr>
      <w:tr>
        <w:trPr>
          <w:trHeight w:val="214"/>
        </w:trPr>
        <w:tc>
          <w:tcPr>
            <w:tcW w:w="7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w w:val="89"/>
              </w:rPr>
              <w:t>2011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114,000</w:t>
            </w:r>
          </w:p>
        </w:tc>
        <w:tc>
          <w:tcPr>
            <w:tcW w:w="1320" w:type="dxa"/>
            <w:vAlign w:val="bottom"/>
            <w:gridSpan w:val="4"/>
          </w:tcPr>
          <w:p>
            <w:pPr>
              <w:jc w:val="right"/>
              <w:ind w:right="28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15.01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502,000</w:t>
            </w:r>
          </w:p>
        </w:tc>
        <w:tc>
          <w:tcPr>
            <w:tcW w:w="1360" w:type="dxa"/>
            <w:vAlign w:val="bottom"/>
            <w:gridSpan w:val="4"/>
          </w:tcPr>
          <w:p>
            <w:pPr>
              <w:jc w:val="right"/>
              <w:ind w:right="28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23.55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616,000</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4%</w:t>
            </w: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21.97</w:t>
            </w:r>
          </w:p>
        </w:tc>
        <w:tc>
          <w:tcPr>
            <w:tcW w:w="20" w:type="dxa"/>
            <w:vAlign w:val="bottom"/>
          </w:tcPr>
          <w:p>
            <w:pPr>
              <w:spacing w:after="0"/>
              <w:rPr>
                <w:sz w:val="18"/>
                <w:szCs w:val="18"/>
                <w:color w:val="auto"/>
              </w:rPr>
            </w:pPr>
          </w:p>
        </w:tc>
      </w:tr>
      <w:tr>
        <w:trPr>
          <w:trHeight w:val="214"/>
        </w:trPr>
        <w:tc>
          <w:tcPr>
            <w:tcW w:w="740" w:type="dxa"/>
            <w:vAlign w:val="bottom"/>
            <w:gridSpan w:val="2"/>
            <w:shd w:val="clear" w:color="auto" w:fill="CCEEFF"/>
          </w:tcPr>
          <w:p>
            <w:pPr>
              <w:jc w:val="center"/>
              <w:ind w:left="273"/>
              <w:spacing w:after="0"/>
              <w:rPr>
                <w:sz w:val="20"/>
                <w:szCs w:val="20"/>
                <w:color w:val="auto"/>
              </w:rPr>
            </w:pPr>
            <w:r>
              <w:rPr>
                <w:rFonts w:ascii="Arial" w:cs="Arial" w:eastAsia="Arial" w:hAnsi="Arial"/>
                <w:sz w:val="17"/>
                <w:szCs w:val="17"/>
                <w:b w:val="1"/>
                <w:bCs w:val="1"/>
                <w:color w:val="auto"/>
                <w:w w:val="89"/>
              </w:rPr>
              <w:t>2012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4%</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w:t>
            </w:r>
          </w:p>
        </w:tc>
        <w:tc>
          <w:tcPr>
            <w:tcW w:w="20" w:type="dxa"/>
            <w:vAlign w:val="bottom"/>
          </w:tcPr>
          <w:p>
            <w:pPr>
              <w:spacing w:after="0"/>
              <w:rPr>
                <w:sz w:val="18"/>
                <w:szCs w:val="18"/>
                <w:color w:val="auto"/>
              </w:rPr>
            </w:pPr>
          </w:p>
        </w:tc>
      </w:tr>
      <w:tr>
        <w:trPr>
          <w:trHeight w:val="214"/>
        </w:trPr>
        <w:tc>
          <w:tcPr>
            <w:tcW w:w="740" w:type="dxa"/>
            <w:vAlign w:val="bottom"/>
            <w:gridSpan w:val="2"/>
          </w:tcPr>
          <w:p>
            <w:pPr>
              <w:jc w:val="center"/>
              <w:ind w:left="273"/>
              <w:spacing w:after="0"/>
              <w:rPr>
                <w:sz w:val="20"/>
                <w:szCs w:val="20"/>
                <w:color w:val="auto"/>
              </w:rPr>
            </w:pPr>
            <w:r>
              <w:rPr>
                <w:rFonts w:ascii="Arial" w:cs="Arial" w:eastAsia="Arial" w:hAnsi="Arial"/>
                <w:sz w:val="17"/>
                <w:szCs w:val="17"/>
                <w:b w:val="1"/>
                <w:bCs w:val="1"/>
                <w:color w:val="auto"/>
                <w:w w:val="89"/>
              </w:rPr>
              <w:t>2013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263,000</w:t>
            </w:r>
          </w:p>
        </w:tc>
        <w:tc>
          <w:tcPr>
            <w:tcW w:w="1320" w:type="dxa"/>
            <w:vAlign w:val="bottom"/>
            <w:gridSpan w:val="4"/>
          </w:tcPr>
          <w:p>
            <w:pPr>
              <w:jc w:val="right"/>
              <w:ind w:right="28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12.32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339,000</w:t>
            </w:r>
          </w:p>
        </w:tc>
        <w:tc>
          <w:tcPr>
            <w:tcW w:w="1360" w:type="dxa"/>
            <w:vAlign w:val="bottom"/>
            <w:gridSpan w:val="4"/>
          </w:tcPr>
          <w:p>
            <w:pPr>
              <w:jc w:val="right"/>
              <w:ind w:right="28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25.69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602,000</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4%</w:t>
            </w: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19.85</w:t>
            </w:r>
          </w:p>
        </w:tc>
        <w:tc>
          <w:tcPr>
            <w:tcW w:w="20" w:type="dxa"/>
            <w:vAlign w:val="bottom"/>
          </w:tcPr>
          <w:p>
            <w:pPr>
              <w:spacing w:after="0"/>
              <w:rPr>
                <w:sz w:val="18"/>
                <w:szCs w:val="18"/>
                <w:color w:val="auto"/>
              </w:rPr>
            </w:pPr>
          </w:p>
        </w:tc>
      </w:tr>
      <w:tr>
        <w:trPr>
          <w:trHeight w:val="214"/>
        </w:trPr>
        <w:tc>
          <w:tcPr>
            <w:tcW w:w="1380" w:type="dxa"/>
            <w:vAlign w:val="bottom"/>
            <w:gridSpan w:val="4"/>
            <w:shd w:val="clear" w:color="auto" w:fill="CCEEFF"/>
          </w:tcPr>
          <w:p>
            <w:pPr>
              <w:jc w:val="center"/>
              <w:ind w:right="280"/>
              <w:spacing w:after="0"/>
              <w:rPr>
                <w:sz w:val="20"/>
                <w:szCs w:val="20"/>
                <w:color w:val="auto"/>
              </w:rPr>
            </w:pPr>
            <w:r>
              <w:rPr>
                <w:rFonts w:ascii="Arial" w:cs="Arial" w:eastAsia="Arial" w:hAnsi="Arial"/>
                <w:sz w:val="17"/>
                <w:szCs w:val="17"/>
                <w:b w:val="1"/>
                <w:bCs w:val="1"/>
                <w:color w:val="auto"/>
                <w:w w:val="93"/>
              </w:rPr>
              <w:t>Thereafter</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7,112,000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82%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12.96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2,174,000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9,286,000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60%</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w:t>
            </w:r>
          </w:p>
        </w:tc>
        <w:tc>
          <w:tcPr>
            <w:tcW w:w="20" w:type="dxa"/>
            <w:vAlign w:val="bottom"/>
          </w:tcPr>
          <w:p>
            <w:pPr>
              <w:spacing w:after="0"/>
              <w:rPr>
                <w:sz w:val="18"/>
                <w:szCs w:val="18"/>
                <w:color w:val="auto"/>
              </w:rPr>
            </w:pPr>
          </w:p>
        </w:tc>
      </w:tr>
      <w:tr>
        <w:trPr>
          <w:trHeight w:val="107"/>
        </w:trPr>
        <w:tc>
          <w:tcPr>
            <w:tcW w:w="118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6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20" w:type="dxa"/>
            <w:vAlign w:val="bottom"/>
            <w:gridSpan w:val="3"/>
          </w:tcPr>
          <w:p>
            <w:pPr>
              <w:spacing w:after="0"/>
              <w:rPr>
                <w:sz w:val="9"/>
                <w:szCs w:val="9"/>
                <w:color w:val="auto"/>
              </w:rPr>
            </w:pPr>
          </w:p>
        </w:tc>
        <w:tc>
          <w:tcPr>
            <w:tcW w:w="2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1"/>
        </w:trPr>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14"/>
        </w:trPr>
        <w:tc>
          <w:tcPr>
            <w:tcW w:w="1380" w:type="dxa"/>
            <w:vAlign w:val="bottom"/>
            <w:gridSpan w:val="4"/>
            <w:shd w:val="clear" w:color="auto" w:fill="CCEEFF"/>
          </w:tcPr>
          <w:p>
            <w:pPr>
              <w:jc w:val="center"/>
              <w:ind w:right="280"/>
              <w:spacing w:after="0"/>
              <w:rPr>
                <w:sz w:val="20"/>
                <w:szCs w:val="20"/>
                <w:color w:val="auto"/>
              </w:rPr>
            </w:pPr>
            <w:r>
              <w:rPr>
                <w:rFonts w:ascii="Arial" w:cs="Arial" w:eastAsia="Arial" w:hAnsi="Arial"/>
                <w:sz w:val="17"/>
                <w:szCs w:val="17"/>
                <w:b w:val="1"/>
                <w:bCs w:val="1"/>
                <w:color w:val="auto"/>
                <w:w w:val="93"/>
              </w:rPr>
              <w:t>Total (3)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8,628,000</w:t>
            </w: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6,744,000</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15,372,000</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100%</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w:t>
            </w:r>
          </w:p>
        </w:tc>
        <w:tc>
          <w:tcPr>
            <w:tcW w:w="20" w:type="dxa"/>
            <w:vAlign w:val="bottom"/>
          </w:tcPr>
          <w:p>
            <w:pPr>
              <w:spacing w:after="0"/>
              <w:rPr>
                <w:sz w:val="18"/>
                <w:szCs w:val="18"/>
                <w:color w:val="auto"/>
              </w:rPr>
            </w:pPr>
          </w:p>
        </w:tc>
      </w:tr>
      <w:tr>
        <w:trPr>
          <w:trHeight w:val="131"/>
        </w:trPr>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11"/>
        </w:trPr>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-3004185</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-3004185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-3004185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-3004185</wp:posOffset>
            </wp:positionV>
            <wp:extent cx="381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2282190</wp:posOffset>
            </wp:positionH>
            <wp:positionV relativeFrom="paragraph">
              <wp:posOffset>-3004185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-3004185</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-3004185</wp:posOffset>
            </wp:positionV>
            <wp:extent cx="2095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-3004185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-3004185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3770630</wp:posOffset>
            </wp:positionH>
            <wp:positionV relativeFrom="paragraph">
              <wp:posOffset>-3004185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-3004185</wp:posOffset>
            </wp:positionV>
            <wp:extent cx="381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-3004185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4987290</wp:posOffset>
            </wp:positionH>
            <wp:positionV relativeFrom="paragraph">
              <wp:posOffset>-3004185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-3004185</wp:posOffset>
            </wp:positionV>
            <wp:extent cx="2095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-3004185</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-3004185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-3004185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-3004185</wp:posOffset>
            </wp:positionV>
            <wp:extent cx="381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6697345</wp:posOffset>
            </wp:positionH>
            <wp:positionV relativeFrom="paragraph">
              <wp:posOffset>-3004185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-3004185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6824980</wp:posOffset>
            </wp:positionH>
            <wp:positionV relativeFrom="paragraph">
              <wp:posOffset>-3004185</wp:posOffset>
            </wp:positionV>
            <wp:extent cx="2095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-171450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-171450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-171450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-171450</wp:posOffset>
            </wp:positionV>
            <wp:extent cx="381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2282190</wp:posOffset>
            </wp:positionH>
            <wp:positionV relativeFrom="paragraph">
              <wp:posOffset>-171450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-171450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-171450</wp:posOffset>
            </wp:positionV>
            <wp:extent cx="2095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-171450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-171450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3770630</wp:posOffset>
            </wp:positionH>
            <wp:positionV relativeFrom="paragraph">
              <wp:posOffset>-171450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-171450</wp:posOffset>
            </wp:positionV>
            <wp:extent cx="381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-171450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4987290</wp:posOffset>
            </wp:positionH>
            <wp:positionV relativeFrom="paragraph">
              <wp:posOffset>-171450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-171450</wp:posOffset>
            </wp:positionV>
            <wp:extent cx="2095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-171450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-171450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-171450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-171450</wp:posOffset>
            </wp:positionV>
            <wp:extent cx="381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6697345</wp:posOffset>
            </wp:positionH>
            <wp:positionV relativeFrom="paragraph">
              <wp:posOffset>-171450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-171450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6824980</wp:posOffset>
            </wp:positionH>
            <wp:positionV relativeFrom="paragraph">
              <wp:posOffset>-171450</wp:posOffset>
            </wp:positionV>
            <wp:extent cx="2095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86" w:lineRule="exact"/>
        <w:rPr>
          <w:sz w:val="20"/>
          <w:szCs w:val="20"/>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25" w:lineRule="exact"/>
        <w:rPr>
          <w:rFonts w:ascii="Arial" w:cs="Arial" w:eastAsia="Arial" w:hAnsi="Arial"/>
          <w:sz w:val="17"/>
          <w:szCs w:val="17"/>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Minimum Rent reflects in-place contractual rent as of June 30, 2004.</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occupied square footage as of June 30, 2004.</w:t>
      </w:r>
    </w:p>
    <w:p>
      <w:pPr>
        <w:sectPr>
          <w:pgSz w:w="11900" w:h="16838" w:orient="portrait"/>
          <w:cols w:equalWidth="0" w:num="1">
            <w:col w:w="11440"/>
          </w:cols>
          <w:pgMar w:left="240" w:top="272" w:right="21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Leasing Statistics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At June 30, 2004</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tcPr>
          <w:p>
            <w:pPr>
              <w:ind w:left="120"/>
              <w:spacing w:after="0"/>
              <w:rPr>
                <w:sz w:val="20"/>
                <w:szCs w:val="20"/>
                <w:color w:val="auto"/>
              </w:rPr>
            </w:pPr>
            <w:r>
              <w:rPr>
                <w:rFonts w:ascii="Arial" w:cs="Arial" w:eastAsia="Arial" w:hAnsi="Arial"/>
                <w:sz w:val="13"/>
                <w:szCs w:val="13"/>
                <w:b w:val="1"/>
                <w:bCs w:val="1"/>
                <w:color w:val="auto"/>
              </w:rPr>
              <w:t>At June 30, 2003</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4000" w:type="dxa"/>
            <w:vAlign w:val="bottom"/>
            <w:gridSpan w:val="6"/>
          </w:tcPr>
          <w:p>
            <w:pPr>
              <w:spacing w:after="0"/>
              <w:rPr>
                <w:sz w:val="20"/>
                <w:szCs w:val="20"/>
                <w:color w:val="auto"/>
              </w:rPr>
            </w:pPr>
            <w:r>
              <w:rPr>
                <w:rFonts w:ascii="Arial" w:cs="Arial" w:eastAsia="Arial" w:hAnsi="Arial"/>
                <w:sz w:val="13"/>
                <w:szCs w:val="13"/>
                <w:b w:val="1"/>
                <w:bCs w:val="1"/>
                <w:color w:val="auto"/>
              </w:rPr>
              <w:t>Type</w:t>
            </w:r>
          </w:p>
        </w:tc>
        <w:tc>
          <w:tcPr>
            <w:tcW w:w="1100" w:type="dxa"/>
            <w:vAlign w:val="bottom"/>
            <w:gridSpan w:val="2"/>
          </w:tcPr>
          <w:p>
            <w:pPr>
              <w:ind w:left="380"/>
              <w:spacing w:after="0"/>
              <w:rPr>
                <w:sz w:val="20"/>
                <w:szCs w:val="20"/>
                <w:color w:val="auto"/>
              </w:rPr>
            </w:pPr>
            <w:r>
              <w:rPr>
                <w:rFonts w:ascii="Arial" w:cs="Arial" w:eastAsia="Arial" w:hAnsi="Arial"/>
                <w:sz w:val="13"/>
                <w:szCs w:val="13"/>
                <w:b w:val="1"/>
                <w:bCs w:val="1"/>
                <w:color w:val="auto"/>
              </w:rPr>
              <w:t>Size</w:t>
            </w:r>
          </w:p>
        </w:tc>
        <w:tc>
          <w:tcPr>
            <w:tcW w:w="300" w:type="dxa"/>
            <w:vAlign w:val="bottom"/>
          </w:tcPr>
          <w:p>
            <w:pPr>
              <w:spacing w:after="0"/>
              <w:rPr>
                <w:sz w:val="22"/>
                <w:szCs w:val="22"/>
                <w:color w:val="auto"/>
              </w:rPr>
            </w:pPr>
          </w:p>
        </w:tc>
        <w:tc>
          <w:tcPr>
            <w:tcW w:w="980" w:type="dxa"/>
            <w:vAlign w:val="bottom"/>
          </w:tcPr>
          <w:p>
            <w:pPr>
              <w:jc w:val="right"/>
              <w:ind w:right="233"/>
              <w:spacing w:after="0"/>
              <w:rPr>
                <w:sz w:val="20"/>
                <w:szCs w:val="20"/>
                <w:color w:val="auto"/>
              </w:rPr>
            </w:pPr>
            <w:r>
              <w:rPr>
                <w:rFonts w:ascii="Arial" w:cs="Arial" w:eastAsia="Arial" w:hAnsi="Arial"/>
                <w:sz w:val="13"/>
                <w:szCs w:val="13"/>
                <w:b w:val="1"/>
                <w:bCs w:val="1"/>
                <w:color w:val="auto"/>
              </w:rPr>
              <w:t>Leased</w:t>
            </w:r>
          </w:p>
        </w:tc>
        <w:tc>
          <w:tcPr>
            <w:tcW w:w="400" w:type="dxa"/>
            <w:vAlign w:val="bottom"/>
          </w:tcPr>
          <w:p>
            <w:pPr>
              <w:spacing w:after="0"/>
              <w:rPr>
                <w:sz w:val="22"/>
                <w:szCs w:val="22"/>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3"/>
              </w:rPr>
              <w:t>Leased %</w:t>
            </w:r>
          </w:p>
        </w:tc>
        <w:tc>
          <w:tcPr>
            <w:tcW w:w="10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Size</w:t>
            </w:r>
          </w:p>
        </w:tc>
        <w:tc>
          <w:tcPr>
            <w:tcW w:w="300" w:type="dxa"/>
            <w:vAlign w:val="bottom"/>
          </w:tcPr>
          <w:p>
            <w:pPr>
              <w:spacing w:after="0"/>
              <w:rPr>
                <w:sz w:val="22"/>
                <w:szCs w:val="22"/>
                <w:color w:val="auto"/>
              </w:rPr>
            </w:pPr>
          </w:p>
        </w:tc>
        <w:tc>
          <w:tcPr>
            <w:tcW w:w="1400" w:type="dxa"/>
            <w:vAlign w:val="bottom"/>
            <w:gridSpan w:val="2"/>
          </w:tcPr>
          <w:p>
            <w:pPr>
              <w:ind w:left="300"/>
              <w:spacing w:after="0"/>
              <w:rPr>
                <w:sz w:val="20"/>
                <w:szCs w:val="20"/>
                <w:color w:val="auto"/>
              </w:rPr>
            </w:pPr>
            <w:r>
              <w:rPr>
                <w:rFonts w:ascii="Arial" w:cs="Arial" w:eastAsia="Arial" w:hAnsi="Arial"/>
                <w:sz w:val="13"/>
                <w:szCs w:val="13"/>
                <w:b w:val="1"/>
                <w:bCs w:val="1"/>
                <w:color w:val="auto"/>
              </w:rPr>
              <w:t>Leased</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3"/>
              </w:rPr>
              <w:t>Leased %</w:t>
            </w:r>
          </w:p>
        </w:tc>
        <w:tc>
          <w:tcPr>
            <w:tcW w:w="0" w:type="dxa"/>
            <w:vAlign w:val="bottom"/>
          </w:tcPr>
          <w:p>
            <w:pPr>
              <w:spacing w:after="0"/>
              <w:rPr>
                <w:sz w:val="1"/>
                <w:szCs w:val="1"/>
                <w:color w:val="auto"/>
              </w:rPr>
            </w:pPr>
          </w:p>
        </w:tc>
      </w:tr>
      <w:tr>
        <w:trPr>
          <w:trHeight w:val="94"/>
        </w:trPr>
        <w:tc>
          <w:tcPr>
            <w:tcW w:w="4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00" w:type="dxa"/>
            <w:vAlign w:val="bottom"/>
            <w:gridSpan w:val="6"/>
            <w:shd w:val="clear" w:color="auto" w:fill="CCEEFF"/>
          </w:tcPr>
          <w:p>
            <w:pPr>
              <w:spacing w:after="0" w:line="174" w:lineRule="exact"/>
              <w:rPr>
                <w:sz w:val="20"/>
                <w:szCs w:val="20"/>
                <w:color w:val="auto"/>
              </w:rPr>
            </w:pPr>
            <w:r>
              <w:rPr>
                <w:rFonts w:ascii="Arial" w:cs="Arial" w:eastAsia="Arial" w:hAnsi="Arial"/>
                <w:sz w:val="17"/>
                <w:szCs w:val="17"/>
                <w:color w:val="auto"/>
              </w:rPr>
              <w:t>Retail Properties:</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00" w:type="dxa"/>
            <w:vAlign w:val="bottom"/>
            <w:gridSpan w:val="6"/>
          </w:tcPr>
          <w:p>
            <w:pPr>
              <w:spacing w:after="0"/>
              <w:rPr>
                <w:sz w:val="20"/>
                <w:szCs w:val="20"/>
                <w:color w:val="auto"/>
              </w:rPr>
            </w:pPr>
            <w:r>
              <w:rPr>
                <w:rFonts w:ascii="Arial" w:cs="Arial" w:eastAsia="Arial" w:hAnsi="Arial"/>
                <w:sz w:val="17"/>
                <w:szCs w:val="17"/>
                <w:color w:val="auto"/>
              </w:rPr>
              <w:t>Including Santana Row Phase I &amp; II (2)</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16,862,000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15,878,000</w:t>
            </w:r>
          </w:p>
        </w:tc>
        <w:tc>
          <w:tcPr>
            <w:tcW w:w="1540" w:type="dxa"/>
            <w:vAlign w:val="bottom"/>
            <w:gridSpan w:val="3"/>
          </w:tcPr>
          <w:p>
            <w:pPr>
              <w:jc w:val="right"/>
              <w:ind w:right="420"/>
              <w:spacing w:after="0"/>
              <w:rPr>
                <w:sz w:val="20"/>
                <w:szCs w:val="20"/>
                <w:color w:val="auto"/>
              </w:rPr>
            </w:pPr>
            <w:r>
              <w:rPr>
                <w:rFonts w:ascii="Arial" w:cs="Arial" w:eastAsia="Arial" w:hAnsi="Arial"/>
                <w:sz w:val="17"/>
                <w:szCs w:val="17"/>
                <w:color w:val="auto"/>
              </w:rPr>
              <w:t>94.2%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15,814,000</w:t>
            </w:r>
          </w:p>
        </w:tc>
        <w:tc>
          <w:tcPr>
            <w:tcW w:w="1700" w:type="dxa"/>
            <w:vAlign w:val="bottom"/>
            <w:gridSpan w:val="3"/>
          </w:tcPr>
          <w:p>
            <w:pPr>
              <w:jc w:val="right"/>
              <w:ind w:right="400"/>
              <w:spacing w:after="0"/>
              <w:rPr>
                <w:sz w:val="20"/>
                <w:szCs w:val="20"/>
                <w:color w:val="auto"/>
              </w:rPr>
            </w:pPr>
            <w:r>
              <w:rPr>
                <w:rFonts w:ascii="Arial" w:cs="Arial" w:eastAsia="Arial" w:hAnsi="Arial"/>
                <w:sz w:val="17"/>
                <w:szCs w:val="17"/>
                <w:color w:val="auto"/>
              </w:rPr>
              <w:t>14,727,000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93.1%</w:t>
            </w:r>
          </w:p>
        </w:tc>
        <w:tc>
          <w:tcPr>
            <w:tcW w:w="0" w:type="dxa"/>
            <w:vAlign w:val="bottom"/>
          </w:tcPr>
          <w:p>
            <w:pPr>
              <w:spacing w:after="0"/>
              <w:rPr>
                <w:sz w:val="1"/>
                <w:szCs w:val="1"/>
                <w:color w:val="auto"/>
              </w:rPr>
            </w:pPr>
          </w:p>
        </w:tc>
      </w:tr>
      <w:tr>
        <w:trPr>
          <w:trHeight w:val="194"/>
        </w:trPr>
        <w:tc>
          <w:tcPr>
            <w:tcW w:w="4000" w:type="dxa"/>
            <w:vAlign w:val="bottom"/>
            <w:gridSpan w:val="6"/>
            <w:shd w:val="clear" w:color="auto" w:fill="CCEEFF"/>
          </w:tcPr>
          <w:p>
            <w:pPr>
              <w:spacing w:after="0" w:line="174" w:lineRule="exact"/>
              <w:rPr>
                <w:sz w:val="20"/>
                <w:szCs w:val="20"/>
                <w:color w:val="auto"/>
              </w:rPr>
            </w:pPr>
            <w:r>
              <w:rPr>
                <w:rFonts w:ascii="Arial" w:cs="Arial" w:eastAsia="Arial" w:hAnsi="Arial"/>
                <w:sz w:val="17"/>
                <w:szCs w:val="17"/>
                <w:color w:val="auto"/>
              </w:rPr>
              <w:t>Residential Properties:</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580" w:type="dxa"/>
            <w:vAlign w:val="bottom"/>
            <w:tcBorders>
              <w:top w:val="single" w:sz="8" w:color="auto"/>
            </w:tcBorders>
            <w:gridSpan w:val="4"/>
          </w:tcPr>
          <w:p>
            <w:pPr>
              <w:spacing w:after="0"/>
              <w:rPr>
                <w:sz w:val="20"/>
                <w:szCs w:val="20"/>
                <w:color w:val="auto"/>
              </w:rPr>
            </w:pPr>
            <w:r>
              <w:rPr>
                <w:rFonts w:ascii="Arial" w:cs="Arial" w:eastAsia="Arial" w:hAnsi="Arial"/>
                <w:sz w:val="17"/>
                <w:szCs w:val="17"/>
                <w:color w:val="auto"/>
              </w:rPr>
              <w:t>Residential Units (3)</w:t>
            </w:r>
          </w:p>
        </w:tc>
        <w:tc>
          <w:tcPr>
            <w:tcW w:w="2420" w:type="dxa"/>
            <w:vAlign w:val="bottom"/>
            <w:tcBorders>
              <w:top w:val="single" w:sz="8" w:color="CCEEFF"/>
            </w:tcBorders>
            <w:gridSpan w:val="2"/>
          </w:tcPr>
          <w:p>
            <w:pPr>
              <w:spacing w:after="0"/>
              <w:rPr>
                <w:sz w:val="19"/>
                <w:szCs w:val="19"/>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683</w:t>
            </w:r>
          </w:p>
        </w:tc>
        <w:tc>
          <w:tcPr>
            <w:tcW w:w="128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645</w:t>
            </w:r>
          </w:p>
        </w:tc>
        <w:tc>
          <w:tcPr>
            <w:tcW w:w="1540" w:type="dxa"/>
            <w:vAlign w:val="bottom"/>
            <w:tcBorders>
              <w:top w:val="single" w:sz="8" w:color="CCEEFF"/>
            </w:tcBorders>
            <w:gridSpan w:val="3"/>
          </w:tcPr>
          <w:p>
            <w:pPr>
              <w:jc w:val="right"/>
              <w:ind w:right="420"/>
              <w:spacing w:after="0"/>
              <w:rPr>
                <w:sz w:val="20"/>
                <w:szCs w:val="20"/>
                <w:color w:val="auto"/>
              </w:rPr>
            </w:pPr>
            <w:r>
              <w:rPr>
                <w:rFonts w:ascii="Arial" w:cs="Arial" w:eastAsia="Arial" w:hAnsi="Arial"/>
                <w:sz w:val="17"/>
                <w:szCs w:val="17"/>
                <w:color w:val="auto"/>
              </w:rPr>
              <w:t>94.4%</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683</w:t>
            </w:r>
          </w:p>
        </w:tc>
        <w:tc>
          <w:tcPr>
            <w:tcW w:w="1700" w:type="dxa"/>
            <w:vAlign w:val="bottom"/>
            <w:tcBorders>
              <w:top w:val="single" w:sz="8" w:color="CCEEFF"/>
            </w:tcBorders>
            <w:gridSpan w:val="3"/>
          </w:tcPr>
          <w:p>
            <w:pPr>
              <w:jc w:val="right"/>
              <w:ind w:right="400"/>
              <w:spacing w:after="0"/>
              <w:rPr>
                <w:sz w:val="20"/>
                <w:szCs w:val="20"/>
                <w:color w:val="auto"/>
              </w:rPr>
            </w:pPr>
            <w:r>
              <w:rPr>
                <w:rFonts w:ascii="Arial" w:cs="Arial" w:eastAsia="Arial" w:hAnsi="Arial"/>
                <w:sz w:val="17"/>
                <w:szCs w:val="17"/>
                <w:color w:val="auto"/>
              </w:rPr>
              <w:t>607</w:t>
            </w:r>
          </w:p>
        </w:tc>
        <w:tc>
          <w:tcPr>
            <w:tcW w:w="72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382"/>
        </w:trPr>
        <w:tc>
          <w:tcPr>
            <w:tcW w:w="4000" w:type="dxa"/>
            <w:vAlign w:val="bottom"/>
            <w:gridSpan w:val="6"/>
          </w:tcPr>
          <w:p>
            <w:pPr>
              <w:spacing w:after="0"/>
              <w:rPr>
                <w:sz w:val="20"/>
                <w:szCs w:val="20"/>
                <w:color w:val="auto"/>
              </w:rPr>
            </w:pPr>
            <w:r>
              <w:rPr>
                <w:rFonts w:ascii="Arial" w:cs="Arial" w:eastAsia="Arial" w:hAnsi="Arial"/>
                <w:sz w:val="17"/>
                <w:szCs w:val="17"/>
                <w:b w:val="1"/>
                <w:bCs w:val="1"/>
                <w:color w:val="auto"/>
              </w:rPr>
              <w:t>Same Center Statistics (1)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vMerge w:val="restart"/>
          </w:tcPr>
          <w:p>
            <w:pPr>
              <w:jc w:val="right"/>
              <w:ind w:right="153"/>
              <w:spacing w:after="0"/>
              <w:rPr>
                <w:sz w:val="20"/>
                <w:szCs w:val="20"/>
                <w:color w:val="auto"/>
              </w:rPr>
            </w:pPr>
            <w:r>
              <w:rPr>
                <w:rFonts w:ascii="Arial" w:cs="Arial" w:eastAsia="Arial" w:hAnsi="Arial"/>
                <w:sz w:val="13"/>
                <w:szCs w:val="13"/>
                <w:b w:val="1"/>
                <w:bCs w:val="1"/>
                <w:color w:val="auto"/>
              </w:rPr>
              <w:t>At June 30, 2004</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At June 30, 2003</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22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4000" w:type="dxa"/>
            <w:vAlign w:val="bottom"/>
            <w:gridSpan w:val="6"/>
          </w:tcPr>
          <w:p>
            <w:pPr>
              <w:spacing w:after="0"/>
              <w:rPr>
                <w:sz w:val="20"/>
                <w:szCs w:val="20"/>
                <w:color w:val="auto"/>
              </w:rPr>
            </w:pPr>
            <w:r>
              <w:rPr>
                <w:rFonts w:ascii="Arial" w:cs="Arial" w:eastAsia="Arial" w:hAnsi="Arial"/>
                <w:sz w:val="13"/>
                <w:szCs w:val="13"/>
                <w:b w:val="1"/>
                <w:bCs w:val="1"/>
                <w:color w:val="auto"/>
              </w:rPr>
              <w:t>Type</w:t>
            </w:r>
          </w:p>
        </w:tc>
        <w:tc>
          <w:tcPr>
            <w:tcW w:w="1100" w:type="dxa"/>
            <w:vAlign w:val="bottom"/>
            <w:gridSpan w:val="2"/>
          </w:tcPr>
          <w:p>
            <w:pPr>
              <w:ind w:left="380"/>
              <w:spacing w:after="0"/>
              <w:rPr>
                <w:sz w:val="20"/>
                <w:szCs w:val="20"/>
                <w:color w:val="auto"/>
              </w:rPr>
            </w:pPr>
            <w:r>
              <w:rPr>
                <w:rFonts w:ascii="Arial" w:cs="Arial" w:eastAsia="Arial" w:hAnsi="Arial"/>
                <w:sz w:val="13"/>
                <w:szCs w:val="13"/>
                <w:b w:val="1"/>
                <w:bCs w:val="1"/>
                <w:color w:val="auto"/>
              </w:rPr>
              <w:t>Size</w:t>
            </w:r>
          </w:p>
        </w:tc>
        <w:tc>
          <w:tcPr>
            <w:tcW w:w="300" w:type="dxa"/>
            <w:vAlign w:val="bottom"/>
          </w:tcPr>
          <w:p>
            <w:pPr>
              <w:spacing w:after="0"/>
              <w:rPr>
                <w:sz w:val="22"/>
                <w:szCs w:val="22"/>
                <w:color w:val="auto"/>
              </w:rPr>
            </w:pPr>
          </w:p>
        </w:tc>
        <w:tc>
          <w:tcPr>
            <w:tcW w:w="980" w:type="dxa"/>
            <w:vAlign w:val="bottom"/>
          </w:tcPr>
          <w:p>
            <w:pPr>
              <w:jc w:val="right"/>
              <w:ind w:right="233"/>
              <w:spacing w:after="0"/>
              <w:rPr>
                <w:sz w:val="20"/>
                <w:szCs w:val="20"/>
                <w:color w:val="auto"/>
              </w:rPr>
            </w:pPr>
            <w:r>
              <w:rPr>
                <w:rFonts w:ascii="Arial" w:cs="Arial" w:eastAsia="Arial" w:hAnsi="Arial"/>
                <w:sz w:val="13"/>
                <w:szCs w:val="13"/>
                <w:b w:val="1"/>
                <w:bCs w:val="1"/>
                <w:color w:val="auto"/>
              </w:rPr>
              <w:t>Leased</w:t>
            </w:r>
          </w:p>
        </w:tc>
        <w:tc>
          <w:tcPr>
            <w:tcW w:w="400" w:type="dxa"/>
            <w:vAlign w:val="bottom"/>
          </w:tcPr>
          <w:p>
            <w:pPr>
              <w:spacing w:after="0"/>
              <w:rPr>
                <w:sz w:val="22"/>
                <w:szCs w:val="22"/>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3"/>
              </w:rPr>
              <w:t>Leased %</w:t>
            </w:r>
          </w:p>
        </w:tc>
        <w:tc>
          <w:tcPr>
            <w:tcW w:w="10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Size</w:t>
            </w:r>
          </w:p>
        </w:tc>
        <w:tc>
          <w:tcPr>
            <w:tcW w:w="300" w:type="dxa"/>
            <w:vAlign w:val="bottom"/>
          </w:tcPr>
          <w:p>
            <w:pPr>
              <w:spacing w:after="0"/>
              <w:rPr>
                <w:sz w:val="22"/>
                <w:szCs w:val="22"/>
                <w:color w:val="auto"/>
              </w:rPr>
            </w:pPr>
          </w:p>
        </w:tc>
        <w:tc>
          <w:tcPr>
            <w:tcW w:w="1400" w:type="dxa"/>
            <w:vAlign w:val="bottom"/>
            <w:gridSpan w:val="2"/>
          </w:tcPr>
          <w:p>
            <w:pPr>
              <w:ind w:left="300"/>
              <w:spacing w:after="0"/>
              <w:rPr>
                <w:sz w:val="20"/>
                <w:szCs w:val="20"/>
                <w:color w:val="auto"/>
              </w:rPr>
            </w:pPr>
            <w:r>
              <w:rPr>
                <w:rFonts w:ascii="Arial" w:cs="Arial" w:eastAsia="Arial" w:hAnsi="Arial"/>
                <w:sz w:val="13"/>
                <w:szCs w:val="13"/>
                <w:b w:val="1"/>
                <w:bCs w:val="1"/>
                <w:color w:val="auto"/>
              </w:rPr>
              <w:t>Leased</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3"/>
              </w:rPr>
              <w:t>Leased %</w:t>
            </w:r>
          </w:p>
        </w:tc>
        <w:tc>
          <w:tcPr>
            <w:tcW w:w="0" w:type="dxa"/>
            <w:vAlign w:val="bottom"/>
          </w:tcPr>
          <w:p>
            <w:pPr>
              <w:spacing w:after="0"/>
              <w:rPr>
                <w:sz w:val="1"/>
                <w:szCs w:val="1"/>
                <w:color w:val="auto"/>
              </w:rPr>
            </w:pPr>
          </w:p>
        </w:tc>
      </w:tr>
      <w:tr>
        <w:trPr>
          <w:trHeight w:val="94"/>
        </w:trPr>
        <w:tc>
          <w:tcPr>
            <w:tcW w:w="4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00" w:type="dxa"/>
            <w:vAlign w:val="bottom"/>
            <w:gridSpan w:val="6"/>
            <w:shd w:val="clear" w:color="auto" w:fill="CCEEFF"/>
          </w:tcPr>
          <w:p>
            <w:pPr>
              <w:spacing w:after="0" w:line="174" w:lineRule="exact"/>
              <w:rPr>
                <w:sz w:val="20"/>
                <w:szCs w:val="20"/>
                <w:color w:val="auto"/>
              </w:rPr>
            </w:pPr>
            <w:r>
              <w:rPr>
                <w:rFonts w:ascii="Arial" w:cs="Arial" w:eastAsia="Arial" w:hAnsi="Arial"/>
                <w:sz w:val="17"/>
                <w:szCs w:val="17"/>
                <w:color w:val="auto"/>
              </w:rPr>
              <w:t>Retail Properties (4):</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00" w:type="dxa"/>
            <w:vAlign w:val="bottom"/>
            <w:gridSpan w:val="6"/>
          </w:tcPr>
          <w:p>
            <w:pPr>
              <w:spacing w:after="0"/>
              <w:rPr>
                <w:sz w:val="20"/>
                <w:szCs w:val="20"/>
                <w:color w:val="auto"/>
              </w:rPr>
            </w:pPr>
            <w:r>
              <w:rPr>
                <w:rFonts w:ascii="Arial" w:cs="Arial" w:eastAsia="Arial" w:hAnsi="Arial"/>
                <w:sz w:val="17"/>
                <w:szCs w:val="17"/>
                <w:color w:val="auto"/>
              </w:rPr>
              <w:t>Excluding properties under redevelopment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0" w:type="dxa"/>
            <w:vAlign w:val="bottom"/>
            <w:gridSpan w:val="6"/>
          </w:tcPr>
          <w:p>
            <w:pPr>
              <w:ind w:left="220"/>
              <w:spacing w:after="0"/>
              <w:rPr>
                <w:sz w:val="20"/>
                <w:szCs w:val="20"/>
                <w:color w:val="auto"/>
              </w:rPr>
            </w:pPr>
            <w:r>
              <w:rPr>
                <w:rFonts w:ascii="Arial" w:cs="Arial" w:eastAsia="Arial" w:hAnsi="Arial"/>
                <w:sz w:val="17"/>
                <w:szCs w:val="17"/>
                <w:color w:val="auto"/>
              </w:rPr>
              <w:t>(leasable square feet) (2)</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12,800,000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12,360,000</w:t>
            </w:r>
          </w:p>
        </w:tc>
        <w:tc>
          <w:tcPr>
            <w:tcW w:w="1540" w:type="dxa"/>
            <w:vAlign w:val="bottom"/>
            <w:gridSpan w:val="3"/>
          </w:tcPr>
          <w:p>
            <w:pPr>
              <w:jc w:val="right"/>
              <w:ind w:right="420"/>
              <w:spacing w:after="0"/>
              <w:rPr>
                <w:sz w:val="20"/>
                <w:szCs w:val="20"/>
                <w:color w:val="auto"/>
              </w:rPr>
            </w:pPr>
            <w:r>
              <w:rPr>
                <w:rFonts w:ascii="Arial" w:cs="Arial" w:eastAsia="Arial" w:hAnsi="Arial"/>
                <w:sz w:val="17"/>
                <w:szCs w:val="17"/>
                <w:color w:val="auto"/>
              </w:rPr>
              <w:t>96.6%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12,737,000</w:t>
            </w:r>
          </w:p>
        </w:tc>
        <w:tc>
          <w:tcPr>
            <w:tcW w:w="1700" w:type="dxa"/>
            <w:vAlign w:val="bottom"/>
            <w:gridSpan w:val="3"/>
          </w:tcPr>
          <w:p>
            <w:pPr>
              <w:jc w:val="right"/>
              <w:ind w:right="400"/>
              <w:spacing w:after="0"/>
              <w:rPr>
                <w:sz w:val="20"/>
                <w:szCs w:val="20"/>
                <w:color w:val="auto"/>
              </w:rPr>
            </w:pPr>
            <w:r>
              <w:rPr>
                <w:rFonts w:ascii="Arial" w:cs="Arial" w:eastAsia="Arial" w:hAnsi="Arial"/>
                <w:sz w:val="17"/>
                <w:szCs w:val="17"/>
                <w:color w:val="auto"/>
              </w:rPr>
              <w:t>12,205,000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175"/>
        </w:trPr>
        <w:tc>
          <w:tcPr>
            <w:tcW w:w="4000" w:type="dxa"/>
            <w:vAlign w:val="bottom"/>
            <w:gridSpan w:val="6"/>
            <w:shd w:val="clear" w:color="auto" w:fill="CCEEFF"/>
          </w:tcPr>
          <w:p>
            <w:pPr>
              <w:spacing w:after="0" w:line="175" w:lineRule="exact"/>
              <w:rPr>
                <w:sz w:val="20"/>
                <w:szCs w:val="20"/>
                <w:color w:val="auto"/>
              </w:rPr>
            </w:pPr>
            <w:r>
              <w:rPr>
                <w:rFonts w:ascii="Arial" w:cs="Arial" w:eastAsia="Arial" w:hAnsi="Arial"/>
                <w:sz w:val="17"/>
                <w:szCs w:val="17"/>
                <w:color w:val="auto"/>
              </w:rPr>
              <w:t>Residential Properties:</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00" w:type="dxa"/>
            <w:vAlign w:val="bottom"/>
            <w:gridSpan w:val="6"/>
          </w:tcPr>
          <w:p>
            <w:pPr>
              <w:spacing w:after="0"/>
              <w:rPr>
                <w:sz w:val="20"/>
                <w:szCs w:val="20"/>
                <w:color w:val="auto"/>
              </w:rPr>
            </w:pPr>
            <w:r>
              <w:rPr>
                <w:rFonts w:ascii="Arial" w:cs="Arial" w:eastAsia="Arial" w:hAnsi="Arial"/>
                <w:sz w:val="17"/>
                <w:szCs w:val="17"/>
                <w:color w:val="auto"/>
              </w:rPr>
              <w:t>Rollingwood Apartments (# of units)</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282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277</w:t>
            </w:r>
          </w:p>
        </w:tc>
        <w:tc>
          <w:tcPr>
            <w:tcW w:w="1540" w:type="dxa"/>
            <w:vAlign w:val="bottom"/>
            <w:gridSpan w:val="3"/>
          </w:tcPr>
          <w:p>
            <w:pPr>
              <w:jc w:val="right"/>
              <w:ind w:right="420"/>
              <w:spacing w:after="0"/>
              <w:rPr>
                <w:sz w:val="20"/>
                <w:szCs w:val="20"/>
                <w:color w:val="auto"/>
              </w:rPr>
            </w:pPr>
            <w:r>
              <w:rPr>
                <w:rFonts w:ascii="Arial" w:cs="Arial" w:eastAsia="Arial" w:hAnsi="Arial"/>
                <w:sz w:val="17"/>
                <w:szCs w:val="17"/>
                <w:color w:val="auto"/>
              </w:rPr>
              <w:t>98.2%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282</w:t>
            </w:r>
          </w:p>
        </w:tc>
        <w:tc>
          <w:tcPr>
            <w:tcW w:w="1700" w:type="dxa"/>
            <w:vAlign w:val="bottom"/>
            <w:gridSpan w:val="3"/>
          </w:tcPr>
          <w:p>
            <w:pPr>
              <w:jc w:val="right"/>
              <w:ind w:right="400"/>
              <w:spacing w:after="0"/>
              <w:rPr>
                <w:sz w:val="20"/>
                <w:szCs w:val="20"/>
                <w:color w:val="auto"/>
              </w:rPr>
            </w:pPr>
            <w:r>
              <w:rPr>
                <w:rFonts w:ascii="Arial" w:cs="Arial" w:eastAsia="Arial" w:hAnsi="Arial"/>
                <w:sz w:val="17"/>
                <w:szCs w:val="17"/>
                <w:color w:val="auto"/>
              </w:rPr>
              <w:t>277</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3977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86" w:lineRule="exact"/>
        <w:rPr>
          <w:sz w:val="20"/>
          <w:szCs w:val="20"/>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25"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Rollingwood, Santana Row residential and The Crest at Congressional Apartments.</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centers purchased or sold.</w:t>
      </w:r>
    </w:p>
    <w:p>
      <w:pPr>
        <w:sectPr>
          <w:pgSz w:w="11900" w:h="16838" w:orient="portrait"/>
          <w:cols w:equalWidth="0" w:num="1">
            <w:col w:w="11420"/>
          </w:cols>
          <w:pgMar w:left="240" w:top="272"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7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00" w:type="dxa"/>
            <w:vAlign w:val="bottom"/>
            <w:gridSpan w:val="3"/>
          </w:tcPr>
          <w:p>
            <w:pPr>
              <w:jc w:val="center"/>
              <w:ind w:right="720"/>
              <w:spacing w:after="0"/>
              <w:rPr>
                <w:sz w:val="20"/>
                <w:szCs w:val="20"/>
                <w:color w:val="auto"/>
              </w:rPr>
            </w:pPr>
            <w:r>
              <w:rPr>
                <w:rFonts w:ascii="Arial" w:cs="Arial" w:eastAsia="Arial" w:hAnsi="Arial"/>
                <w:sz w:val="13"/>
                <w:szCs w:val="13"/>
                <w:b w:val="1"/>
                <w:bCs w:val="1"/>
                <w:color w:val="auto"/>
                <w:w w:val="90"/>
              </w:rPr>
              <w:t>Percentage of</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r>
      <w:tr>
        <w:trPr>
          <w:trHeight w:val="147"/>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6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Annualized Base</w:t>
            </w:r>
          </w:p>
        </w:tc>
        <w:tc>
          <w:tcPr>
            <w:tcW w:w="1700" w:type="dxa"/>
            <w:vAlign w:val="bottom"/>
            <w:gridSpan w:val="3"/>
          </w:tcPr>
          <w:p>
            <w:pPr>
              <w:jc w:val="center"/>
              <w:ind w:right="720"/>
              <w:spacing w:after="0" w:line="148" w:lineRule="exact"/>
              <w:rPr>
                <w:sz w:val="20"/>
                <w:szCs w:val="20"/>
                <w:color w:val="auto"/>
              </w:rPr>
            </w:pPr>
            <w:r>
              <w:rPr>
                <w:rFonts w:ascii="Arial" w:cs="Arial" w:eastAsia="Arial" w:hAnsi="Arial"/>
                <w:sz w:val="13"/>
                <w:szCs w:val="13"/>
                <w:b w:val="1"/>
                <w:bCs w:val="1"/>
                <w:color w:val="auto"/>
                <w:w w:val="94"/>
              </w:rPr>
              <w:t>Total Annualized</w:t>
            </w: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jc w:val="center"/>
              <w:ind w:right="740"/>
              <w:spacing w:after="0" w:line="148" w:lineRule="exact"/>
              <w:rPr>
                <w:sz w:val="20"/>
                <w:szCs w:val="20"/>
                <w:color w:val="auto"/>
              </w:rPr>
            </w:pPr>
            <w:r>
              <w:rPr>
                <w:rFonts w:ascii="Arial" w:cs="Arial" w:eastAsia="Arial" w:hAnsi="Arial"/>
                <w:sz w:val="13"/>
                <w:szCs w:val="13"/>
                <w:b w:val="1"/>
                <w:bCs w:val="1"/>
                <w:color w:val="auto"/>
                <w:w w:val="88"/>
              </w:rPr>
              <w:t>Percentage of</w:t>
            </w:r>
          </w:p>
        </w:tc>
        <w:tc>
          <w:tcPr>
            <w:tcW w:w="6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Stores</w:t>
            </w:r>
          </w:p>
        </w:tc>
      </w:tr>
      <w:tr>
        <w:trPr>
          <w:trHeight w:val="173"/>
        </w:trPr>
        <w:tc>
          <w:tcPr>
            <w:tcW w:w="4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Rank</w:t>
            </w:r>
          </w:p>
        </w:tc>
        <w:tc>
          <w:tcPr>
            <w:tcW w:w="3540" w:type="dxa"/>
            <w:vAlign w:val="bottom"/>
            <w:gridSpan w:val="3"/>
          </w:tcPr>
          <w:p>
            <w:pPr>
              <w:ind w:left="280"/>
              <w:spacing w:after="0"/>
              <w:rPr>
                <w:sz w:val="20"/>
                <w:szCs w:val="20"/>
                <w:color w:val="auto"/>
              </w:rPr>
            </w:pPr>
            <w:r>
              <w:rPr>
                <w:rFonts w:ascii="Arial" w:cs="Arial" w:eastAsia="Arial" w:hAnsi="Arial"/>
                <w:sz w:val="13"/>
                <w:szCs w:val="13"/>
                <w:b w:val="1"/>
                <w:bCs w:val="1"/>
                <w:color w:val="auto"/>
              </w:rPr>
              <w:t>Tenant Name</w:t>
            </w:r>
          </w:p>
        </w:tc>
        <w:tc>
          <w:tcPr>
            <w:tcW w:w="110" w:type="dxa"/>
            <w:vAlign w:val="bottom"/>
          </w:tcPr>
          <w:p>
            <w:pPr>
              <w:spacing w:after="0"/>
              <w:rPr>
                <w:sz w:val="15"/>
                <w:szCs w:val="15"/>
                <w:color w:val="auto"/>
              </w:rPr>
            </w:pPr>
          </w:p>
        </w:tc>
        <w:tc>
          <w:tcPr>
            <w:tcW w:w="1650" w:type="dxa"/>
            <w:vAlign w:val="bottom"/>
            <w:gridSpan w:val="2"/>
          </w:tcPr>
          <w:p>
            <w:pPr>
              <w:jc w:val="right"/>
              <w:ind w:right="1120"/>
              <w:spacing w:after="0"/>
              <w:rPr>
                <w:sz w:val="20"/>
                <w:szCs w:val="20"/>
                <w:color w:val="auto"/>
              </w:rPr>
            </w:pPr>
            <w:r>
              <w:rPr>
                <w:rFonts w:ascii="Arial" w:cs="Arial" w:eastAsia="Arial" w:hAnsi="Arial"/>
                <w:sz w:val="13"/>
                <w:szCs w:val="13"/>
                <w:b w:val="1"/>
                <w:bCs w:val="1"/>
                <w:color w:val="auto"/>
              </w:rPr>
              <w:t>Rent</w:t>
            </w:r>
          </w:p>
        </w:tc>
        <w:tc>
          <w:tcPr>
            <w:tcW w:w="1700" w:type="dxa"/>
            <w:vAlign w:val="bottom"/>
            <w:gridSpan w:val="3"/>
          </w:tcPr>
          <w:p>
            <w:pPr>
              <w:jc w:val="center"/>
              <w:ind w:right="720"/>
              <w:spacing w:after="0"/>
              <w:rPr>
                <w:sz w:val="20"/>
                <w:szCs w:val="20"/>
                <w:color w:val="auto"/>
              </w:rPr>
            </w:pPr>
            <w:r>
              <w:rPr>
                <w:rFonts w:ascii="Arial" w:cs="Arial" w:eastAsia="Arial" w:hAnsi="Arial"/>
                <w:sz w:val="13"/>
                <w:szCs w:val="13"/>
                <w:b w:val="1"/>
                <w:bCs w:val="1"/>
                <w:color w:val="auto"/>
                <w:w w:val="91"/>
              </w:rPr>
              <w:t>Base Rent</w:t>
            </w:r>
          </w:p>
        </w:tc>
        <w:tc>
          <w:tcPr>
            <w:tcW w:w="1580" w:type="dxa"/>
            <w:vAlign w:val="bottom"/>
            <w:gridSpan w:val="3"/>
          </w:tcPr>
          <w:p>
            <w:pPr>
              <w:ind w:left="20"/>
              <w:spacing w:after="0"/>
              <w:rPr>
                <w:sz w:val="20"/>
                <w:szCs w:val="20"/>
                <w:color w:val="auto"/>
              </w:rPr>
            </w:pPr>
            <w:r>
              <w:rPr>
                <w:rFonts w:ascii="Arial" w:cs="Arial" w:eastAsia="Arial" w:hAnsi="Arial"/>
                <w:sz w:val="13"/>
                <w:szCs w:val="13"/>
                <w:b w:val="1"/>
                <w:bCs w:val="1"/>
                <w:color w:val="auto"/>
              </w:rPr>
              <w:t>Tenant GLA</w:t>
            </w:r>
          </w:p>
        </w:tc>
        <w:tc>
          <w:tcPr>
            <w:tcW w:w="1500" w:type="dxa"/>
            <w:vAlign w:val="bottom"/>
            <w:gridSpan w:val="4"/>
          </w:tcPr>
          <w:p>
            <w:pPr>
              <w:jc w:val="center"/>
              <w:ind w:right="740"/>
              <w:spacing w:after="0"/>
              <w:rPr>
                <w:sz w:val="20"/>
                <w:szCs w:val="20"/>
                <w:color w:val="auto"/>
              </w:rPr>
            </w:pPr>
            <w:r>
              <w:rPr>
                <w:rFonts w:ascii="Arial" w:cs="Arial" w:eastAsia="Arial" w:hAnsi="Arial"/>
                <w:sz w:val="13"/>
                <w:szCs w:val="13"/>
                <w:b w:val="1"/>
                <w:bCs w:val="1"/>
                <w:color w:val="auto"/>
                <w:w w:val="96"/>
              </w:rPr>
              <w:t>Total GLA</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Leased</w:t>
            </w:r>
          </w:p>
        </w:tc>
      </w:tr>
      <w:tr>
        <w:trPr>
          <w:trHeight w:val="94"/>
        </w:trPr>
        <w:tc>
          <w:tcPr>
            <w:tcW w:w="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101"/>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Safeway, Inc.</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6,510,000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2.32%</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2.80%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2</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Ahold USA, Inc.</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6,197,000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2.21%</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521,000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3.09%</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Gap, Inc., The</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6,179,000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2.20%</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1.38%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4</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Bed, Bath &amp; Beyond, Inc.</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5,619,000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396,000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2.35%</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Barnes &amp; Noble, Inc.</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4,234,000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1.51%</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1.15%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6</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TJX Companies, The</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3,958,000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1.41%</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454,000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2.69%</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CVS Corporation</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3,539,000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1.26%</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0.90%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8</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Best Buy Stores, L.P.</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3,484,000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1.24%</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0.60%</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9</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Toys R Us, Inc.</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3,271,000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1.17%</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2.06%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10</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Wakefern Food Corporation</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3,077,000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1.10%</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232,000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1.38%</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11</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Borders Group, Inc.</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2,780,000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0.99%</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0.79%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12</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OPNET Technologies, Inc.</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2,478,000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0.88%</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0.36%</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13</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Great Atlantic &amp;Pacific Tea Co</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0.85%</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1.40%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14</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CompUSA, Inc.</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2,371,000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0.85%</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134,000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0.79%</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15</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MTS, Inc.</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0.84%</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0.54%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16</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Home Depot, Inc.</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2,207,000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0.79%</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218,000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17</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Container Store, Inc., The</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0.78%</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0.31%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18</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Michaels Stores, Inc.</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2,166,000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0.77%</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157,000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0.93%</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19</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Dollar Tree Stores, Inc.</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0.72%</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0.96%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20</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Staples, Inc.</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2,004,000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0.71%</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0.63%</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21</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Bally’s Health &amp; Tennis</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0.71%</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0.93%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22</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Retail Ventures, Inc.</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1,969,000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0.70%</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86,000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0.51%</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23</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Dress Barn, Inc.</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0.69%</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0.60%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4"/>
        </w:trPr>
        <w:tc>
          <w:tcPr>
            <w:tcW w:w="720" w:type="dxa"/>
            <w:vAlign w:val="bottom"/>
            <w:gridSpan w:val="3"/>
          </w:tcPr>
          <w:p>
            <w:pPr>
              <w:jc w:val="right"/>
              <w:ind w:right="280"/>
              <w:spacing w:after="0"/>
              <w:rPr>
                <w:sz w:val="20"/>
                <w:szCs w:val="20"/>
                <w:color w:val="auto"/>
              </w:rPr>
            </w:pPr>
            <w:r>
              <w:rPr>
                <w:rFonts w:ascii="Arial" w:cs="Arial" w:eastAsia="Arial" w:hAnsi="Arial"/>
                <w:sz w:val="17"/>
                <w:szCs w:val="17"/>
                <w:color w:val="auto"/>
              </w:rPr>
              <w:t>24</w:t>
            </w: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Kohl’s Corporation</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rPr>
              <w:t>1,905,000</w:t>
            </w:r>
          </w:p>
        </w:tc>
        <w:tc>
          <w:tcPr>
            <w:tcW w:w="78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0.68%</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356,000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2.11%</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4"/>
        </w:trPr>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25</w:t>
            </w: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Albertson’s, Inc.</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1,829,000</w:t>
            </w:r>
          </w:p>
        </w:tc>
        <w:tc>
          <w:tcPr>
            <w:tcW w:w="7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0.65%</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206,000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1.22%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320"/>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Totals - Top 25 Tenants</w:t>
            </w:r>
          </w:p>
        </w:tc>
        <w:tc>
          <w:tcPr>
            <w:tcW w:w="110" w:type="dxa"/>
            <w:vAlign w:val="bottom"/>
          </w:tcPr>
          <w:p>
            <w:pPr>
              <w:spacing w:after="0"/>
              <w:rPr>
                <w:sz w:val="20"/>
                <w:szCs w:val="20"/>
                <w:color w:val="auto"/>
              </w:rPr>
            </w:pPr>
            <w:r>
              <w:rPr>
                <w:rFonts w:ascii="Arial" w:cs="Arial" w:eastAsia="Arial" w:hAnsi="Arial"/>
                <w:sz w:val="17"/>
                <w:szCs w:val="17"/>
                <w:color w:val="auto"/>
              </w:rPr>
              <w:t>$</w:t>
            </w:r>
          </w:p>
        </w:tc>
        <w:tc>
          <w:tcPr>
            <w:tcW w:w="870" w:type="dxa"/>
            <w:vAlign w:val="bottom"/>
          </w:tcPr>
          <w:p>
            <w:pPr>
              <w:jc w:val="right"/>
              <w:spacing w:after="0"/>
              <w:rPr>
                <w:sz w:val="20"/>
                <w:szCs w:val="20"/>
                <w:color w:val="auto"/>
              </w:rPr>
            </w:pPr>
            <w:r>
              <w:rPr>
                <w:rFonts w:ascii="Arial" w:cs="Arial" w:eastAsia="Arial" w:hAnsi="Arial"/>
                <w:sz w:val="17"/>
                <w:szCs w:val="17"/>
                <w:color w:val="auto"/>
                <w:w w:val="98"/>
              </w:rPr>
              <w:t>78,627,000</w:t>
            </w:r>
          </w:p>
        </w:tc>
        <w:tc>
          <w:tcPr>
            <w:tcW w:w="780" w:type="dxa"/>
            <w:vAlign w:val="bottom"/>
          </w:tcPr>
          <w:p>
            <w:pPr>
              <w:spacing w:after="0"/>
              <w:rPr>
                <w:sz w:val="24"/>
                <w:szCs w:val="2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7"/>
                <w:szCs w:val="17"/>
                <w:color w:val="auto"/>
              </w:rPr>
              <w:t>28.02%</w:t>
            </w:r>
          </w:p>
        </w:tc>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5,355,000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31.76%</w:t>
            </w: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189</w:t>
            </w:r>
          </w:p>
        </w:tc>
      </w:tr>
      <w:tr>
        <w:trPr>
          <w:trHeight w:val="132"/>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7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r>
        <w:trPr>
          <w:trHeight w:val="104"/>
        </w:trPr>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7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214"/>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Total Annualized Base Rent:</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5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90"/>
              </w:rPr>
              <w:t>280,570,000(1)</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320"/>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gridSpan w:val="3"/>
          </w:tcPr>
          <w:p>
            <w:pPr>
              <w:ind w:left="280"/>
              <w:spacing w:after="0"/>
              <w:rPr>
                <w:sz w:val="20"/>
                <w:szCs w:val="20"/>
                <w:color w:val="auto"/>
              </w:rPr>
            </w:pPr>
            <w:r>
              <w:rPr>
                <w:rFonts w:ascii="Arial" w:cs="Arial" w:eastAsia="Arial" w:hAnsi="Arial"/>
                <w:sz w:val="17"/>
                <w:szCs w:val="17"/>
                <w:color w:val="auto"/>
              </w:rPr>
              <w:t>Total Portfolio Square Footage:</w:t>
            </w:r>
          </w:p>
        </w:tc>
        <w:tc>
          <w:tcPr>
            <w:tcW w:w="110" w:type="dxa"/>
            <w:vAlign w:val="bottom"/>
          </w:tcPr>
          <w:p>
            <w:pPr>
              <w:spacing w:after="0"/>
              <w:rPr>
                <w:sz w:val="24"/>
                <w:szCs w:val="24"/>
                <w:color w:val="auto"/>
              </w:rPr>
            </w:pPr>
          </w:p>
        </w:tc>
        <w:tc>
          <w:tcPr>
            <w:tcW w:w="87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7"/>
                <w:szCs w:val="17"/>
                <w:color w:val="auto"/>
                <w:w w:val="90"/>
              </w:rPr>
              <w:t>16,862,000(2)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-434340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-434340</wp:posOffset>
            </wp:positionV>
            <wp:extent cx="2095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-434340</wp:posOffset>
            </wp:positionV>
            <wp:extent cx="381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3822065</wp:posOffset>
            </wp:positionH>
            <wp:positionV relativeFrom="paragraph">
              <wp:posOffset>-434340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-434340</wp:posOffset>
            </wp:positionV>
            <wp:extent cx="381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-434340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-434340</wp:posOffset>
            </wp:positionV>
            <wp:extent cx="381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5897880</wp:posOffset>
            </wp:positionH>
            <wp:positionV relativeFrom="paragraph">
              <wp:posOffset>-434340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6382385</wp:posOffset>
            </wp:positionH>
            <wp:positionV relativeFrom="paragraph">
              <wp:posOffset>-434340</wp:posOffset>
            </wp:positionV>
            <wp:extent cx="381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-434340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6850380</wp:posOffset>
            </wp:positionH>
            <wp:positionV relativeFrom="paragraph">
              <wp:posOffset>-434340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69215</wp:posOffset>
            </wp:positionV>
            <wp:extent cx="7397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86" w:lineRule="exact"/>
        <w:rPr>
          <w:sz w:val="20"/>
          <w:szCs w:val="20"/>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annual in-place contractual rent as of June 30, 2004.</w:t>
      </w:r>
    </w:p>
    <w:p>
      <w:pPr>
        <w:spacing w:after="0" w:line="25" w:lineRule="exact"/>
        <w:rPr>
          <w:rFonts w:ascii="Arial" w:cs="Arial" w:eastAsia="Arial" w:hAnsi="Arial"/>
          <w:sz w:val="17"/>
          <w:szCs w:val="17"/>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ectPr>
          <w:pgSz w:w="11900" w:h="16838" w:orient="portrait"/>
          <w:cols w:equalWidth="0" w:num="1">
            <w:col w:w="11420"/>
          </w:cols>
          <w:pgMar w:left="240" w:top="272"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2003 Sales / Occupancy Costs (1) (2)</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2"/>
          </w:tcPr>
          <w:p>
            <w:pPr>
              <w:jc w:val="center"/>
              <w:ind w:right="1200"/>
              <w:spacing w:after="0"/>
              <w:rPr>
                <w:sz w:val="20"/>
                <w:szCs w:val="20"/>
                <w:color w:val="auto"/>
              </w:rPr>
            </w:pPr>
            <w:r>
              <w:rPr>
                <w:rFonts w:ascii="Arial" w:cs="Arial" w:eastAsia="Arial" w:hAnsi="Arial"/>
                <w:sz w:val="13"/>
                <w:szCs w:val="13"/>
                <w:b w:val="1"/>
                <w:bCs w:val="1"/>
                <w:color w:val="auto"/>
                <w:w w:val="93"/>
              </w:rPr>
              <w:t>Average</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7"/>
        </w:trPr>
        <w:tc>
          <w:tcPr>
            <w:tcW w:w="6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Occupancy Cost</w:t>
            </w:r>
          </w:p>
        </w:tc>
        <w:tc>
          <w:tcPr>
            <w:tcW w:w="14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1"/>
              </w:rPr>
              <w:t>Average Occupancy</w:t>
            </w:r>
          </w:p>
        </w:tc>
      </w:tr>
      <w:tr>
        <w:trPr>
          <w:trHeight w:val="147"/>
        </w:trPr>
        <w:tc>
          <w:tcPr>
            <w:tcW w:w="6000" w:type="dxa"/>
            <w:vAlign w:val="bottom"/>
          </w:tcPr>
          <w:p>
            <w:pPr>
              <w:spacing w:after="0"/>
              <w:rPr>
                <w:sz w:val="12"/>
                <w:szCs w:val="12"/>
                <w:color w:val="auto"/>
              </w:rPr>
            </w:pPr>
          </w:p>
        </w:tc>
        <w:tc>
          <w:tcPr>
            <w:tcW w:w="940" w:type="dxa"/>
            <w:vAlign w:val="bottom"/>
            <w:gridSpan w:val="2"/>
          </w:tcPr>
          <w:p>
            <w:pPr>
              <w:ind w:left="80"/>
              <w:spacing w:after="0" w:line="148" w:lineRule="exact"/>
              <w:rPr>
                <w:sz w:val="20"/>
                <w:szCs w:val="20"/>
                <w:color w:val="auto"/>
              </w:rPr>
            </w:pPr>
            <w:r>
              <w:rPr>
                <w:rFonts w:ascii="Arial" w:cs="Arial" w:eastAsia="Arial" w:hAnsi="Arial"/>
                <w:sz w:val="13"/>
                <w:szCs w:val="13"/>
                <w:b w:val="1"/>
                <w:bCs w:val="1"/>
                <w:color w:val="auto"/>
                <w:w w:val="94"/>
              </w:rPr>
              <w:t>Average Sales</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200"/>
              <w:spacing w:after="0" w:line="148" w:lineRule="exact"/>
              <w:rPr>
                <w:sz w:val="20"/>
                <w:szCs w:val="20"/>
                <w:color w:val="auto"/>
              </w:rPr>
            </w:pPr>
            <w:r>
              <w:rPr>
                <w:rFonts w:ascii="Arial" w:cs="Arial" w:eastAsia="Arial" w:hAnsi="Arial"/>
                <w:sz w:val="13"/>
                <w:szCs w:val="13"/>
                <w:b w:val="1"/>
                <w:bCs w:val="1"/>
                <w:color w:val="auto"/>
                <w:w w:val="94"/>
              </w:rPr>
              <w:t>per Square</w:t>
            </w:r>
          </w:p>
        </w:tc>
        <w:tc>
          <w:tcPr>
            <w:tcW w:w="14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87"/>
              </w:rPr>
              <w:t>Costs as a Percentage</w:t>
            </w:r>
          </w:p>
        </w:tc>
      </w:tr>
      <w:tr>
        <w:trPr>
          <w:trHeight w:val="173"/>
        </w:trPr>
        <w:tc>
          <w:tcPr>
            <w:tcW w:w="60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Per Square Foot</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2"/>
              </w:rPr>
              <w:t>Foot</w:t>
            </w:r>
          </w:p>
        </w:tc>
        <w:tc>
          <w:tcPr>
            <w:tcW w:w="14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of Sales</w:t>
            </w:r>
          </w:p>
        </w:tc>
      </w:tr>
      <w:tr>
        <w:trPr>
          <w:trHeight w:val="94"/>
        </w:trPr>
        <w:tc>
          <w:tcPr>
            <w:tcW w:w="60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1"/>
        </w:trPr>
        <w:tc>
          <w:tcPr>
            <w:tcW w:w="6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Reporting Tenants</w:t>
            </w:r>
          </w:p>
        </w:tc>
        <w:tc>
          <w:tcPr>
            <w:tcW w:w="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320.27</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7"/>
                <w:szCs w:val="17"/>
                <w:b w:val="1"/>
                <w:bCs w:val="1"/>
                <w:color w:val="auto"/>
              </w:rPr>
              <w:t>$</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b w:val="1"/>
                <w:bCs w:val="1"/>
                <w:color w:val="auto"/>
              </w:rPr>
              <w:t>22.48</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7"/>
                <w:szCs w:val="17"/>
                <w:b w:val="1"/>
                <w:bCs w:val="1"/>
                <w:color w:val="auto"/>
                <w:w w:val="97"/>
              </w:rPr>
              <w:t>7.0%</w:t>
            </w:r>
          </w:p>
        </w:tc>
      </w:tr>
      <w:tr>
        <w:trPr>
          <w:trHeight w:val="214"/>
        </w:trPr>
        <w:tc>
          <w:tcPr>
            <w:tcW w:w="6000" w:type="dxa"/>
            <w:vAlign w:val="bottom"/>
          </w:tcPr>
          <w:p>
            <w:pPr>
              <w:spacing w:after="0"/>
              <w:rPr>
                <w:sz w:val="20"/>
                <w:szCs w:val="20"/>
                <w:color w:val="auto"/>
              </w:rPr>
            </w:pPr>
            <w:r>
              <w:rPr>
                <w:rFonts w:ascii="Arial" w:cs="Arial" w:eastAsia="Arial" w:hAnsi="Arial"/>
                <w:sz w:val="17"/>
                <w:szCs w:val="17"/>
                <w:color w:val="auto"/>
              </w:rPr>
              <w:t>Reporting Anchor Tenants</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321.49</w:t>
            </w:r>
          </w:p>
        </w:tc>
        <w:tc>
          <w:tcPr>
            <w:tcW w:w="120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1080"/>
              <w:spacing w:after="0"/>
              <w:rPr>
                <w:sz w:val="20"/>
                <w:szCs w:val="20"/>
                <w:color w:val="auto"/>
              </w:rPr>
            </w:pPr>
            <w:r>
              <w:rPr>
                <w:rFonts w:ascii="Arial" w:cs="Arial" w:eastAsia="Arial" w:hAnsi="Arial"/>
                <w:sz w:val="17"/>
                <w:szCs w:val="17"/>
                <w:color w:val="auto"/>
              </w:rPr>
              <w:t>17.05</w:t>
            </w:r>
          </w:p>
        </w:tc>
        <w:tc>
          <w:tcPr>
            <w:tcW w:w="1400" w:type="dxa"/>
            <w:vAlign w:val="bottom"/>
            <w:gridSpan w:val="2"/>
          </w:tcPr>
          <w:p>
            <w:pPr>
              <w:ind w:left="1000"/>
              <w:spacing w:after="0"/>
              <w:rPr>
                <w:sz w:val="20"/>
                <w:szCs w:val="20"/>
                <w:color w:val="auto"/>
              </w:rPr>
            </w:pPr>
            <w:r>
              <w:rPr>
                <w:rFonts w:ascii="Arial" w:cs="Arial" w:eastAsia="Arial" w:hAnsi="Arial"/>
                <w:sz w:val="17"/>
                <w:szCs w:val="17"/>
                <w:color w:val="auto"/>
                <w:w w:val="97"/>
              </w:rPr>
              <w:t>5.3%</w:t>
            </w: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Reporting Small Shop Tenants</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318.51</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30.28</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w w:val="97"/>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7397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86" w:lineRule="exact"/>
        <w:rPr>
          <w:sz w:val="20"/>
          <w:szCs w:val="20"/>
          <w:color w:val="auto"/>
        </w:rPr>
      </w:pPr>
    </w:p>
    <w:p>
      <w:pPr>
        <w:ind w:left="460" w:right="300" w:hanging="453"/>
        <w:spacing w:after="0" w:line="267"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only those tenants that have twelve months of reported sales in 2003. For that period, reporters are comprised of 3.4 million square feet of small shop space and 4.9 million square feet of anchor space.</w:t>
      </w: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Occupancy costs include minimum rent, percentage rent, common area maintenance, real estate tax and merchant’s association dues.</w:t>
      </w:r>
    </w:p>
    <w:p>
      <w:pPr>
        <w:sectPr>
          <w:pgSz w:w="11900" w:h="16838" w:orient="portrait"/>
          <w:cols w:equalWidth="0" w:num="1">
            <w:col w:w="11420"/>
          </w:cols>
          <w:pgMar w:left="240" w:top="272"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8845" cy="27305"/>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2004 EPS to 2004 FFO Guidance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2004</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millions except per share amounts)</w:t>
      </w:r>
    </w:p>
    <w:p>
      <w:pPr>
        <w:spacing w:after="0" w:line="162" w:lineRule="exact"/>
        <w:rPr>
          <w:sz w:val="20"/>
          <w:szCs w:val="20"/>
          <w:color w:val="auto"/>
        </w:rPr>
      </w:pPr>
    </w:p>
    <w:p>
      <w:pPr>
        <w:ind w:left="7280"/>
        <w:spacing w:after="0"/>
        <w:tabs>
          <w:tab w:leader="none" w:pos="9580" w:val="left"/>
        </w:tabs>
        <w:rPr>
          <w:sz w:val="20"/>
          <w:szCs w:val="20"/>
          <w:color w:val="auto"/>
        </w:rPr>
      </w:pPr>
      <w:r>
        <w:rPr>
          <w:rFonts w:ascii="Arial" w:cs="Arial" w:eastAsia="Arial" w:hAnsi="Arial"/>
          <w:sz w:val="13"/>
          <w:szCs w:val="13"/>
          <w:b w:val="1"/>
          <w:bCs w:val="1"/>
          <w:color w:val="auto"/>
        </w:rPr>
        <w:t>Forecast</w:t>
      </w:r>
      <w:r>
        <w:rPr>
          <w:sz w:val="20"/>
          <w:szCs w:val="20"/>
          <w:color w:val="auto"/>
        </w:rPr>
        <w:tab/>
      </w:r>
      <w:r>
        <w:rPr>
          <w:rFonts w:ascii="Arial" w:cs="Arial" w:eastAsia="Arial" w:hAnsi="Arial"/>
          <w:sz w:val="13"/>
          <w:szCs w:val="13"/>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74930</wp:posOffset>
            </wp:positionV>
            <wp:extent cx="269684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96845" cy="8255"/>
                    </a:xfrm>
                    <a:prstGeom prst="rect">
                      <a:avLst/>
                    </a:prstGeom>
                    <a:noFill/>
                  </pic:spPr>
                </pic:pic>
              </a:graphicData>
            </a:graphic>
          </wp:anchor>
        </w:drawing>
      </w: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$1.48</w:t>
            </w:r>
          </w:p>
        </w:tc>
        <w:tc>
          <w:tcPr>
            <w:tcW w:w="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(8)</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(8)</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Amortization of initial direct costs of leases</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Dividends on preferred stock</w:t>
            </w:r>
          </w:p>
        </w:tc>
        <w:tc>
          <w:tcPr>
            <w:tcW w:w="1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(11)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w w:val="99"/>
              </w:rPr>
              <w:t>(11)</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$2.81</w:t>
            </w:r>
          </w:p>
        </w:tc>
        <w:tc>
          <w:tcPr>
            <w:tcW w:w="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52.3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-299085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-299085</wp:posOffset>
            </wp:positionV>
            <wp:extent cx="2095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-299085</wp:posOffset>
            </wp:positionV>
            <wp:extent cx="381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-299085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-299085</wp:posOffset>
            </wp:positionV>
            <wp:extent cx="2095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-299085</wp:posOffset>
            </wp:positionV>
            <wp:extent cx="381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8" w:orient="portrait"/>
          <w:cols w:equalWidth="0" w:num="1">
            <w:col w:w="10840"/>
          </w:cols>
          <w:pgMar w:left="240" w:top="272" w:right="81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8845" cy="27305"/>
                    </a:xfrm>
                    <a:prstGeom prst="rect">
                      <a:avLst/>
                    </a:prstGeom>
                    <a:noFill/>
                  </pic:spPr>
                </pic:pic>
              </a:graphicData>
            </a:graphic>
          </wp:anchor>
        </w:drawing>
        <w:t>Glossary of Terms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EBITDA</w:t>
      </w:r>
      <w:r>
        <w:rPr>
          <w:rFonts w:ascii="Arial" w:cs="Arial" w:eastAsia="Arial" w:hAnsi="Arial"/>
          <w:sz w:val="17"/>
          <w:szCs w:val="17"/>
          <w:color w:val="auto"/>
        </w:rPr>
        <w:t>: EBITDA is a non-GAAP measure that means net income or loss plus interest expense, income taxes, depreciation and amortization; adjusted for gain or</w:t>
      </w:r>
      <w:r>
        <w:rPr>
          <w:rFonts w:ascii="Arial" w:cs="Arial" w:eastAsia="Arial" w:hAnsi="Arial"/>
          <w:sz w:val="17"/>
          <w:szCs w:val="17"/>
          <w:b w:val="1"/>
          <w:bCs w:val="1"/>
          <w:color w:val="auto"/>
        </w:rPr>
        <w:t xml:space="preserve"> </w:t>
      </w:r>
      <w:r>
        <w:rPr>
          <w:rFonts w:ascii="Arial" w:cs="Arial" w:eastAsia="Arial" w:hAnsi="Arial"/>
          <w:sz w:val="17"/>
          <w:szCs w:val="17"/>
          <w:color w:val="auto"/>
        </w:rPr>
        <w:t>loss on sale of assets, impairment provisions, provision for loss on equity securities and other nonrecurring expenses. EBITDA is presented because it provides useful information regarding our ability to service debt. EBITDA should not be considered an alternative measure of operating results or cash flow from operations as determined in accordance with GAAP. The reconciliation of EBITDA, adjusted for discontinued operations, to net income for the six months ended June 30, 2004 and 2003 is as follows:</w:t>
      </w:r>
    </w:p>
    <w:p>
      <w:pPr>
        <w:spacing w:after="0" w:line="113" w:lineRule="exact"/>
        <w:rPr>
          <w:sz w:val="20"/>
          <w:szCs w:val="20"/>
          <w:color w:val="auto"/>
        </w:rPr>
      </w:pPr>
    </w:p>
    <w:p>
      <w:pPr>
        <w:jc w:val="center"/>
        <w:ind w:left="7020"/>
        <w:spacing w:after="0"/>
        <w:rPr>
          <w:sz w:val="20"/>
          <w:szCs w:val="20"/>
          <w:color w:val="auto"/>
        </w:rPr>
      </w:pPr>
      <w:r>
        <w:rPr>
          <w:rFonts w:ascii="Arial" w:cs="Arial" w:eastAsia="Arial" w:hAnsi="Arial"/>
          <w:sz w:val="13"/>
          <w:szCs w:val="13"/>
          <w:b w:val="1"/>
          <w:bCs w:val="1"/>
          <w:color w:val="auto"/>
        </w:rPr>
        <w:t>For the Six Months Ended</w:t>
      </w:r>
    </w:p>
    <w:p>
      <w:pPr>
        <w:spacing w:after="0" w:line="12" w:lineRule="exact"/>
        <w:rPr>
          <w:sz w:val="20"/>
          <w:szCs w:val="20"/>
          <w:color w:val="auto"/>
        </w:rPr>
      </w:pPr>
    </w:p>
    <w:p>
      <w:pPr>
        <w:jc w:val="center"/>
        <w:ind w:left="702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66040</wp:posOffset>
            </wp:positionV>
            <wp:extent cx="12420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9"/>
              <w:spacing w:after="0"/>
              <w:rPr>
                <w:sz w:val="20"/>
                <w:szCs w:val="20"/>
                <w:color w:val="auto"/>
              </w:rPr>
            </w:pPr>
            <w:r>
              <w:rPr>
                <w:rFonts w:ascii="Arial" w:cs="Arial" w:eastAsia="Arial" w:hAnsi="Arial"/>
                <w:sz w:val="13"/>
                <w:szCs w:val="13"/>
                <w:b w:val="1"/>
                <w:bCs w:val="1"/>
                <w:color w:val="auto"/>
              </w:rPr>
              <w:t>2004</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3"/>
                <w:szCs w:val="13"/>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43,578</w:t>
            </w:r>
          </w:p>
        </w:tc>
        <w:tc>
          <w:tcPr>
            <w:tcW w:w="3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43,858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35,575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Interest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42,710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(8,334)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121,812</w:t>
            </w:r>
          </w:p>
        </w:tc>
        <w:tc>
          <w:tcPr>
            <w:tcW w:w="3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105,357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-29210</wp:posOffset>
            </wp:positionV>
            <wp:extent cx="2095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5650865</wp:posOffset>
            </wp:positionH>
            <wp:positionV relativeFrom="paragraph">
              <wp:posOffset>-29210</wp:posOffset>
            </wp:positionV>
            <wp:extent cx="381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-29210</wp:posOffset>
            </wp:positionV>
            <wp:extent cx="2095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6467475</wp:posOffset>
            </wp:positionH>
            <wp:positionV relativeFrom="paragraph">
              <wp:posOffset>-29210</wp:posOffset>
            </wp:positionV>
            <wp:extent cx="381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21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Gross revenues, including interest income, less rental expenses and real estate taxes.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Overall Portfolio: </w:t>
      </w:r>
      <w:r>
        <w:rPr>
          <w:rFonts w:ascii="Arial" w:cs="Arial" w:eastAsia="Arial" w:hAnsi="Arial"/>
          <w:sz w:val="17"/>
          <w:szCs w:val="17"/>
          <w:color w:val="auto"/>
        </w:rPr>
        <w:t>Includes all operating properties owned in reporting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Excludes centers purchased or sold.</w:t>
      </w:r>
    </w:p>
    <w:p>
      <w:pPr>
        <w:spacing w:after="0" w:line="166" w:lineRule="exact"/>
        <w:rPr>
          <w:sz w:val="20"/>
          <w:szCs w:val="20"/>
          <w:color w:val="auto"/>
        </w:rPr>
      </w:pPr>
    </w:p>
    <w:p>
      <w:pPr>
        <w:ind w:right="520"/>
        <w:spacing w:after="0" w:line="302" w:lineRule="auto"/>
        <w:rPr>
          <w:sz w:val="20"/>
          <w:szCs w:val="20"/>
          <w:color w:val="auto"/>
        </w:rPr>
      </w:pPr>
      <w:r>
        <w:rPr>
          <w:rFonts w:ascii="Arial" w:cs="Arial" w:eastAsia="Arial" w:hAnsi="Arial"/>
          <w:sz w:val="17"/>
          <w:szCs w:val="17"/>
          <w:b w:val="1"/>
          <w:bCs w:val="1"/>
          <w:color w:val="auto"/>
        </w:rPr>
        <w:t xml:space="preserve">Tenant improvements: </w:t>
      </w:r>
      <w:r>
        <w:rPr>
          <w:rFonts w:ascii="Arial" w:cs="Arial" w:eastAsia="Arial" w:hAnsi="Arial"/>
          <w:sz w:val="17"/>
          <w:szCs w:val="17"/>
          <w:color w:val="auto"/>
        </w:rPr>
        <w:t>Represents not only the total dollars committed for the improvement (fit-out) of a space as it relates to a specific lease but may also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base building costs (i.e. expansion, escalators or new entrances) which are required to make the space leasable.</w:t>
      </w:r>
    </w:p>
    <w:sectPr>
      <w:pgSz w:w="11900" w:h="16838" w:orient="portrait"/>
      <w:cols w:equalWidth="0" w:num="1">
        <w:col w:w="11400"/>
      </w:cols>
      <w:pgMar w:left="240" w:top="27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Letter"/>
      <w:start w:val="3"/>
    </w:lvl>
  </w:abstractNum>
  <w:abstractNum w:abstractNumId="1">
    <w:nsid w:val="140E0F76"/>
    <w:multiLevelType w:val="hybridMultilevel"/>
    <w:lvl w:ilvl="0">
      <w:lvlJc w:val="left"/>
      <w:lvlText w:val="%1."/>
      <w:numFmt w:val="decimal"/>
      <w:start w:val="3"/>
    </w:lvl>
  </w:abstractNum>
  <w:abstractNum w:abstractNumId="2">
    <w:nsid w:val="3352255A"/>
    <w:multiLevelType w:val="hybridMultilevel"/>
    <w:lvl w:ilvl="0">
      <w:lvlJc w:val="left"/>
      <w:lvlText w:val="%1."/>
      <w:numFmt w:val="decimal"/>
      <w:start w:val="8"/>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2019-12-13T00:58:58Z</dcterms:created>
  <dcterms:modified xsi:type="dcterms:W3CDTF">2019-12-13T00:58:58Z</dcterms:modified>
</cp:coreProperties>
</file>