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7"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March 31, 2011</w:t>
      </w:r>
    </w:p>
    <w:p>
      <w:pPr>
        <w:spacing w:after="0" w:line="136"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760"/>
          </w:cols>
          <w:pgMar w:left="240" w:top="206" w:right="899" w:bottom="1440" w:gutter="0" w:footer="0" w:header="0"/>
        </w:sectPr>
      </w:pPr>
    </w:p>
    <w:p>
      <w:pPr>
        <w:spacing w:after="0" w:line="192"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580"/>
          </w:cols>
          <w:pgMar w:left="240" w:top="206"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206" w:right="89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480" w:space="720"/>
            <w:col w:w="2560"/>
          </w:cols>
          <w:pgMar w:left="240" w:top="206"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440"/>
          </w:cols>
          <w:pgMar w:left="240" w:top="206" w:right="89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60"/>
          </w:cols>
          <w:pgMar w:left="240" w:top="206"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May 5, 2011, Federal Realty Investment Trust issued supplemental data pertaining to its operations, as well as a press release, to report its financial results for the quarter ended March 31, 2011. The supplemental data and press release are furnished as Exhibit 99.1 hereto.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840" w:hanging="376"/>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March 31, 2011 (including press release dated May 5, 2011)</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May 5, 2011</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Exh No.</w:t>
            </w:r>
          </w:p>
        </w:tc>
        <w:tc>
          <w:tcPr>
            <w:tcW w:w="56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Supplemental Information at March 31, 2011</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99"/>
        </w:trPr>
        <w:tc>
          <w:tcPr>
            <w:tcW w:w="9180" w:type="dxa"/>
            <w:vAlign w:val="bottom"/>
          </w:tcPr>
          <w:p>
            <w:pPr>
              <w:jc w:val="center"/>
              <w:ind w:left="2150"/>
              <w:spacing w:after="0"/>
              <w:rPr>
                <w:sz w:val="20"/>
                <w:szCs w:val="20"/>
                <w:color w:val="auto"/>
              </w:rPr>
            </w:pPr>
            <w:r>
              <w:rPr>
                <w:rFonts w:ascii="Arial" w:cs="Arial" w:eastAsia="Arial" w:hAnsi="Arial"/>
                <w:sz w:val="22"/>
                <w:szCs w:val="22"/>
                <w:b w:val="1"/>
                <w:bCs w:val="1"/>
                <w:color w:val="auto"/>
              </w:rPr>
              <w:t>FEDERAL REALTY INVESTMENT TRUST</w:t>
            </w:r>
          </w:p>
        </w:tc>
        <w:tc>
          <w:tcPr>
            <w:tcW w:w="2240" w:type="dxa"/>
            <w:vAlign w:val="bottom"/>
          </w:tcPr>
          <w:p>
            <w:pPr>
              <w:spacing w:after="0"/>
              <w:rPr>
                <w:sz w:val="24"/>
                <w:szCs w:val="24"/>
                <w:color w:val="auto"/>
              </w:rPr>
            </w:pPr>
          </w:p>
        </w:tc>
      </w:tr>
      <w:tr>
        <w:trPr>
          <w:trHeight w:val="216"/>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4"/>
              </w:rPr>
              <w:t>SUPPLEMENTAL INFORMATION</w:t>
            </w:r>
          </w:p>
        </w:tc>
        <w:tc>
          <w:tcPr>
            <w:tcW w:w="2240" w:type="dxa"/>
            <w:vAlign w:val="bottom"/>
          </w:tcPr>
          <w:p>
            <w:pPr>
              <w:spacing w:after="0"/>
              <w:rPr>
                <w:sz w:val="18"/>
                <w:szCs w:val="18"/>
                <w:color w:val="auto"/>
              </w:rPr>
            </w:pPr>
          </w:p>
        </w:tc>
      </w:tr>
      <w:tr>
        <w:trPr>
          <w:trHeight w:val="222"/>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7"/>
              </w:rPr>
              <w:t>March 31, 2011</w:t>
            </w:r>
          </w:p>
        </w:tc>
        <w:tc>
          <w:tcPr>
            <w:tcW w:w="2240" w:type="dxa"/>
            <w:vAlign w:val="bottom"/>
          </w:tcPr>
          <w:p>
            <w:pPr>
              <w:spacing w:after="0"/>
              <w:rPr>
                <w:sz w:val="19"/>
                <w:szCs w:val="19"/>
                <w:color w:val="auto"/>
              </w:rPr>
            </w:pPr>
          </w:p>
        </w:tc>
      </w:tr>
      <w:tr>
        <w:trPr>
          <w:trHeight w:val="378"/>
        </w:trPr>
        <w:tc>
          <w:tcPr>
            <w:tcW w:w="9180" w:type="dxa"/>
            <w:vAlign w:val="bottom"/>
          </w:tcPr>
          <w:p>
            <w:pPr>
              <w:jc w:val="center"/>
              <w:ind w:left="2170"/>
              <w:spacing w:after="0"/>
              <w:rPr>
                <w:sz w:val="20"/>
                <w:szCs w:val="20"/>
                <w:color w:val="auto"/>
              </w:rPr>
            </w:pPr>
            <w:r>
              <w:rPr>
                <w:rFonts w:ascii="Arial" w:cs="Arial" w:eastAsia="Arial" w:hAnsi="Arial"/>
                <w:sz w:val="18"/>
                <w:szCs w:val="18"/>
                <w:b w:val="1"/>
                <w:bCs w:val="1"/>
                <w:color w:val="auto"/>
                <w:w w:val="96"/>
              </w:rPr>
              <w:t>TABLE OF CONTENTS</w:t>
            </w:r>
          </w:p>
        </w:tc>
        <w:tc>
          <w:tcPr>
            <w:tcW w:w="2240" w:type="dxa"/>
            <w:vAlign w:val="bottom"/>
          </w:tcPr>
          <w:p>
            <w:pPr>
              <w:spacing w:after="0"/>
              <w:rPr>
                <w:sz w:val="24"/>
                <w:szCs w:val="24"/>
                <w:color w:val="auto"/>
              </w:rPr>
            </w:pPr>
          </w:p>
        </w:tc>
      </w:tr>
      <w:tr>
        <w:trPr>
          <w:trHeight w:val="419"/>
        </w:trPr>
        <w:tc>
          <w:tcPr>
            <w:tcW w:w="9180" w:type="dxa"/>
            <w:vAlign w:val="bottom"/>
          </w:tcPr>
          <w:p>
            <w:pPr>
              <w:spacing w:after="0"/>
              <w:rPr>
                <w:sz w:val="20"/>
                <w:szCs w:val="20"/>
                <w:color w:val="auto"/>
              </w:rPr>
            </w:pPr>
            <w:r>
              <w:rPr>
                <w:rFonts w:ascii="Arial" w:cs="Arial" w:eastAsia="Arial" w:hAnsi="Arial"/>
                <w:sz w:val="18"/>
                <w:szCs w:val="18"/>
                <w:color w:val="auto"/>
              </w:rPr>
              <w:t>1.   First Quarter 2011 Earnings Press Release</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318"/>
        </w:trPr>
        <w:tc>
          <w:tcPr>
            <w:tcW w:w="91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240" w:type="dxa"/>
            <w:vAlign w:val="bottom"/>
          </w:tcPr>
          <w:p>
            <w:pPr>
              <w:spacing w:after="0"/>
              <w:rPr>
                <w:sz w:val="24"/>
                <w:szCs w:val="24"/>
                <w:color w:val="auto"/>
              </w:rPr>
            </w:pPr>
          </w:p>
        </w:tc>
      </w:tr>
      <w:tr>
        <w:trPr>
          <w:trHeight w:val="216"/>
        </w:trPr>
        <w:tc>
          <w:tcPr>
            <w:tcW w:w="9180" w:type="dxa"/>
            <w:vAlign w:val="bottom"/>
          </w:tcPr>
          <w:p>
            <w:pPr>
              <w:ind w:left="540"/>
              <w:spacing w:after="0"/>
              <w:rPr>
                <w:sz w:val="20"/>
                <w:szCs w:val="20"/>
                <w:color w:val="auto"/>
              </w:rPr>
            </w:pPr>
            <w:r>
              <w:rPr>
                <w:rFonts w:ascii="Arial" w:cs="Arial" w:eastAsia="Arial" w:hAnsi="Arial"/>
                <w:sz w:val="18"/>
                <w:szCs w:val="18"/>
                <w:color w:val="auto"/>
              </w:rPr>
              <w:t>Summarized Income Statements</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9180" w:type="dxa"/>
            <w:vAlign w:val="bottom"/>
          </w:tcPr>
          <w:p>
            <w:pPr>
              <w:ind w:left="540"/>
              <w:spacing w:after="0"/>
              <w:rPr>
                <w:sz w:val="20"/>
                <w:szCs w:val="20"/>
                <w:color w:val="auto"/>
              </w:rPr>
            </w:pPr>
            <w:r>
              <w:rPr>
                <w:rFonts w:ascii="Arial" w:cs="Arial" w:eastAsia="Arial" w:hAnsi="Arial"/>
                <w:sz w:val="18"/>
                <w:szCs w:val="18"/>
                <w:color w:val="auto"/>
              </w:rPr>
              <w:t>Summarized Balance Sheets</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9180" w:type="dxa"/>
            <w:vAlign w:val="bottom"/>
          </w:tcPr>
          <w:p>
            <w:pPr>
              <w:ind w:left="540"/>
              <w:spacing w:after="0"/>
              <w:rPr>
                <w:sz w:val="20"/>
                <w:szCs w:val="20"/>
                <w:color w:val="auto"/>
              </w:rPr>
            </w:pPr>
            <w:r>
              <w:rPr>
                <w:rFonts w:ascii="Arial" w:cs="Arial" w:eastAsia="Arial" w:hAnsi="Arial"/>
                <w:sz w:val="18"/>
                <w:szCs w:val="18"/>
                <w:color w:val="auto"/>
              </w:rPr>
              <w:t>Funds From Operations / Summary of Capital Expenditures</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16"/>
        </w:trPr>
        <w:tc>
          <w:tcPr>
            <w:tcW w:w="9180" w:type="dxa"/>
            <w:vAlign w:val="bottom"/>
          </w:tcPr>
          <w:p>
            <w:pPr>
              <w:ind w:left="540"/>
              <w:spacing w:after="0"/>
              <w:rPr>
                <w:sz w:val="20"/>
                <w:szCs w:val="20"/>
                <w:color w:val="auto"/>
              </w:rPr>
            </w:pPr>
            <w:r>
              <w:rPr>
                <w:rFonts w:ascii="Arial" w:cs="Arial" w:eastAsia="Arial" w:hAnsi="Arial"/>
                <w:sz w:val="18"/>
                <w:szCs w:val="18"/>
                <w:color w:val="auto"/>
              </w:rPr>
              <w:t>Market Data</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22"/>
        </w:trPr>
        <w:tc>
          <w:tcPr>
            <w:tcW w:w="9180" w:type="dxa"/>
            <w:vAlign w:val="bottom"/>
          </w:tcPr>
          <w:p>
            <w:pPr>
              <w:ind w:left="540"/>
              <w:spacing w:after="0"/>
              <w:rPr>
                <w:sz w:val="20"/>
                <w:szCs w:val="20"/>
                <w:color w:val="auto"/>
              </w:rPr>
            </w:pPr>
            <w:r>
              <w:rPr>
                <w:rFonts w:ascii="Arial" w:cs="Arial" w:eastAsia="Arial" w:hAnsi="Arial"/>
                <w:sz w:val="18"/>
                <w:szCs w:val="18"/>
                <w:color w:val="auto"/>
              </w:rPr>
              <w:t>Components of Rental Income</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740" w:type="dxa"/>
            <w:vAlign w:val="bottom"/>
          </w:tcPr>
          <w:p>
            <w:pPr>
              <w:ind w:left="260"/>
              <w:spacing w:after="0"/>
              <w:rPr>
                <w:sz w:val="20"/>
                <w:szCs w:val="20"/>
                <w:color w:val="auto"/>
              </w:rPr>
            </w:pPr>
            <w:r>
              <w:rPr>
                <w:rFonts w:ascii="Arial" w:cs="Arial" w:eastAsia="Arial" w:hAnsi="Arial"/>
                <w:sz w:val="18"/>
                <w:szCs w:val="18"/>
                <w:color w:val="auto"/>
              </w:rPr>
              <w:t>Summary of Outstanding Debt and Capital Lease Obligations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7740" w:type="dxa"/>
            <w:vAlign w:val="bottom"/>
          </w:tcPr>
          <w:p>
            <w:pPr>
              <w:ind w:left="260"/>
              <w:spacing w:after="0"/>
              <w:rPr>
                <w:sz w:val="20"/>
                <w:szCs w:val="20"/>
                <w:color w:val="auto"/>
              </w:rPr>
            </w:pPr>
            <w:r>
              <w:rPr>
                <w:rFonts w:ascii="Arial" w:cs="Arial" w:eastAsia="Arial" w:hAnsi="Arial"/>
                <w:sz w:val="18"/>
                <w:szCs w:val="18"/>
                <w:color w:val="auto"/>
              </w:rPr>
              <w:t>Summary of Debt Maturities</w:t>
            </w: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74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740" w:type="dxa"/>
            <w:vAlign w:val="bottom"/>
          </w:tcPr>
          <w:p>
            <w:pPr>
              <w:ind w:left="60"/>
              <w:spacing w:after="0"/>
              <w:rPr>
                <w:sz w:val="20"/>
                <w:szCs w:val="20"/>
                <w:color w:val="auto"/>
              </w:rPr>
            </w:pPr>
            <w:r>
              <w:rPr>
                <w:rFonts w:ascii="Arial" w:cs="Arial" w:eastAsia="Arial" w:hAnsi="Arial"/>
                <w:sz w:val="18"/>
                <w:szCs w:val="18"/>
                <w:color w:val="auto"/>
              </w:rPr>
              <w:t>2011 Significant Acquisition</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74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74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74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74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74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74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740" w:type="dxa"/>
            <w:vAlign w:val="bottom"/>
          </w:tcPr>
          <w:p>
            <w:pPr>
              <w:ind w:left="60"/>
              <w:spacing w:after="0"/>
              <w:rPr>
                <w:sz w:val="20"/>
                <w:szCs w:val="20"/>
                <w:color w:val="auto"/>
              </w:rPr>
            </w:pPr>
            <w:r>
              <w:rPr>
                <w:rFonts w:ascii="Arial" w:cs="Arial" w:eastAsia="Arial" w:hAnsi="Arial"/>
                <w:sz w:val="18"/>
                <w:szCs w:val="18"/>
                <w:color w:val="auto"/>
              </w:rPr>
              <w:t>30% Owned Joint Venture Disclosure</w:t>
            </w:r>
          </w:p>
        </w:tc>
        <w:tc>
          <w:tcPr>
            <w:tcW w:w="330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740" w:type="dxa"/>
            <w:vAlign w:val="bottom"/>
          </w:tcPr>
          <w:p>
            <w:pPr>
              <w:ind w:left="260"/>
              <w:spacing w:after="0"/>
              <w:rPr>
                <w:sz w:val="20"/>
                <w:szCs w:val="20"/>
                <w:color w:val="auto"/>
              </w:rPr>
            </w:pPr>
            <w:r>
              <w:rPr>
                <w:rFonts w:ascii="Arial" w:cs="Arial" w:eastAsia="Arial" w:hAnsi="Arial"/>
                <w:sz w:val="18"/>
                <w:szCs w:val="18"/>
                <w:color w:val="auto"/>
              </w:rPr>
              <w:t>Summarized Income Statements and Balance Sheets</w:t>
            </w:r>
          </w:p>
        </w:tc>
        <w:tc>
          <w:tcPr>
            <w:tcW w:w="3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7740" w:type="dxa"/>
            <w:vAlign w:val="bottom"/>
          </w:tcPr>
          <w:p>
            <w:pPr>
              <w:ind w:left="260"/>
              <w:spacing w:after="0"/>
              <w:rPr>
                <w:sz w:val="20"/>
                <w:szCs w:val="20"/>
                <w:color w:val="auto"/>
              </w:rPr>
            </w:pPr>
            <w:r>
              <w:rPr>
                <w:rFonts w:ascii="Arial" w:cs="Arial" w:eastAsia="Arial" w:hAnsi="Arial"/>
                <w:sz w:val="18"/>
                <w:szCs w:val="18"/>
                <w:color w:val="auto"/>
              </w:rPr>
              <w:t>Summary of Outstanding Debt and Debt Maturities</w:t>
            </w:r>
          </w:p>
        </w:tc>
        <w:tc>
          <w:tcPr>
            <w:tcW w:w="3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80" w:type="dxa"/>
            <w:vAlign w:val="bottom"/>
          </w:tcPr>
          <w:p>
            <w:pPr>
              <w:spacing w:after="0"/>
              <w:rPr>
                <w:sz w:val="19"/>
                <w:szCs w:val="19"/>
                <w:color w:val="auto"/>
              </w:rPr>
            </w:pPr>
          </w:p>
        </w:tc>
        <w:tc>
          <w:tcPr>
            <w:tcW w:w="7740" w:type="dxa"/>
            <w:vAlign w:val="bottom"/>
          </w:tcPr>
          <w:p>
            <w:pPr>
              <w:ind w:left="260"/>
              <w:spacing w:after="0"/>
              <w:rPr>
                <w:sz w:val="20"/>
                <w:szCs w:val="20"/>
                <w:color w:val="auto"/>
              </w:rPr>
            </w:pPr>
            <w:r>
              <w:rPr>
                <w:rFonts w:ascii="Arial" w:cs="Arial" w:eastAsia="Arial" w:hAnsi="Arial"/>
                <w:sz w:val="18"/>
                <w:szCs w:val="18"/>
                <w:color w:val="auto"/>
              </w:rPr>
              <w:t>Real Estate Status Report</w:t>
            </w:r>
          </w:p>
        </w:tc>
        <w:tc>
          <w:tcPr>
            <w:tcW w:w="3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74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3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i w:val="1"/>
          <w:iCs w:val="1"/>
          <w:color w:val="auto"/>
        </w:rPr>
      </w:pPr>
    </w:p>
    <w:p>
      <w:pPr>
        <w:ind w:left="900" w:hanging="325"/>
        <w:spacing w:after="0" w:line="294"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34"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35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FOR IMMEDIATE RELEASE</w:t>
            </w:r>
          </w:p>
        </w:tc>
        <w:tc>
          <w:tcPr>
            <w:tcW w:w="7800" w:type="dxa"/>
            <w:vAlign w:val="bottom"/>
          </w:tcPr>
          <w:p>
            <w:pPr>
              <w:spacing w:after="0"/>
              <w:rPr>
                <w:sz w:val="17"/>
                <w:szCs w:val="17"/>
                <w:color w:val="auto"/>
              </w:rPr>
            </w:pPr>
          </w:p>
        </w:tc>
      </w:tr>
      <w:tr>
        <w:trPr>
          <w:trHeight w:val="399"/>
        </w:trPr>
        <w:tc>
          <w:tcPr>
            <w:tcW w:w="234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780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280" w:type="dxa"/>
            <w:vAlign w:val="bottom"/>
          </w:tcPr>
          <w:p>
            <w:pPr>
              <w:spacing w:after="0"/>
              <w:rPr>
                <w:sz w:val="19"/>
                <w:szCs w:val="19"/>
                <w:color w:val="auto"/>
              </w:rPr>
            </w:pPr>
          </w:p>
        </w:tc>
        <w:tc>
          <w:tcPr>
            <w:tcW w:w="7800" w:type="dxa"/>
            <w:vAlign w:val="bottom"/>
          </w:tcPr>
          <w:p>
            <w:pPr>
              <w:ind w:left="5560"/>
              <w:spacing w:after="0"/>
              <w:rPr>
                <w:sz w:val="20"/>
                <w:szCs w:val="20"/>
                <w:color w:val="auto"/>
              </w:rPr>
            </w:pPr>
            <w:r>
              <w:rPr>
                <w:rFonts w:ascii="Arial" w:cs="Arial" w:eastAsia="Arial" w:hAnsi="Arial"/>
                <w:sz w:val="18"/>
                <w:szCs w:val="18"/>
                <w:color w:val="auto"/>
              </w:rPr>
              <w:t>Janelle Stevenson</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7800" w:type="dxa"/>
            <w:vAlign w:val="bottom"/>
          </w:tcPr>
          <w:p>
            <w:pPr>
              <w:ind w:left="556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280" w:type="dxa"/>
            <w:vAlign w:val="bottom"/>
          </w:tcPr>
          <w:p>
            <w:pPr>
              <w:spacing w:after="0"/>
              <w:rPr>
                <w:sz w:val="18"/>
                <w:szCs w:val="18"/>
                <w:color w:val="auto"/>
              </w:rPr>
            </w:pPr>
          </w:p>
        </w:tc>
        <w:tc>
          <w:tcPr>
            <w:tcW w:w="7800" w:type="dxa"/>
            <w:vAlign w:val="bottom"/>
          </w:tcPr>
          <w:p>
            <w:pPr>
              <w:ind w:left="5560"/>
              <w:spacing w:after="0"/>
              <w:rPr>
                <w:sz w:val="20"/>
                <w:szCs w:val="20"/>
                <w:color w:val="auto"/>
              </w:rPr>
            </w:pPr>
            <w:r>
              <w:rPr>
                <w:rFonts w:ascii="Arial" w:cs="Arial" w:eastAsia="Arial" w:hAnsi="Arial"/>
                <w:sz w:val="18"/>
                <w:szCs w:val="18"/>
                <w:color w:val="auto"/>
              </w:rPr>
              <w:t>301/998-8185</w:t>
            </w: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7800" w:type="dxa"/>
            <w:vAlign w:val="bottom"/>
          </w:tcPr>
          <w:p>
            <w:pPr>
              <w:ind w:left="5560"/>
              <w:spacing w:after="0"/>
              <w:rPr>
                <w:sz w:val="20"/>
                <w:szCs w:val="20"/>
                <w:color w:val="auto"/>
              </w:rPr>
            </w:pPr>
            <w:r>
              <w:rPr>
                <w:rFonts w:ascii="Arial" w:cs="Arial" w:eastAsia="Arial" w:hAnsi="Arial"/>
                <w:sz w:val="18"/>
                <w:szCs w:val="18"/>
                <w:i w:val="1"/>
                <w:iCs w:val="1"/>
                <w:color w:val="auto"/>
                <w:w w:val="86"/>
              </w:rPr>
              <w:t>jmstevenson@federalrealty.com</w:t>
            </w:r>
          </w:p>
        </w:tc>
      </w:tr>
    </w:tbl>
    <w:p>
      <w:pPr>
        <w:spacing w:after="0" w:line="31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FEDERAL REALTY INVESTMENT TRUST ANNOUNCES FIRST QUARTER 2011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ROCKVILLE, Md. (May 5, 2011) – Federal Realty Investment Trust (NYSE:FRT) today reported operating results for its first quarter ended March 31,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first quarter 2011, Federal Realty generated funds from operations available for common shareholders (FFO) of $61.3 million, or $0.99 per diluted share, and net income available for common shareholders of $31.1 million, or earnings per diluted share of $0.50. This compares to FFO of $57.8 million, or $0.94 per share, and net income available to common shareholders of $29.1 million, or earnings per diluted share of $0.47, for the quarter ended March 31, 2010.</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first quarter 2011, same-center property operating income, excluding redevelopment and expansion properties, increased 1.8% over first quarter 2010. Including redevelopments and expansions, same-center property operating income decreased 1.1% compared to first quarter 2010. First quarter 2010 same-center results including redevelopments and expansions included $3.3 million of lease termination fee income relating to our Flourtown Shopping Center in Pennsylvania.</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overall portfolio was 93.8% leased as of March 31, 2011, compared to 93.9% on December 31, 2010 and 94.1% on March 31, 2010. Federal Realty’s same-center portfolio was 94.3% leased as of March 31, 2011, compared to 94.3% on December 31, 2010 and 94.6% on March 31, 2010.</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first quarter 2011, the Trust signed 96 leases for 382,000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340,000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11%. The average contractual rent on this comparable space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first year of the new lease is $30.52 per square foot compared to the average contractual rent of $27.55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24% for first quarter 2011. As of March 31, 2011, Federal Realty’s average contractual, cash basis minimum rent for retail and commercial space in its portfolio was $22.73 per square foot.</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“Leasing velocity ramped up as healthy retailers are looking for innovative ways to grow their businesses,” commented Donald C. Wood, president and chief executive officer of the Trust. “Our portfolio includes all types of high-quality retail assets and has married well with retailers’ expansion plans. By continuing to enhance our tenant mix with strong national and local retailers, we can further improve the overall value of our portfolio.”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$0.67 per share on its common shares, resulting in an indicated annual rate of $2.68 per share. The regular common dividend will be payable on July 15, 2011 to common shareholders of record on June 23,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Federal Realty maintained 2011 guidance for FFO per diluted share at a range of $3.95 to $4.02 and revised earnings per diluted share to a range of $1.96 to $2.03.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900" w:hanging="325"/>
        <w:spacing w:after="0" w:line="25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April 18, 2011 – Announced the addition of Michael Khouri to the Trust as director of leasing. Mr. Khouri will specialize in developing relationships with national and international tenants that have historically focused on mall and outlet center environments and will be based out of Federal Realty’s corporate headquarters in Rockville, Md. Mr. Khouri joins Federal Realty with 26 years of mall leasing experience at General Growth Properties and The Rouse Company. During his tenure at General Growth Properties, Mr. Khouri was responsible for the merchandising and strategic planning for a variety of malls in the mid-Atlantic region including The Mall in Columbia (Columbia, Md.), Tyson’s Galleria (McLean, Va.), White Marsh Mall (Baltimore, Md.) and Park City Center (Lancaster, Pa.). Mr. Khouri was also responsible for the recent expansion and remerchandising of Towson Town Center in Towson, Md.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00" w:right="12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March 7, 2011 – Announced the addition of Lance Billingsley to the Trust as director of anchor tenant leasing. Mr. Billingsley will be based out of Federal Realty’s Northeast region office in Wynnewood, Pennsylvania and will specialize in leasing properties located in the Northeast and mid-Atlantic regions. Mr. Billingsley brings more than 20 years of retail real estate experience to the Trust and has executed over 1,000 leases for more than 15 million square feet with national retailers along the East Coast. Before joining the Trust, Mr. Billingsley served as vice president of leasing and development for Brandolini Companies and First Washington Realty Trust.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2011 earnings conference call, which is scheduled for May 6, 2011, at 11 a.m. Eastern Daylight Time. To participate, please call (800) 659-1942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June 3, 2011, by dialing (888) 286-8010 and using the passcode 16096031.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18.6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93.8% leased to national, regional, and local retailers as of March 31, 2011, with no single tenant accounting for more than approximately 2.6% of annualized base rent. Federal Realty has paid quarterly dividends to its shareholders continuously since its founding in 1962, and has increased its dividend rate for 43 consecutive years, the longest record in the REIT industry. Federal Realty is an S&amp;P MidCap 400 company and its shares are traded on the NYSE under the symbol FRT.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include, but are not limited to, the risk factors described in our Annual Report on Form 10-K filed on February 15, 2011, and include the following:</w:t>
      </w:r>
    </w:p>
    <w:p>
      <w:pPr>
        <w:spacing w:after="0" w:line="113" w:lineRule="exact"/>
        <w:rPr>
          <w:sz w:val="20"/>
          <w:szCs w:val="20"/>
          <w:color w:val="auto"/>
        </w:rPr>
      </w:pPr>
    </w:p>
    <w:p>
      <w:pPr>
        <w:ind w:left="900" w:right="420" w:hanging="325"/>
        <w:spacing w:after="0" w:line="268"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00" w:hanging="325"/>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i w:val="1"/>
          <w:iCs w:val="1"/>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i w:val="1"/>
          <w:iCs w:val="1"/>
          <w:color w:val="auto"/>
        </w:rPr>
      </w:pPr>
    </w:p>
    <w:p>
      <w:pPr>
        <w:ind w:left="900" w:hanging="325"/>
        <w:spacing w:after="0" w:line="294" w:lineRule="auto"/>
        <w:tabs>
          <w:tab w:leader="none" w:pos="90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34" w:lineRule="exact"/>
        <w:rPr>
          <w:rFonts w:ascii="Arial" w:cs="Arial" w:eastAsia="Arial" w:hAnsi="Arial"/>
          <w:sz w:val="16"/>
          <w:szCs w:val="16"/>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1540" w:type="dxa"/>
            <w:vAlign w:val="bottom"/>
            <w:gridSpan w:val="3"/>
          </w:tcPr>
          <w:p>
            <w:pPr>
              <w:jc w:val="right"/>
              <w:ind w:right="113"/>
              <w:spacing w:after="0" w:line="129" w:lineRule="exact"/>
              <w:rPr>
                <w:sz w:val="20"/>
                <w:szCs w:val="20"/>
                <w:color w:val="auto"/>
              </w:rPr>
            </w:pPr>
            <w:r>
              <w:rPr>
                <w:rFonts w:ascii="Arial" w:cs="Arial" w:eastAsia="Arial" w:hAnsi="Arial"/>
                <w:sz w:val="14"/>
                <w:szCs w:val="14"/>
                <w:b w:val="1"/>
                <w:bCs w:val="1"/>
                <w:color w:val="auto"/>
                <w:w w:val="88"/>
              </w:rPr>
              <w:t>except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135,270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2,090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138,481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138,324</w:t>
            </w: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9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29,599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15,508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6,051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30,569</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81,727</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56,754</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58,982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32"/>
              <w:spacing w:after="0"/>
              <w:rPr>
                <w:sz w:val="20"/>
                <w:szCs w:val="20"/>
                <w:color w:val="auto"/>
              </w:rPr>
            </w:pPr>
            <w:r>
              <w:rPr>
                <w:rFonts w:ascii="Arial" w:cs="Arial" w:eastAsia="Arial" w:hAnsi="Arial"/>
                <w:sz w:val="18"/>
                <w:szCs w:val="18"/>
                <w:color w:val="auto"/>
              </w:rPr>
              <w:t>(25,044)</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Early extinguishment of debt</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Income from real estate partnerships</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32,344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30,594</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attributable to the Trust</w:t>
            </w:r>
          </w:p>
        </w:tc>
        <w:tc>
          <w:tcPr>
            <w:tcW w:w="3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31,186</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shares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w:t>
            </w:r>
          </w:p>
        </w:tc>
        <w:tc>
          <w:tcPr>
            <w:tcW w:w="3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31,051</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0.50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0.50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61,471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2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61,629</w:t>
            </w: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900" w:type="dxa"/>
            <w:vAlign w:val="bottom"/>
            <w:vMerge w:val="restart"/>
          </w:tcPr>
          <w:p>
            <w:pPr>
              <w:jc w:val="right"/>
              <w:ind w:right="2972"/>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89"/>
              </w:rPr>
              <w:t>March 31,</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600"/>
              <w:spacing w:after="0" w:line="129" w:lineRule="exact"/>
              <w:rPr>
                <w:sz w:val="20"/>
                <w:szCs w:val="20"/>
                <w:color w:val="auto"/>
              </w:rPr>
            </w:pPr>
            <w:r>
              <w:rPr>
                <w:rFonts w:ascii="Arial" w:cs="Arial" w:eastAsia="Arial" w:hAnsi="Arial"/>
                <w:sz w:val="14"/>
                <w:szCs w:val="14"/>
                <w:b w:val="1"/>
                <w:bCs w:val="1"/>
                <w:color w:val="auto"/>
                <w:w w:val="93"/>
              </w:rPr>
              <w:t>(in</w:t>
            </w:r>
          </w:p>
        </w:tc>
        <w:tc>
          <w:tcPr>
            <w:tcW w:w="1320" w:type="dxa"/>
            <w:vAlign w:val="bottom"/>
            <w:gridSpan w:val="3"/>
          </w:tcPr>
          <w:p>
            <w:pPr>
              <w:jc w:val="right"/>
              <w:ind w:right="593"/>
              <w:spacing w:after="0" w:line="129"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(including $157,443 and $97,157 of consolidated variable interest entities,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3,814,218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3,726,223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167,332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 (discontinued operations)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6,519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3,988,069</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3,895,942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Less accumulated depreciation and amortization (including $4,978 and $4,431 of consolidated variable interest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entities, respectively)</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(1,060,218)</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(1,035,204)</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Net real estate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2,927,851</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2,860,738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71,408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 net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44,925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Investment in real estate partnerships</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112,006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117,602</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3,217,461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3,159,553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Mortgages payable and capital lease obligations (including $22,621 and $22,785 of consolidated variable interest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entities,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586,450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212,817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1,004,788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191,737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1,995,792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1,978,423</w:t>
            </w: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shares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1,180,419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1,139,836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1,190,416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1,149,833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rPr>
              <w:t>31,253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1,221,669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1,181,130</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3,217,461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3,159,553</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ind w:left="5680"/>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(in thousands, except per share data)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tcBorders>
            <w:gridSpan w:val="2"/>
          </w:tcPr>
          <w:p>
            <w:pPr>
              <w:jc w:val="right"/>
              <w:ind w:right="980"/>
              <w:spacing w:after="0"/>
              <w:rPr>
                <w:sz w:val="20"/>
                <w:szCs w:val="20"/>
                <w:color w:val="auto"/>
              </w:rPr>
            </w:pPr>
            <w:r>
              <w:rPr>
                <w:rFonts w:ascii="Arial" w:cs="Arial" w:eastAsia="Arial" w:hAnsi="Arial"/>
                <w:sz w:val="18"/>
                <w:szCs w:val="18"/>
                <w:color w:val="auto"/>
              </w:rPr>
              <w:t>32,384</w:t>
            </w:r>
          </w:p>
        </w:tc>
        <w:tc>
          <w:tcPr>
            <w:tcW w:w="200" w:type="dxa"/>
            <w:vAlign w:val="bottom"/>
            <w:tcBorders>
              <w:top w:val="single" w:sz="8" w:color="CCEEFF"/>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27,589</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2,240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Depreciation of joint venture real estate assets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61,442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Dividends on preferred shares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Income attributable to unvested shares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FFO</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61,270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57,812</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80" w:type="dxa"/>
            <w:vAlign w:val="bottom"/>
            <w:gridSpan w:val="5"/>
          </w:tcPr>
          <w:p>
            <w:pPr>
              <w:spacing w:after="0"/>
              <w:rPr>
                <w:sz w:val="20"/>
                <w:szCs w:val="20"/>
                <w:color w:val="auto"/>
              </w:rPr>
            </w:pPr>
            <w:r>
              <w:rPr>
                <w:rFonts w:ascii="Arial" w:cs="Arial" w:eastAsia="Arial" w:hAnsi="Arial"/>
                <w:sz w:val="18"/>
                <w:szCs w:val="18"/>
                <w:color w:val="auto"/>
              </w:rPr>
              <w:t>FFO per diluted share</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0.99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61,991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61,591</w:t>
            </w:r>
          </w:p>
        </w:tc>
        <w:tc>
          <w:tcPr>
            <w:tcW w:w="0" w:type="dxa"/>
            <w:vAlign w:val="bottom"/>
          </w:tcPr>
          <w:p>
            <w:pPr>
              <w:spacing w:after="0"/>
              <w:rPr>
                <w:sz w:val="1"/>
                <w:szCs w:val="1"/>
                <w:color w:val="auto"/>
              </w:rPr>
            </w:pPr>
          </w:p>
        </w:tc>
      </w:tr>
      <w:tr>
        <w:trPr>
          <w:trHeight w:val="20"/>
        </w:trPr>
        <w:tc>
          <w:tcPr>
            <w:tcW w:w="6680" w:type="dxa"/>
            <w:vAlign w:val="bottom"/>
            <w:gridSpan w:val="5"/>
            <w:vMerge w:val="restart"/>
          </w:tcPr>
          <w:p>
            <w:pPr>
              <w:spacing w:after="0"/>
              <w:rPr>
                <w:sz w:val="20"/>
                <w:szCs w:val="20"/>
                <w:color w:val="auto"/>
              </w:rPr>
            </w:pPr>
            <w:r>
              <w:rPr>
                <w:rFonts w:ascii="Arial" w:cs="Arial" w:eastAsia="Arial" w:hAnsi="Arial"/>
                <w:sz w:val="18"/>
                <w:szCs w:val="18"/>
                <w:color w:val="auto"/>
              </w:rPr>
              <w:t>Summary of Capital Expenditures</w:t>
            </w: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680" w:type="dxa"/>
            <w:vAlign w:val="bottom"/>
            <w:gridSpan w:val="5"/>
            <w:vMerge w:val="continue"/>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ind w:left="860"/>
              <w:spacing w:after="0"/>
              <w:rPr>
                <w:sz w:val="20"/>
                <w:szCs w:val="20"/>
                <w:color w:val="auto"/>
              </w:rPr>
            </w:pPr>
            <w:r>
              <w:rPr>
                <w:rFonts w:ascii="Arial" w:cs="Arial" w:eastAsia="Arial" w:hAnsi="Arial"/>
                <w:sz w:val="18"/>
                <w:szCs w:val="18"/>
                <w:color w:val="auto"/>
              </w:rPr>
              <w:t>Redevelopment and expansions</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18,165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Tenant improvements and incentives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5,861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
        </w:trPr>
        <w:tc>
          <w:tcPr>
            <w:tcW w:w="6680" w:type="dxa"/>
            <w:vAlign w:val="bottom"/>
            <w:gridSpan w:val="5"/>
            <w:vMerge w:val="restart"/>
          </w:tcPr>
          <w:p>
            <w:pPr>
              <w:spacing w:after="0"/>
              <w:rPr>
                <w:sz w:val="20"/>
                <w:szCs w:val="20"/>
                <w:color w:val="auto"/>
              </w:rPr>
            </w:pPr>
            <w:r>
              <w:rPr>
                <w:rFonts w:ascii="Arial" w:cs="Arial" w:eastAsia="Arial" w:hAnsi="Arial"/>
                <w:sz w:val="18"/>
                <w:szCs w:val="18"/>
                <w:color w:val="auto"/>
              </w:rPr>
              <w:t>Total non-maintenance capital expenditures</w:t>
            </w:r>
          </w:p>
        </w:tc>
        <w:tc>
          <w:tcPr>
            <w:tcW w:w="1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5"/>
            <w:vMerge w:val="continue"/>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24,026</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Maintenance capital expenditures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6680" w:type="dxa"/>
            <w:vAlign w:val="bottom"/>
            <w:gridSpan w:val="5"/>
            <w:vMerge w:val="restart"/>
          </w:tcPr>
          <w:p>
            <w:pPr>
              <w:spacing w:after="0"/>
              <w:rPr>
                <w:sz w:val="20"/>
                <w:szCs w:val="20"/>
                <w:color w:val="auto"/>
              </w:rPr>
            </w:pPr>
            <w:r>
              <w:rPr>
                <w:rFonts w:ascii="Arial" w:cs="Arial" w:eastAsia="Arial" w:hAnsi="Arial"/>
                <w:sz w:val="18"/>
                <w:szCs w:val="18"/>
                <w:color w:val="auto"/>
              </w:rPr>
              <w:t>Total capital expenditures</w:t>
            </w:r>
          </w:p>
        </w:tc>
        <w:tc>
          <w:tcPr>
            <w:tcW w:w="1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5"/>
            <w:vMerge w:val="continue"/>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26,627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Dividends and Payout Ratios</w:t>
            </w:r>
          </w:p>
        </w:tc>
        <w:tc>
          <w:tcPr>
            <w:tcW w:w="4620" w:type="dxa"/>
            <w:vAlign w:val="bottom"/>
            <w:tcBorders>
              <w:bottom w:val="single" w:sz="8" w:color="CCEEFF"/>
            </w:tcBorders>
            <w:gridSpan w:val="3"/>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Regular common dividends declared</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41,669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40,479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48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62,232</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61,341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81.56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5,075,642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4,466,238</w:t>
            </w:r>
          </w:p>
        </w:tc>
        <w:tc>
          <w:tcPr>
            <w:tcW w:w="0" w:type="dxa"/>
            <w:vAlign w:val="bottom"/>
          </w:tcPr>
          <w:p>
            <w:pPr>
              <w:spacing w:after="0"/>
              <w:rPr>
                <w:sz w:val="1"/>
                <w:szCs w:val="1"/>
                <w:color w:val="auto"/>
              </w:rPr>
            </w:pPr>
          </w:p>
        </w:tc>
      </w:tr>
      <w:tr>
        <w:trPr>
          <w:trHeight w:val="116"/>
        </w:trPr>
        <w:tc>
          <w:tcPr>
            <w:tcW w:w="8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20" w:type="dxa"/>
            <w:vAlign w:val="bottom"/>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5,085,642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4,476,238</w:t>
            </w:r>
          </w:p>
        </w:tc>
        <w:tc>
          <w:tcPr>
            <w:tcW w:w="0" w:type="dxa"/>
            <w:vAlign w:val="bottom"/>
          </w:tcPr>
          <w:p>
            <w:pPr>
              <w:spacing w:after="0"/>
              <w:rPr>
                <w:sz w:val="1"/>
                <w:szCs w:val="1"/>
                <w:color w:val="auto"/>
              </w:rPr>
            </w:pPr>
          </w:p>
        </w:tc>
      </w:tr>
      <w:tr>
        <w:trPr>
          <w:trHeight w:val="110"/>
        </w:trPr>
        <w:tc>
          <w:tcPr>
            <w:tcW w:w="8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7"/>
              </w:rPr>
              <w:t>1,804,055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1,690,687</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20" w:type="dxa"/>
            <w:vAlign w:val="bottom"/>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6,889,697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6,166,925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2"/>
        </w:trPr>
        <w:tc>
          <w:tcPr>
            <w:tcW w:w="8820" w:type="dxa"/>
            <w:vAlign w:val="bottom"/>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$72.81</w:t>
            </w:r>
          </w:p>
        </w:tc>
        <w:tc>
          <w:tcPr>
            <w:tcW w:w="120" w:type="dxa"/>
            <w:vAlign w:val="bottom"/>
          </w:tcPr>
          <w:p>
            <w:pPr>
              <w:spacing w:after="0"/>
              <w:rPr>
                <w:sz w:val="24"/>
                <w:szCs w:val="24"/>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0"/>
        </w:trPr>
        <w:tc>
          <w:tcPr>
            <w:tcW w:w="8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do not include 362,314 and 371,260 Operating Partnership Units outstanding at March 31, 2011 and 2010,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ind w:left="460" w:right="12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$17.3 million which is the Trust’s 30% share of the total mortgages payable of $57.5 million and $57.7 million at March 31, 2011 and 2010, respectively, of the partnership with a discretionary fund created and advised by ING Clarion Partners. It also excludes the $8.8 million mortgage loan on our Newbury Street Partnership for which we are the lender.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Retail and commercial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97,313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93,843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reimbursements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135,270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rents include $1.1 million for the three months ended March 31, 2011 and 2010, to recognize minimum rents on a straight-line basis. In addition, minimum rents include $0.3 million and $0.4 million for the three months ended March 31, 2011 and 2010, respectively, to recognize income from the amortization of in-place leases.</w:t>
      </w:r>
    </w:p>
    <w:p>
      <w:pPr>
        <w:spacing w:after="0" w:line="1"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4" w:name="page15"/>
    <w:bookmarkEnd w:id="14"/>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Stated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Stated</w:t>
            </w: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interest rate as of</w:t>
            </w:r>
          </w:p>
        </w:tc>
        <w:tc>
          <w:tcPr>
            <w:tcW w:w="16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Balance as of</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maturity date</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March 31, 2011</w:t>
            </w: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March 31, 2011 (i)</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5"/>
              </w:rPr>
              <w:t>Mortgages Payable (a)</w:t>
            </w:r>
          </w:p>
        </w:tc>
        <w:tc>
          <w:tcPr>
            <w:tcW w:w="2360" w:type="dxa"/>
            <w:vAlign w:val="bottom"/>
            <w:tcBorders>
              <w:bottom w:val="single" w:sz="8" w:color="CCEEFF"/>
            </w:tcBorders>
            <w:gridSpan w:val="3"/>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Federal Plaza (b)</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06/01/11</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31,728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Tysons Station</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09/01/11</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5,665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07/01/12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Bethesda Row</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01/01/13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19,994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02/01/13</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White Marsh Plaza (c)</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04/01/13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9,508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08/11/13</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20,283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Idylwood Plaza</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06/05/14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16,479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06/05/14</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28,673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Loehmann’s Plaza</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06/05/14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37,077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06/05/14</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Melville Mall (d)</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09/01/14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22,889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01/01/15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57,509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Barracks Road</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39,642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14,944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Lawrence Park</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28,099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24,698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Wynnewood</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28,636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29,265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Rollingwood Apartments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05/01/19</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23,482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01/31/21</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Mount Vernon (e)</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04/15/28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10,843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01/15/31</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00" w:type="dxa"/>
            <w:vAlign w:val="bottom"/>
            <w:gridSpan w:val="5"/>
          </w:tcPr>
          <w:p>
            <w:pPr>
              <w:ind w:left="420"/>
              <w:spacing w:after="0"/>
              <w:rPr>
                <w:sz w:val="20"/>
                <w:szCs w:val="20"/>
                <w:color w:val="auto"/>
              </w:rPr>
            </w:pPr>
            <w:r>
              <w:rPr>
                <w:rFonts w:ascii="Arial" w:cs="Arial" w:eastAsia="Arial" w:hAnsi="Arial"/>
                <w:sz w:val="18"/>
                <w:szCs w:val="18"/>
                <w:color w:val="auto"/>
              </w:rPr>
              <w:t>Subtotal</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527,307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00" w:type="dxa"/>
            <w:vAlign w:val="bottom"/>
            <w:gridSpan w:val="5"/>
          </w:tcPr>
          <w:p>
            <w:pPr>
              <w:ind w:left="420"/>
              <w:spacing w:after="0"/>
              <w:rPr>
                <w:sz w:val="20"/>
                <w:szCs w:val="20"/>
                <w:color w:val="auto"/>
              </w:rPr>
            </w:pPr>
            <w:r>
              <w:rPr>
                <w:rFonts w:ascii="Arial" w:cs="Arial" w:eastAsia="Arial" w:hAnsi="Arial"/>
                <w:sz w:val="18"/>
                <w:szCs w:val="18"/>
                <w:color w:val="auto"/>
              </w:rPr>
              <w:t>Total mortgages payable</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526,851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color w:val="auto"/>
                <w:w w:val="86"/>
              </w:rPr>
              <w:t>6.99%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Various (f)</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Various through 2013</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11,417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Revolving credit facility (g)</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07/27/11</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LIBOR + 0.425%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192,000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Escondido (Municipal bonds) (h)</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10/01/16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notes payable</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212,817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6"/>
              </w:rPr>
              <w:t>0.87%</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91"/>
        </w:trPr>
        <w:tc>
          <w:tcPr>
            <w:tcW w:w="3960" w:type="dxa"/>
            <w:vAlign w:val="bottom"/>
            <w:gridSpan w:val="7"/>
          </w:tcPr>
          <w:p>
            <w:pPr>
              <w:spacing w:after="0"/>
              <w:rPr>
                <w:sz w:val="20"/>
                <w:szCs w:val="20"/>
                <w:color w:val="auto"/>
              </w:rPr>
            </w:pPr>
            <w:r>
              <w:rPr>
                <w:rFonts w:ascii="Arial" w:cs="Arial" w:eastAsia="Arial" w:hAnsi="Arial"/>
                <w:sz w:val="18"/>
                <w:szCs w:val="18"/>
                <w:color w:val="auto"/>
              </w:rPr>
              <w:t>Senior notes and debentures</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6.00%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07/15/12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12/01/13</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135,000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5.95%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08/15/14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06/01/16</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125,000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6.20%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01/15/17</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5.90%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04/01/20</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7.48% debentures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08/15/26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29,200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08/01/27</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00" w:type="dxa"/>
            <w:vAlign w:val="bottom"/>
            <w:gridSpan w:val="5"/>
          </w:tcPr>
          <w:p>
            <w:pPr>
              <w:ind w:left="420"/>
              <w:spacing w:after="0"/>
              <w:rPr>
                <w:sz w:val="20"/>
                <w:szCs w:val="20"/>
                <w:color w:val="auto"/>
              </w:rPr>
            </w:pPr>
            <w:r>
              <w:rPr>
                <w:rFonts w:ascii="Arial" w:cs="Arial" w:eastAsia="Arial" w:hAnsi="Arial"/>
                <w:sz w:val="18"/>
                <w:szCs w:val="18"/>
                <w:color w:val="auto"/>
              </w:rPr>
              <w:t>Subtotal</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1,004,200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unamortized premium</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00" w:type="dxa"/>
            <w:vAlign w:val="bottom"/>
            <w:gridSpan w:val="5"/>
          </w:tcPr>
          <w:p>
            <w:pPr>
              <w:ind w:left="420"/>
              <w:spacing w:after="0"/>
              <w:rPr>
                <w:sz w:val="20"/>
                <w:szCs w:val="20"/>
                <w:color w:val="auto"/>
              </w:rPr>
            </w:pPr>
            <w:r>
              <w:rPr>
                <w:rFonts w:ascii="Arial" w:cs="Arial" w:eastAsia="Arial" w:hAnsi="Arial"/>
                <w:sz w:val="18"/>
                <w:szCs w:val="18"/>
                <w:color w:val="auto"/>
              </w:rPr>
              <w:t>Total senior notes and debentures</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1,004,788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color w:val="auto"/>
                <w:w w:val="86"/>
              </w:rPr>
              <w:t>6.04%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7"/>
              </w:rPr>
              <w:t>Capital lease obligations</w:t>
            </w:r>
          </w:p>
        </w:tc>
        <w:tc>
          <w:tcPr>
            <w:tcW w:w="222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420"/>
              <w:spacing w:after="0"/>
              <w:rPr>
                <w:sz w:val="20"/>
                <w:szCs w:val="20"/>
                <w:color w:val="auto"/>
              </w:rPr>
            </w:pPr>
            <w:r>
              <w:rPr>
                <w:rFonts w:ascii="Arial" w:cs="Arial" w:eastAsia="Arial" w:hAnsi="Arial"/>
                <w:sz w:val="18"/>
                <w:szCs w:val="18"/>
                <w:color w:val="auto"/>
              </w:rPr>
              <w:t>Various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Various through 2106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59,599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color w:val="auto"/>
                <w:w w:val="86"/>
              </w:rPr>
              <w:t>6.91%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debt and capital lease obligations</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1,804,055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960" w:type="dxa"/>
            <w:vAlign w:val="bottom"/>
            <w:gridSpan w:val="7"/>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1,602,655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color w:val="auto"/>
                <w:w w:val="86"/>
              </w:rPr>
              <w:t>6.37%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variable rate debt</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6"/>
              </w:rPr>
              <w:t>0.70%</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0"/>
        </w:trPr>
        <w:tc>
          <w:tcPr>
            <w:tcW w:w="6040" w:type="dxa"/>
            <w:vAlign w:val="bottom"/>
            <w:gridSpan w:val="9"/>
            <w:vMerge w:val="restart"/>
          </w:tcPr>
          <w:p>
            <w:pPr>
              <w:spacing w:after="0"/>
              <w:rPr>
                <w:sz w:val="20"/>
                <w:szCs w:val="20"/>
                <w:color w:val="auto"/>
              </w:rPr>
            </w:pPr>
            <w:r>
              <w:rPr>
                <w:rFonts w:ascii="Arial" w:cs="Arial" w:eastAsia="Arial" w:hAnsi="Arial"/>
                <w:sz w:val="18"/>
                <w:szCs w:val="18"/>
                <w:color w:val="auto"/>
              </w:rPr>
              <w:t>TOTAL DEBT AND CAPITAL LEASES OBLIGATIONS</w:t>
            </w: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ind w:left="240"/>
              <w:spacing w:after="0"/>
              <w:rPr>
                <w:sz w:val="20"/>
                <w:szCs w:val="20"/>
                <w:color w:val="auto"/>
              </w:rPr>
            </w:pPr>
            <w:r>
              <w:rPr>
                <w:rFonts w:ascii="Arial" w:cs="Arial" w:eastAsia="Arial" w:hAnsi="Arial"/>
                <w:sz w:val="18"/>
                <w:szCs w:val="18"/>
                <w:color w:val="auto"/>
              </w:rPr>
              <w:t>(j)</w:t>
            </w:r>
          </w:p>
        </w:tc>
        <w:tc>
          <w:tcPr>
            <w:tcW w:w="0" w:type="dxa"/>
            <w:vAlign w:val="bottom"/>
          </w:tcPr>
          <w:p>
            <w:pPr>
              <w:spacing w:after="0" w:line="20" w:lineRule="exact"/>
              <w:rPr>
                <w:sz w:val="1"/>
                <w:szCs w:val="1"/>
                <w:color w:val="auto"/>
              </w:rPr>
            </w:pPr>
          </w:p>
        </w:tc>
      </w:tr>
      <w:tr>
        <w:trPr>
          <w:trHeight w:val="222"/>
        </w:trPr>
        <w:tc>
          <w:tcPr>
            <w:tcW w:w="6040" w:type="dxa"/>
            <w:vAlign w:val="bottom"/>
            <w:gridSpan w:val="9"/>
            <w:vMerge w:val="continue"/>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1,804,055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color w:val="auto"/>
                <w:w w:val="86"/>
              </w:rPr>
              <w:t>5.74%</w:t>
            </w: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6"/>
          </w:tcPr>
          <w:p>
            <w:pPr>
              <w:ind w:left="80"/>
              <w:spacing w:after="0"/>
              <w:rPr>
                <w:sz w:val="20"/>
                <w:szCs w:val="20"/>
                <w:color w:val="auto"/>
              </w:rPr>
            </w:pPr>
            <w:r>
              <w:rPr>
                <w:rFonts w:ascii="Arial" w:cs="Arial" w:eastAsia="Arial" w:hAnsi="Arial"/>
                <w:sz w:val="14"/>
                <w:szCs w:val="14"/>
                <w:color w:val="auto"/>
                <w:w w:val="95"/>
              </w:rPr>
              <w:t>Three months ended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March 31,</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96"/>
              </w:rPr>
              <w:t>2010</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w w:val="88"/>
              </w:rPr>
              <w:t>Operational Statistics</w:t>
            </w:r>
          </w:p>
        </w:tc>
        <w:tc>
          <w:tcPr>
            <w:tcW w:w="19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gridSpan w:val="9"/>
          </w:tcPr>
          <w:p>
            <w:pPr>
              <w:jc w:val="right"/>
              <w:ind w:right="1100"/>
              <w:spacing w:after="0"/>
              <w:rPr>
                <w:sz w:val="20"/>
                <w:szCs w:val="20"/>
                <w:color w:val="auto"/>
              </w:rPr>
            </w:pPr>
            <w:r>
              <w:rPr>
                <w:rFonts w:ascii="Arial" w:cs="Arial" w:eastAsia="Arial" w:hAnsi="Arial"/>
                <w:sz w:val="18"/>
                <w:szCs w:val="18"/>
                <w:color w:val="auto"/>
                <w:w w:val="96"/>
              </w:rPr>
              <w:t>Ratio of EBITDA to combined fixed charges and preferred share dividends (k)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color w:val="auto"/>
              </w:rPr>
              <w:t>3.28x</w:t>
            </w:r>
          </w:p>
        </w:tc>
        <w:tc>
          <w:tcPr>
            <w:tcW w:w="580" w:type="dxa"/>
            <w:vAlign w:val="bottom"/>
            <w:gridSpan w:val="3"/>
          </w:tcPr>
          <w:p>
            <w:pPr>
              <w:ind w:left="100"/>
              <w:spacing w:after="0"/>
              <w:rPr>
                <w:sz w:val="20"/>
                <w:szCs w:val="20"/>
                <w:color w:val="auto"/>
              </w:rPr>
            </w:pPr>
            <w:r>
              <w:rPr>
                <w:rFonts w:ascii="Arial" w:cs="Arial" w:eastAsia="Arial" w:hAnsi="Arial"/>
                <w:sz w:val="18"/>
                <w:szCs w:val="18"/>
                <w:color w:val="auto"/>
              </w:rPr>
              <w:t>2.86x</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60" w:type="dxa"/>
            <w:vAlign w:val="bottom"/>
            <w:gridSpan w:val="9"/>
            <w:shd w:val="clear" w:color="auto" w:fill="CCEEFF"/>
          </w:tcPr>
          <w:p>
            <w:pPr>
              <w:jc w:val="right"/>
              <w:ind w:right="460"/>
              <w:spacing w:after="0"/>
              <w:rPr>
                <w:sz w:val="20"/>
                <w:szCs w:val="20"/>
                <w:color w:val="auto"/>
              </w:rPr>
            </w:pPr>
            <w:r>
              <w:rPr>
                <w:rFonts w:ascii="Arial" w:cs="Arial" w:eastAsia="Arial" w:hAnsi="Arial"/>
                <w:sz w:val="18"/>
                <w:szCs w:val="18"/>
                <w:color w:val="auto"/>
                <w:w w:val="95"/>
              </w:rPr>
              <w:t>Ratio of adjusted EBITDA to combined fixed charges and preferred share dividends (k)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3.28x</w:t>
            </w: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2.86x</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140" w:hanging="452"/>
        <w:spacing w:after="0" w:line="32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loans do not include our 30% share ($17.3 million) of the $57.5 million debt of the partnership with a discretionary fund created and advised by ING Clarion Partners. It also excludes the $8.8 million mortgage loan on our Newbury Street Partnership for which we are the lender.</w:t>
      </w:r>
    </w:p>
    <w:p>
      <w:pPr>
        <w:sectPr>
          <w:pgSz w:w="11900" w:h="16972" w:orient="portrait"/>
          <w:cols w:equalWidth="0" w:num="1">
            <w:col w:w="11420"/>
          </w:cols>
          <w:pgMar w:left="240" w:top="274" w:right="239" w:bottom="0" w:gutter="0" w:footer="0" w:header="0"/>
        </w:sectPr>
      </w:pPr>
    </w:p>
    <w:bookmarkStart w:id="15" w:name="page16"/>
    <w:bookmarkEnd w:id="15"/>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repaid this mortgage loan on April 29, 2011.</w:t>
      </w:r>
    </w:p>
    <w:p>
      <w:pPr>
        <w:spacing w:after="0" w:line="15" w:lineRule="exact"/>
        <w:rPr>
          <w:rFonts w:ascii="Arial" w:cs="Arial" w:eastAsia="Arial" w:hAnsi="Arial"/>
          <w:sz w:val="18"/>
          <w:szCs w:val="18"/>
          <w:color w:val="auto"/>
        </w:rPr>
      </w:pPr>
    </w:p>
    <w:p>
      <w:pPr>
        <w:ind w:left="452" w:right="22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ind w:left="452" w:right="1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52" w:right="5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52" w:right="10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of 3.53% represents the weighted average interest rate for three unsecured fixed rate notes payable. These notes mature between April 1, 2012 and January 31, 2013.</w:t>
      </w:r>
    </w:p>
    <w:p>
      <w:pPr>
        <w:ind w:left="452"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for the three months ended March 31, 2011 was $222.0 million, and the weighted average effective interest rate on borrowings under our revolving credit facility, before amortization of debt fees, was 0.71%.</w:t>
      </w:r>
    </w:p>
    <w:p>
      <w:pPr>
        <w:ind w:left="452" w:right="6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52" w:right="3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discounts and premiums, if applicable, except as described in Note j.</w:t>
      </w:r>
    </w:p>
    <w:p>
      <w:pPr>
        <w:ind w:left="452" w:right="18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$0.2 million in quarterly financing fees and quarterly debt fee amortization on our revolving credit facility which had a $192.0 million balance on March 31, 2011.</w:t>
      </w:r>
    </w:p>
    <w:p>
      <w:pPr>
        <w:ind w:left="452" w:right="20" w:hanging="452"/>
        <w:spacing w:after="0" w:line="290"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discount/premium and debt costs and the portion of rent expense representing an interest factor. Fixed charges for the three months ended March 31, 2011 include $0.3 million of income from early extinguishment of debt due to the write-off of the unamortized debt premium net of a 3% prepayment premium and unamortized debt fees related to the payoff of our mortgage loan on Tower Shops prior to its contractual prepayment date. Fixed charges for the three months ended March 31, 2010 include $2.8 million of early extinguishment of debt expense due to the write-off of unamortized debt fees related to the $250 million payoff of the term loan prior to its maturity date. Adjusted EBITDA is reconciled to net income in the Glossary of Terms.</w:t>
      </w:r>
    </w:p>
    <w:p>
      <w:pPr>
        <w:spacing w:after="0" w:line="10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12"/>
          </w:cols>
          <w:pgMar w:left="248" w:top="13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Cumulative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Scheduled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Percent of</w:t>
            </w: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9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144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Maturities</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Debt Maturing</w:t>
            </w:r>
          </w:p>
        </w:tc>
        <w:tc>
          <w:tcPr>
            <w:tcW w:w="7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Debt Maturing</w:t>
            </w:r>
          </w:p>
        </w:tc>
        <w:tc>
          <w:tcPr>
            <w:tcW w:w="720" w:type="dxa"/>
            <w:vAlign w:val="bottom"/>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Rate (3)</w:t>
            </w:r>
          </w:p>
        </w:tc>
        <w:tc>
          <w:tcPr>
            <w:tcW w:w="400" w:type="dxa"/>
            <w:vAlign w:val="bottom"/>
          </w:tcPr>
          <w:p>
            <w:pPr>
              <w:spacing w:after="0"/>
              <w:rPr>
                <w:sz w:val="14"/>
                <w:szCs w:val="14"/>
                <w:color w:val="auto"/>
              </w:rPr>
            </w:pPr>
          </w:p>
        </w:tc>
      </w:tr>
      <w:tr>
        <w:trPr>
          <w:trHeight w:val="210"/>
        </w:trPr>
        <w:tc>
          <w:tcPr>
            <w:tcW w:w="2660" w:type="dxa"/>
            <w:vAlign w:val="bottom"/>
            <w:gridSpan w:val="3"/>
            <w:shd w:val="clear" w:color="auto" w:fill="CCEEFF"/>
          </w:tcPr>
          <w:p>
            <w:pPr>
              <w:jc w:val="center"/>
              <w:ind w:right="432"/>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229,252(1)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238,425</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1.7%(4)</w:t>
            </w:r>
          </w:p>
        </w:tc>
      </w:tr>
      <w:tr>
        <w:trPr>
          <w:trHeight w:val="216"/>
        </w:trPr>
        <w:tc>
          <w:tcPr>
            <w:tcW w:w="2660" w:type="dxa"/>
            <w:vAlign w:val="bottom"/>
            <w:gridSpan w:val="3"/>
          </w:tcPr>
          <w:p>
            <w:pPr>
              <w:jc w:val="center"/>
              <w:ind w:right="432"/>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12,691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191,916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204,607</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11.3%</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5.8%</w:t>
            </w:r>
          </w:p>
        </w:tc>
      </w:tr>
      <w:tr>
        <w:trPr>
          <w:trHeight w:val="216"/>
        </w:trPr>
        <w:tc>
          <w:tcPr>
            <w:tcW w:w="2660" w:type="dxa"/>
            <w:vAlign w:val="bottom"/>
            <w:gridSpan w:val="3"/>
            <w:shd w:val="clear" w:color="auto" w:fill="CCEEFF"/>
          </w:tcPr>
          <w:p>
            <w:pPr>
              <w:jc w:val="center"/>
              <w:ind w:right="432"/>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208,746</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11.6%</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36.1%</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5.5%</w:t>
            </w:r>
          </w:p>
        </w:tc>
      </w:tr>
      <w:tr>
        <w:trPr>
          <w:trHeight w:val="216"/>
        </w:trPr>
        <w:tc>
          <w:tcPr>
            <w:tcW w:w="2660" w:type="dxa"/>
            <w:vAlign w:val="bottom"/>
            <w:gridSpan w:val="3"/>
          </w:tcPr>
          <w:p>
            <w:pPr>
              <w:jc w:val="center"/>
              <w:ind w:right="432"/>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297,864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308,089</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17.1%</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53.2%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6.9%</w:t>
            </w:r>
          </w:p>
        </w:tc>
      </w:tr>
      <w:tr>
        <w:trPr>
          <w:trHeight w:val="216"/>
        </w:trPr>
        <w:tc>
          <w:tcPr>
            <w:tcW w:w="2660" w:type="dxa"/>
            <w:vAlign w:val="bottom"/>
            <w:gridSpan w:val="3"/>
            <w:shd w:val="clear" w:color="auto" w:fill="CCEEFF"/>
          </w:tcPr>
          <w:p>
            <w:pPr>
              <w:jc w:val="center"/>
              <w:ind w:right="432"/>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205,249</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64.6%</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7.3%</w:t>
            </w:r>
          </w:p>
        </w:tc>
      </w:tr>
      <w:tr>
        <w:trPr>
          <w:trHeight w:val="216"/>
        </w:trPr>
        <w:tc>
          <w:tcPr>
            <w:tcW w:w="2660" w:type="dxa"/>
            <w:vAlign w:val="bottom"/>
            <w:gridSpan w:val="3"/>
          </w:tcPr>
          <w:p>
            <w:pPr>
              <w:jc w:val="center"/>
              <w:ind w:right="432"/>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137,302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72.2%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5.4%</w:t>
            </w:r>
          </w:p>
        </w:tc>
      </w:tr>
      <w:tr>
        <w:trPr>
          <w:trHeight w:val="216"/>
        </w:trPr>
        <w:tc>
          <w:tcPr>
            <w:tcW w:w="2660" w:type="dxa"/>
            <w:vAlign w:val="bottom"/>
            <w:gridSpan w:val="3"/>
            <w:shd w:val="clear" w:color="auto" w:fill="CCEEFF"/>
          </w:tcPr>
          <w:p>
            <w:pPr>
              <w:jc w:val="center"/>
              <w:ind w:right="432"/>
              <w:spacing w:after="0"/>
              <w:rPr>
                <w:sz w:val="20"/>
                <w:szCs w:val="20"/>
                <w:color w:val="auto"/>
              </w:rPr>
            </w:pPr>
            <w:r>
              <w:rPr>
                <w:rFonts w:ascii="Arial" w:cs="Arial" w:eastAsia="Arial" w:hAnsi="Arial"/>
                <w:sz w:val="18"/>
                <w:szCs w:val="18"/>
                <w:color w:val="auto"/>
                <w:w w:val="84"/>
              </w:rPr>
              <w:t>2017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203,110</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83.4%</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6.1%</w:t>
            </w:r>
          </w:p>
        </w:tc>
      </w:tr>
      <w:tr>
        <w:trPr>
          <w:trHeight w:val="216"/>
        </w:trPr>
        <w:tc>
          <w:tcPr>
            <w:tcW w:w="2660" w:type="dxa"/>
            <w:vAlign w:val="bottom"/>
            <w:gridSpan w:val="3"/>
          </w:tcPr>
          <w:p>
            <w:pPr>
              <w:jc w:val="center"/>
              <w:ind w:right="432"/>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3,321</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0.0%</w:t>
            </w:r>
          </w:p>
        </w:tc>
      </w:tr>
      <w:tr>
        <w:trPr>
          <w:trHeight w:val="216"/>
        </w:trPr>
        <w:tc>
          <w:tcPr>
            <w:tcW w:w="2660" w:type="dxa"/>
            <w:vAlign w:val="bottom"/>
            <w:gridSpan w:val="3"/>
            <w:shd w:val="clear" w:color="auto" w:fill="CCEEFF"/>
          </w:tcPr>
          <w:p>
            <w:pPr>
              <w:jc w:val="center"/>
              <w:ind w:right="432"/>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23,360</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84.9%</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w:t>
            </w:r>
          </w:p>
        </w:tc>
      </w:tr>
      <w:tr>
        <w:trPr>
          <w:trHeight w:val="216"/>
        </w:trPr>
        <w:tc>
          <w:tcPr>
            <w:tcW w:w="2660" w:type="dxa"/>
            <w:vAlign w:val="bottom"/>
            <w:gridSpan w:val="3"/>
          </w:tcPr>
          <w:p>
            <w:pPr>
              <w:jc w:val="center"/>
              <w:ind w:right="432"/>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153,239</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93.4%</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6.0%</w:t>
            </w:r>
          </w:p>
        </w:tc>
      </w:tr>
      <w:tr>
        <w:trPr>
          <w:trHeight w:val="216"/>
        </w:trPr>
        <w:tc>
          <w:tcPr>
            <w:tcW w:w="2660" w:type="dxa"/>
            <w:vAlign w:val="bottom"/>
            <w:gridSpan w:val="3"/>
            <w:shd w:val="clear" w:color="auto" w:fill="CCEEFF"/>
          </w:tcPr>
          <w:p>
            <w:pPr>
              <w:jc w:val="center"/>
              <w:ind w:right="432"/>
              <w:spacing w:after="0"/>
              <w:rPr>
                <w:sz w:val="20"/>
                <w:szCs w:val="20"/>
                <w:color w:val="auto"/>
              </w:rPr>
            </w:pPr>
            <w:r>
              <w:rPr>
                <w:rFonts w:ascii="Arial" w:cs="Arial" w:eastAsia="Arial" w:hAnsi="Arial"/>
                <w:sz w:val="18"/>
                <w:szCs w:val="18"/>
                <w:color w:val="auto"/>
                <w:w w:val="89"/>
              </w:rPr>
              <w:t>Thereafter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118,475</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6.9%</w:t>
            </w: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0"/>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112,169</w:t>
            </w: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1,691,754</w:t>
            </w:r>
          </w:p>
        </w:tc>
        <w:tc>
          <w:tcPr>
            <w:tcW w:w="7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1,803,923(2)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3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$300 million revolving credit facility matures on July 27, 2011. As of March 31, 2011 there was $192.0 million outstanding on our revolving credit facility.</w:t>
      </w:r>
    </w:p>
    <w:p>
      <w:pPr>
        <w:ind w:left="460" w:right="5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March 31, 2011.</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rate reflects the weighted average interest rate on debt maturing in the respective year.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excludes $0.2 million in quarterly financing fees and quarterly debt fee amortization on our revolving credit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3"/>
          </w:tcPr>
          <w:p>
            <w:pPr>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Projected</w:t>
            </w:r>
          </w:p>
        </w:tc>
        <w:tc>
          <w:tcPr>
            <w:tcW w:w="3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Projected</w:t>
            </w:r>
          </w:p>
        </w:tc>
        <w:tc>
          <w:tcPr>
            <w:tcW w:w="30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0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820" w:type="dxa"/>
            <w:vAlign w:val="bottom"/>
          </w:tcPr>
          <w:p>
            <w:pPr>
              <w:spacing w:after="0"/>
              <w:rPr>
                <w:sz w:val="14"/>
                <w:szCs w:val="14"/>
                <w:color w:val="auto"/>
              </w:rPr>
            </w:pPr>
          </w:p>
        </w:tc>
        <w:tc>
          <w:tcPr>
            <w:tcW w:w="2740" w:type="dxa"/>
            <w:vAlign w:val="bottom"/>
            <w:gridSpan w:val="2"/>
          </w:tcPr>
          <w:p>
            <w:pPr>
              <w:ind w:left="40"/>
              <w:spacing w:after="0"/>
              <w:rPr>
                <w:sz w:val="20"/>
                <w:szCs w:val="20"/>
                <w:color w:val="auto"/>
              </w:rPr>
            </w:pPr>
            <w:r>
              <w:rPr>
                <w:rFonts w:ascii="Arial" w:cs="Arial" w:eastAsia="Arial" w:hAnsi="Arial"/>
                <w:sz w:val="14"/>
                <w:szCs w:val="14"/>
                <w:b w:val="1"/>
                <w:bCs w:val="1"/>
                <w:color w:val="auto"/>
              </w:rPr>
              <w:t>Opportunity</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ROI (2)</w:t>
            </w:r>
          </w:p>
        </w:tc>
        <w:tc>
          <w:tcPr>
            <w:tcW w:w="3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Cost (1)</w:t>
            </w:r>
          </w:p>
        </w:tc>
        <w:tc>
          <w:tcPr>
            <w:tcW w:w="300" w:type="dxa"/>
            <w:vAlign w:val="bottom"/>
          </w:tcPr>
          <w:p>
            <w:pPr>
              <w:spacing w:after="0"/>
              <w:rPr>
                <w:sz w:val="14"/>
                <w:szCs w:val="14"/>
                <w:color w:val="auto"/>
              </w:rPr>
            </w:pPr>
          </w:p>
        </w:tc>
        <w:tc>
          <w:tcPr>
            <w:tcW w:w="3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2011 (3)</w:t>
            </w: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Santana Row</w:t>
            </w:r>
          </w:p>
        </w:tc>
        <w:tc>
          <w:tcPr>
            <w:tcW w:w="2100" w:type="dxa"/>
            <w:vAlign w:val="bottom"/>
            <w:gridSpan w:val="3"/>
          </w:tcPr>
          <w:p>
            <w:pPr>
              <w:ind w:left="540"/>
              <w:spacing w:after="0"/>
              <w:rPr>
                <w:sz w:val="20"/>
                <w:szCs w:val="20"/>
                <w:color w:val="auto"/>
              </w:rPr>
            </w:pPr>
            <w:r>
              <w:rPr>
                <w:rFonts w:ascii="Arial" w:cs="Arial" w:eastAsia="Arial" w:hAnsi="Arial"/>
                <w:sz w:val="18"/>
                <w:szCs w:val="18"/>
                <w:color w:val="auto"/>
              </w:rPr>
              <w:t>San Jose, CA</w:t>
            </w:r>
          </w:p>
        </w:tc>
        <w:tc>
          <w:tcPr>
            <w:tcW w:w="4560" w:type="dxa"/>
            <w:vAlign w:val="bottom"/>
            <w:gridSpan w:val="3"/>
          </w:tcPr>
          <w:p>
            <w:pPr>
              <w:ind w:left="80"/>
              <w:spacing w:after="0"/>
              <w:rPr>
                <w:sz w:val="20"/>
                <w:szCs w:val="20"/>
                <w:color w:val="auto"/>
              </w:rPr>
            </w:pPr>
            <w:r>
              <w:rPr>
                <w:rFonts w:ascii="Arial" w:cs="Arial" w:eastAsia="Arial" w:hAnsi="Arial"/>
                <w:sz w:val="18"/>
                <w:szCs w:val="18"/>
                <w:color w:val="auto"/>
                <w:w w:val="96"/>
              </w:rPr>
              <w:t>Five-story building with 15,000 square feet of ground level</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3"/>
          </w:tcPr>
          <w:p>
            <w:pPr>
              <w:ind w:left="80"/>
              <w:spacing w:after="0"/>
              <w:rPr>
                <w:sz w:val="20"/>
                <w:szCs w:val="20"/>
                <w:color w:val="auto"/>
              </w:rPr>
            </w:pPr>
            <w:r>
              <w:rPr>
                <w:rFonts w:ascii="Arial" w:cs="Arial" w:eastAsia="Arial" w:hAnsi="Arial"/>
                <w:sz w:val="18"/>
                <w:szCs w:val="18"/>
                <w:color w:val="auto"/>
              </w:rPr>
              <w:t>retail and 65,000 square feet of office space</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Crossroads</w:t>
            </w:r>
          </w:p>
        </w:tc>
        <w:tc>
          <w:tcPr>
            <w:tcW w:w="21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Highland Park, IL</w:t>
            </w:r>
          </w:p>
        </w:tc>
        <w:tc>
          <w:tcPr>
            <w:tcW w:w="4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2"/>
              </w:rPr>
              <w:t>Combine four spaces in preparation for new fitness operator,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replacing vacant anchor and small shop space.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Brick</w:t>
            </w:r>
          </w:p>
        </w:tc>
        <w:tc>
          <w:tcPr>
            <w:tcW w:w="2100" w:type="dxa"/>
            <w:vAlign w:val="bottom"/>
            <w:gridSpan w:val="3"/>
          </w:tcPr>
          <w:p>
            <w:pPr>
              <w:ind w:left="540"/>
              <w:spacing w:after="0"/>
              <w:rPr>
                <w:sz w:val="20"/>
                <w:szCs w:val="20"/>
                <w:color w:val="auto"/>
              </w:rPr>
            </w:pPr>
            <w:r>
              <w:rPr>
                <w:rFonts w:ascii="Arial" w:cs="Arial" w:eastAsia="Arial" w:hAnsi="Arial"/>
                <w:sz w:val="18"/>
                <w:szCs w:val="18"/>
                <w:color w:val="auto"/>
              </w:rPr>
              <w:t>Brick, NJ</w:t>
            </w:r>
          </w:p>
        </w:tc>
        <w:tc>
          <w:tcPr>
            <w:tcW w:w="4560" w:type="dxa"/>
            <w:vAlign w:val="bottom"/>
            <w:gridSpan w:val="3"/>
          </w:tcPr>
          <w:p>
            <w:pPr>
              <w:ind w:left="80"/>
              <w:spacing w:after="0"/>
              <w:rPr>
                <w:sz w:val="20"/>
                <w:szCs w:val="20"/>
                <w:color w:val="auto"/>
              </w:rPr>
            </w:pPr>
            <w:r>
              <w:rPr>
                <w:rFonts w:ascii="Arial" w:cs="Arial" w:eastAsia="Arial" w:hAnsi="Arial"/>
                <w:sz w:val="18"/>
                <w:szCs w:val="18"/>
                <w:color w:val="auto"/>
              </w:rPr>
              <w:t>Redevelopment and expansion of existing pad site</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6"/>
            <w:shd w:val="clear" w:color="auto" w:fill="CCEEFF"/>
          </w:tcPr>
          <w:p>
            <w:pPr>
              <w:ind w:left="420"/>
              <w:spacing w:after="0"/>
              <w:rPr>
                <w:sz w:val="20"/>
                <w:szCs w:val="20"/>
                <w:color w:val="auto"/>
              </w:rPr>
            </w:pPr>
            <w:r>
              <w:rPr>
                <w:rFonts w:ascii="Arial" w:cs="Arial" w:eastAsia="Arial" w:hAnsi="Arial"/>
                <w:sz w:val="18"/>
                <w:szCs w:val="18"/>
                <w:b w:val="1"/>
                <w:bCs w:val="1"/>
                <w:color w:val="auto"/>
                <w:w w:val="90"/>
              </w:rPr>
              <w:t>Subtotal: Projects Anticipated to Stabilize in 2011 (3) (4)</w:t>
            </w: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b w:val="1"/>
                <w:bCs w:val="1"/>
                <w:u w:val="single" w:color="auto"/>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Projects Anticipated to Stabilize in 2012 (3)</w:t>
            </w: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00" w:type="dxa"/>
            <w:vAlign w:val="bottom"/>
            <w:gridSpan w:val="7"/>
            <w:vMerge w:val="continue"/>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Santana Row</w:t>
            </w:r>
          </w:p>
        </w:tc>
        <w:tc>
          <w:tcPr>
            <w:tcW w:w="21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San Jose, CA</w:t>
            </w:r>
          </w:p>
        </w:tc>
        <w:tc>
          <w:tcPr>
            <w:tcW w:w="4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109 unit residential building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Shops at Willow Lawn</w:t>
            </w:r>
          </w:p>
        </w:tc>
        <w:tc>
          <w:tcPr>
            <w:tcW w:w="2100" w:type="dxa"/>
            <w:vAlign w:val="bottom"/>
            <w:gridSpan w:val="3"/>
          </w:tcPr>
          <w:p>
            <w:pPr>
              <w:ind w:left="540"/>
              <w:spacing w:after="0"/>
              <w:rPr>
                <w:sz w:val="20"/>
                <w:szCs w:val="20"/>
                <w:color w:val="auto"/>
              </w:rPr>
            </w:pPr>
            <w:r>
              <w:rPr>
                <w:rFonts w:ascii="Arial" w:cs="Arial" w:eastAsia="Arial" w:hAnsi="Arial"/>
                <w:sz w:val="18"/>
                <w:szCs w:val="18"/>
                <w:color w:val="auto"/>
              </w:rPr>
              <w:t>Richmond, VA</w:t>
            </w:r>
          </w:p>
        </w:tc>
        <w:tc>
          <w:tcPr>
            <w:tcW w:w="4560" w:type="dxa"/>
            <w:vAlign w:val="bottom"/>
            <w:gridSpan w:val="3"/>
          </w:tcPr>
          <w:p>
            <w:pPr>
              <w:ind w:left="80"/>
              <w:spacing w:after="0"/>
              <w:rPr>
                <w:sz w:val="20"/>
                <w:szCs w:val="20"/>
                <w:color w:val="auto"/>
              </w:rPr>
            </w:pPr>
            <w:r>
              <w:rPr>
                <w:rFonts w:ascii="Arial" w:cs="Arial" w:eastAsia="Arial" w:hAnsi="Arial"/>
                <w:sz w:val="18"/>
                <w:szCs w:val="18"/>
                <w:color w:val="auto"/>
              </w:rPr>
              <w:t>Demo interior mall, relocate mall tenants, construct new</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3"/>
          </w:tcPr>
          <w:p>
            <w:pPr>
              <w:ind w:left="80"/>
              <w:spacing w:after="0"/>
              <w:rPr>
                <w:sz w:val="20"/>
                <w:szCs w:val="20"/>
                <w:color w:val="auto"/>
              </w:rPr>
            </w:pPr>
            <w:r>
              <w:rPr>
                <w:rFonts w:ascii="Arial" w:cs="Arial" w:eastAsia="Arial" w:hAnsi="Arial"/>
                <w:sz w:val="18"/>
                <w:szCs w:val="18"/>
                <w:color w:val="auto"/>
              </w:rPr>
              <w:t>exterior GLA, new pad buildings, and gas station</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Fresh Meadows</w:t>
            </w:r>
          </w:p>
        </w:tc>
        <w:tc>
          <w:tcPr>
            <w:tcW w:w="21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Queens, NY</w:t>
            </w:r>
          </w:p>
        </w:tc>
        <w:tc>
          <w:tcPr>
            <w:tcW w:w="4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Conversion of 2nd floor office space for new sporting goods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retailer.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Assembly Square Marketplace</w:t>
            </w:r>
          </w:p>
        </w:tc>
        <w:tc>
          <w:tcPr>
            <w:tcW w:w="2100" w:type="dxa"/>
            <w:vAlign w:val="bottom"/>
            <w:gridSpan w:val="3"/>
          </w:tcPr>
          <w:p>
            <w:pPr>
              <w:ind w:left="540"/>
              <w:spacing w:after="0"/>
              <w:rPr>
                <w:sz w:val="20"/>
                <w:szCs w:val="20"/>
                <w:color w:val="auto"/>
              </w:rPr>
            </w:pPr>
            <w:r>
              <w:rPr>
                <w:rFonts w:ascii="Arial" w:cs="Arial" w:eastAsia="Arial" w:hAnsi="Arial"/>
                <w:sz w:val="18"/>
                <w:szCs w:val="18"/>
                <w:color w:val="auto"/>
              </w:rPr>
              <w:t>Somerville, MA</w:t>
            </w:r>
          </w:p>
        </w:tc>
        <w:tc>
          <w:tcPr>
            <w:tcW w:w="4560" w:type="dxa"/>
            <w:vAlign w:val="bottom"/>
            <w:gridSpan w:val="3"/>
          </w:tcPr>
          <w:p>
            <w:pPr>
              <w:ind w:left="80"/>
              <w:spacing w:after="0"/>
              <w:rPr>
                <w:sz w:val="20"/>
                <w:szCs w:val="20"/>
                <w:color w:val="auto"/>
              </w:rPr>
            </w:pPr>
            <w:r>
              <w:rPr>
                <w:rFonts w:ascii="Arial" w:cs="Arial" w:eastAsia="Arial" w:hAnsi="Arial"/>
                <w:sz w:val="18"/>
                <w:szCs w:val="18"/>
                <w:color w:val="auto"/>
              </w:rPr>
              <w:t>Restaurant pad site</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6"/>
            <w:shd w:val="clear" w:color="auto" w:fill="CCEEFF"/>
          </w:tcPr>
          <w:p>
            <w:pPr>
              <w:ind w:left="420"/>
              <w:spacing w:after="0"/>
              <w:rPr>
                <w:sz w:val="20"/>
                <w:szCs w:val="20"/>
                <w:color w:val="auto"/>
              </w:rPr>
            </w:pPr>
            <w:r>
              <w:rPr>
                <w:rFonts w:ascii="Arial" w:cs="Arial" w:eastAsia="Arial" w:hAnsi="Arial"/>
                <w:sz w:val="18"/>
                <w:szCs w:val="18"/>
                <w:b w:val="1"/>
                <w:bCs w:val="1"/>
                <w:color w:val="auto"/>
                <w:w w:val="90"/>
              </w:rPr>
              <w:t>Subtotal: Projects Anticipated to Stabilize in 2012 (3) (4)</w:t>
            </w: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b w:val="1"/>
                <w:bCs w:val="1"/>
                <w:u w:val="single" w:color="auto"/>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00" w:type="dxa"/>
            <w:vAlign w:val="bottom"/>
            <w:gridSpan w:val="7"/>
          </w:tcPr>
          <w:p>
            <w:pPr>
              <w:spacing w:after="0"/>
              <w:rPr>
                <w:sz w:val="20"/>
                <w:szCs w:val="20"/>
                <w:color w:val="auto"/>
              </w:rPr>
            </w:pPr>
            <w:r>
              <w:rPr>
                <w:rFonts w:ascii="Arial" w:cs="Arial" w:eastAsia="Arial" w:hAnsi="Arial"/>
                <w:sz w:val="18"/>
                <w:szCs w:val="18"/>
                <w:b w:val="1"/>
                <w:bCs w:val="1"/>
                <w:color w:val="auto"/>
                <w:w w:val="90"/>
              </w:rPr>
              <w:t>Total: Projects Anticipated to Stabilize in 2011 and 2012 (3) (4)</w:t>
            </w: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5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380" w:type="dxa"/>
            <w:vAlign w:val="bottom"/>
            <w:gridSpan w:val="2"/>
          </w:tcPr>
          <w:p>
            <w:pPr>
              <w:ind w:left="300"/>
              <w:spacing w:after="0"/>
              <w:rPr>
                <w:sz w:val="20"/>
                <w:szCs w:val="20"/>
                <w:color w:val="auto"/>
              </w:rPr>
            </w:pPr>
            <w:r>
              <w:rPr>
                <w:rFonts w:ascii="Arial" w:cs="Arial" w:eastAsia="Arial" w:hAnsi="Arial"/>
                <w:sz w:val="15"/>
                <w:szCs w:val="15"/>
                <w:b w:val="1"/>
                <w:bCs w:val="1"/>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A recent review of our portfolio has generated numerous potential opportunities to create future shareholder value, many of which were previously disclosed as future redevelopment opportunities on this schedule. Executing these opportunities could be subject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108"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Pad Site Opportunities - Opportunity to invest a total of up to $15-$20 million to add both single tenant and multi-tenant stand alone pad buildings at existing retail properties. Many of these opportunities are “by right” and construction is awaiting appropriate retailer demand.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Bala Cynwyd</w:t>
            </w:r>
          </w:p>
        </w:tc>
        <w:tc>
          <w:tcPr>
            <w:tcW w:w="2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Bala Cynwyd, PA</w:t>
            </w:r>
          </w:p>
        </w:tc>
        <w:tc>
          <w:tcPr>
            <w:tcW w:w="1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Melville Mall</w:t>
            </w:r>
          </w:p>
        </w:tc>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Huntington, NY</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Brick Plaza</w:t>
            </w:r>
          </w:p>
        </w:tc>
        <w:tc>
          <w:tcPr>
            <w:tcW w:w="2620" w:type="dxa"/>
            <w:vAlign w:val="bottom"/>
          </w:tcPr>
          <w:p>
            <w:pPr>
              <w:ind w:left="1140"/>
              <w:spacing w:after="0"/>
              <w:rPr>
                <w:sz w:val="20"/>
                <w:szCs w:val="20"/>
                <w:color w:val="auto"/>
              </w:rPr>
            </w:pPr>
            <w:r>
              <w:rPr>
                <w:rFonts w:ascii="Arial" w:cs="Arial" w:eastAsia="Arial" w:hAnsi="Arial"/>
                <w:sz w:val="18"/>
                <w:szCs w:val="18"/>
                <w:color w:val="auto"/>
              </w:rPr>
              <w:t>Brick, NJ</w:t>
            </w:r>
          </w:p>
        </w:tc>
        <w:tc>
          <w:tcPr>
            <w:tcW w:w="1940" w:type="dxa"/>
            <w:vAlign w:val="bottom"/>
          </w:tcPr>
          <w:p>
            <w:pPr>
              <w:ind w:left="240"/>
              <w:spacing w:after="0"/>
              <w:rPr>
                <w:sz w:val="20"/>
                <w:szCs w:val="20"/>
                <w:color w:val="auto"/>
              </w:rPr>
            </w:pPr>
            <w:r>
              <w:rPr>
                <w:rFonts w:ascii="Arial" w:cs="Arial" w:eastAsia="Arial" w:hAnsi="Arial"/>
                <w:sz w:val="18"/>
                <w:szCs w:val="18"/>
                <w:b w:val="1"/>
                <w:bCs w:val="1"/>
                <w:color w:val="auto"/>
              </w:rPr>
              <w:t>Mercer Mall</w:t>
            </w:r>
          </w:p>
        </w:tc>
        <w:tc>
          <w:tcPr>
            <w:tcW w:w="4440" w:type="dxa"/>
            <w:vAlign w:val="bottom"/>
          </w:tcPr>
          <w:p>
            <w:pPr>
              <w:ind w:left="680"/>
              <w:spacing w:after="0"/>
              <w:rPr>
                <w:sz w:val="20"/>
                <w:szCs w:val="20"/>
                <w:color w:val="auto"/>
              </w:rPr>
            </w:pPr>
            <w:r>
              <w:rPr>
                <w:rFonts w:ascii="Arial" w:cs="Arial" w:eastAsia="Arial" w:hAnsi="Arial"/>
                <w:sz w:val="18"/>
                <w:szCs w:val="18"/>
                <w:color w:val="auto"/>
              </w:rPr>
              <w:t>Lawrenceville, NJ</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Dedham Plaza</w:t>
            </w:r>
          </w:p>
        </w:tc>
        <w:tc>
          <w:tcPr>
            <w:tcW w:w="2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Dedham, MA</w:t>
            </w:r>
          </w:p>
        </w:tc>
        <w:tc>
          <w:tcPr>
            <w:tcW w:w="1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Troy</w:t>
            </w:r>
          </w:p>
        </w:tc>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Parsippany, NJ</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Escondido</w:t>
            </w:r>
          </w:p>
        </w:tc>
        <w:tc>
          <w:tcPr>
            <w:tcW w:w="2620" w:type="dxa"/>
            <w:vAlign w:val="bottom"/>
          </w:tcPr>
          <w:p>
            <w:pPr>
              <w:ind w:left="1140"/>
              <w:spacing w:after="0"/>
              <w:rPr>
                <w:sz w:val="20"/>
                <w:szCs w:val="20"/>
                <w:color w:val="auto"/>
              </w:rPr>
            </w:pPr>
            <w:r>
              <w:rPr>
                <w:rFonts w:ascii="Arial" w:cs="Arial" w:eastAsia="Arial" w:hAnsi="Arial"/>
                <w:sz w:val="18"/>
                <w:szCs w:val="18"/>
                <w:color w:val="auto"/>
              </w:rPr>
              <w:t>Escondido, CA</w:t>
            </w:r>
          </w:p>
        </w:tc>
        <w:tc>
          <w:tcPr>
            <w:tcW w:w="1940" w:type="dxa"/>
            <w:vAlign w:val="bottom"/>
          </w:tcPr>
          <w:p>
            <w:pPr>
              <w:ind w:left="240"/>
              <w:spacing w:after="0"/>
              <w:rPr>
                <w:sz w:val="20"/>
                <w:szCs w:val="20"/>
                <w:color w:val="auto"/>
              </w:rPr>
            </w:pPr>
            <w:r>
              <w:rPr>
                <w:rFonts w:ascii="Arial" w:cs="Arial" w:eastAsia="Arial" w:hAnsi="Arial"/>
                <w:sz w:val="18"/>
                <w:szCs w:val="18"/>
                <w:b w:val="1"/>
                <w:bCs w:val="1"/>
                <w:color w:val="auto"/>
              </w:rPr>
              <w:t>Westgate</w:t>
            </w:r>
          </w:p>
        </w:tc>
        <w:tc>
          <w:tcPr>
            <w:tcW w:w="4440" w:type="dxa"/>
            <w:vAlign w:val="bottom"/>
          </w:tcPr>
          <w:p>
            <w:pPr>
              <w:ind w:left="680"/>
              <w:spacing w:after="0"/>
              <w:rPr>
                <w:sz w:val="20"/>
                <w:szCs w:val="20"/>
                <w:color w:val="auto"/>
              </w:rPr>
            </w:pPr>
            <w:r>
              <w:rPr>
                <w:rFonts w:ascii="Arial" w:cs="Arial" w:eastAsia="Arial" w:hAnsi="Arial"/>
                <w:sz w:val="18"/>
                <w:szCs w:val="18"/>
                <w:color w:val="auto"/>
              </w:rPr>
              <w:t>San Jose, CA</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Federal Plaza</w:t>
            </w:r>
          </w:p>
        </w:tc>
        <w:tc>
          <w:tcPr>
            <w:tcW w:w="2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Rockville, MD</w:t>
            </w:r>
          </w:p>
        </w:tc>
        <w:tc>
          <w:tcPr>
            <w:tcW w:w="1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Wildwood</w:t>
            </w:r>
          </w:p>
        </w:tc>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Bethesda, MD</w:t>
            </w:r>
          </w:p>
        </w:tc>
      </w:tr>
      <w:tr>
        <w:trPr>
          <w:trHeight w:val="228"/>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Flourtown</w:t>
            </w:r>
          </w:p>
        </w:tc>
        <w:tc>
          <w:tcPr>
            <w:tcW w:w="2620" w:type="dxa"/>
            <w:vAlign w:val="bottom"/>
          </w:tcPr>
          <w:p>
            <w:pPr>
              <w:ind w:left="1140"/>
              <w:spacing w:after="0"/>
              <w:rPr>
                <w:sz w:val="20"/>
                <w:szCs w:val="20"/>
                <w:color w:val="auto"/>
              </w:rPr>
            </w:pPr>
            <w:r>
              <w:rPr>
                <w:rFonts w:ascii="Arial" w:cs="Arial" w:eastAsia="Arial" w:hAnsi="Arial"/>
                <w:sz w:val="18"/>
                <w:szCs w:val="18"/>
                <w:color w:val="auto"/>
              </w:rPr>
              <w:t>Flourtown, PA</w:t>
            </w:r>
          </w:p>
        </w:tc>
        <w:tc>
          <w:tcPr>
            <w:tcW w:w="1940" w:type="dxa"/>
            <w:vAlign w:val="bottom"/>
          </w:tcPr>
          <w:p>
            <w:pPr>
              <w:spacing w:after="0"/>
              <w:rPr>
                <w:sz w:val="19"/>
                <w:szCs w:val="19"/>
                <w:color w:val="auto"/>
              </w:rPr>
            </w:pPr>
          </w:p>
        </w:tc>
        <w:tc>
          <w:tcPr>
            <w:tcW w:w="4440" w:type="dxa"/>
            <w:vAlign w:val="bottom"/>
          </w:tcPr>
          <w:p>
            <w:pPr>
              <w:spacing w:after="0"/>
              <w:rPr>
                <w:sz w:val="19"/>
                <w:szCs w:val="19"/>
                <w:color w:val="auto"/>
              </w:rPr>
            </w:pPr>
          </w:p>
        </w:tc>
      </w:tr>
    </w:tbl>
    <w:p>
      <w:pPr>
        <w:spacing w:after="0" w:line="13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Property Expansion or Conversion - Opportunity to invest a total of up to $15-$20 million at successful retail properties to convert previously unusable space into new GLA and to convert other existing uses into additional retail GLA.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Fresh Meadows</w:t>
            </w:r>
          </w:p>
        </w:tc>
        <w:tc>
          <w:tcPr>
            <w:tcW w:w="2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Queens, NY</w:t>
            </w:r>
          </w:p>
        </w:tc>
        <w:tc>
          <w:tcPr>
            <w:tcW w:w="2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Shoppers’ World</w:t>
            </w:r>
          </w:p>
        </w:tc>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Charlottesville, VA</w:t>
            </w: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b w:val="1"/>
                <w:bCs w:val="1"/>
                <w:color w:val="auto"/>
              </w:rPr>
              <w:t>Hollywood Blvd</w:t>
            </w:r>
          </w:p>
        </w:tc>
        <w:tc>
          <w:tcPr>
            <w:tcW w:w="2500" w:type="dxa"/>
            <w:vAlign w:val="bottom"/>
          </w:tcPr>
          <w:p>
            <w:pPr>
              <w:ind w:left="1080"/>
              <w:spacing w:after="0"/>
              <w:rPr>
                <w:sz w:val="20"/>
                <w:szCs w:val="20"/>
                <w:color w:val="auto"/>
              </w:rPr>
            </w:pPr>
            <w:r>
              <w:rPr>
                <w:rFonts w:ascii="Arial" w:cs="Arial" w:eastAsia="Arial" w:hAnsi="Arial"/>
                <w:sz w:val="18"/>
                <w:szCs w:val="18"/>
                <w:color w:val="auto"/>
              </w:rPr>
              <w:t>Hollywood, CA</w:t>
            </w:r>
          </w:p>
        </w:tc>
        <w:tc>
          <w:tcPr>
            <w:tcW w:w="2400" w:type="dxa"/>
            <w:vAlign w:val="bottom"/>
          </w:tcPr>
          <w:p>
            <w:pPr>
              <w:ind w:left="300"/>
              <w:spacing w:after="0"/>
              <w:rPr>
                <w:sz w:val="20"/>
                <w:szCs w:val="20"/>
                <w:color w:val="auto"/>
              </w:rPr>
            </w:pPr>
            <w:r>
              <w:rPr>
                <w:rFonts w:ascii="Arial" w:cs="Arial" w:eastAsia="Arial" w:hAnsi="Arial"/>
                <w:sz w:val="18"/>
                <w:szCs w:val="18"/>
                <w:b w:val="1"/>
                <w:bCs w:val="1"/>
                <w:color w:val="auto"/>
              </w:rPr>
              <w:t>Third Street Promenade</w:t>
            </w:r>
          </w:p>
        </w:tc>
        <w:tc>
          <w:tcPr>
            <w:tcW w:w="4040" w:type="dxa"/>
            <w:vAlign w:val="bottom"/>
          </w:tcPr>
          <w:p>
            <w:pPr>
              <w:ind w:left="280"/>
              <w:spacing w:after="0"/>
              <w:rPr>
                <w:sz w:val="20"/>
                <w:szCs w:val="20"/>
                <w:color w:val="auto"/>
              </w:rPr>
            </w:pPr>
            <w:r>
              <w:rPr>
                <w:rFonts w:ascii="Arial" w:cs="Arial" w:eastAsia="Arial" w:hAnsi="Arial"/>
                <w:sz w:val="18"/>
                <w:szCs w:val="18"/>
                <w:color w:val="auto"/>
              </w:rPr>
              <w:t>Santa Monica, CA</w:t>
            </w: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Pentagon Row</w:t>
            </w:r>
          </w:p>
        </w:tc>
        <w:tc>
          <w:tcPr>
            <w:tcW w:w="2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Arlington, VA</w:t>
            </w:r>
          </w:p>
        </w:tc>
        <w:tc>
          <w:tcPr>
            <w:tcW w:w="2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Wildwood</w:t>
            </w:r>
          </w:p>
        </w:tc>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Bethesda, MD</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Residential Opportunities - Opportunity to invest $150-$200 million to add more than 500 residential units to existing retail and mixed-use properties.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Barracks Road</w:t>
            </w:r>
          </w:p>
        </w:tc>
        <w:tc>
          <w:tcPr>
            <w:tcW w:w="1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Charlottesville, VA</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Santana Row</w:t>
            </w:r>
          </w:p>
        </w:tc>
        <w:tc>
          <w:tcPr>
            <w:tcW w:w="4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San Jose, CA</w:t>
            </w:r>
          </w:p>
        </w:tc>
      </w:tr>
      <w:tr>
        <w:trPr>
          <w:trHeight w:val="228"/>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Congressional Plaza</w:t>
            </w:r>
          </w:p>
        </w:tc>
        <w:tc>
          <w:tcPr>
            <w:tcW w:w="1840" w:type="dxa"/>
            <w:vAlign w:val="bottom"/>
          </w:tcPr>
          <w:p>
            <w:pPr>
              <w:ind w:left="300"/>
              <w:spacing w:after="0"/>
              <w:rPr>
                <w:sz w:val="20"/>
                <w:szCs w:val="20"/>
                <w:color w:val="auto"/>
              </w:rPr>
            </w:pPr>
            <w:r>
              <w:rPr>
                <w:rFonts w:ascii="Arial" w:cs="Arial" w:eastAsia="Arial" w:hAnsi="Arial"/>
                <w:sz w:val="18"/>
                <w:szCs w:val="18"/>
                <w:color w:val="auto"/>
              </w:rPr>
              <w:t>Rockville, MD</w:t>
            </w:r>
          </w:p>
        </w:tc>
        <w:tc>
          <w:tcPr>
            <w:tcW w:w="2180" w:type="dxa"/>
            <w:vAlign w:val="bottom"/>
          </w:tcPr>
          <w:p>
            <w:pPr>
              <w:ind w:left="180"/>
              <w:spacing w:after="0"/>
              <w:rPr>
                <w:sz w:val="20"/>
                <w:szCs w:val="20"/>
                <w:color w:val="auto"/>
              </w:rPr>
            </w:pPr>
            <w:r>
              <w:rPr>
                <w:rFonts w:ascii="Arial" w:cs="Arial" w:eastAsia="Arial" w:hAnsi="Arial"/>
                <w:sz w:val="18"/>
                <w:szCs w:val="18"/>
                <w:b w:val="1"/>
                <w:bCs w:val="1"/>
                <w:color w:val="auto"/>
              </w:rPr>
              <w:t>Village of Shirlington</w:t>
            </w:r>
          </w:p>
        </w:tc>
        <w:tc>
          <w:tcPr>
            <w:tcW w:w="4140" w:type="dxa"/>
            <w:vAlign w:val="bottom"/>
          </w:tcPr>
          <w:p>
            <w:pPr>
              <w:ind w:left="380"/>
              <w:spacing w:after="0"/>
              <w:rPr>
                <w:sz w:val="20"/>
                <w:szCs w:val="20"/>
                <w:color w:val="auto"/>
              </w:rPr>
            </w:pPr>
            <w:r>
              <w:rPr>
                <w:rFonts w:ascii="Arial" w:cs="Arial" w:eastAsia="Arial" w:hAnsi="Arial"/>
                <w:sz w:val="18"/>
                <w:szCs w:val="18"/>
                <w:color w:val="auto"/>
              </w:rPr>
              <w:t>Arlington, VA</w:t>
            </w:r>
          </w:p>
        </w:tc>
      </w:tr>
      <w:tr>
        <w:trPr>
          <w:trHeight w:val="364"/>
        </w:trPr>
        <w:tc>
          <w:tcPr>
            <w:tcW w:w="3260" w:type="dxa"/>
            <w:vAlign w:val="bottom"/>
          </w:tcPr>
          <w:p>
            <w:pPr>
              <w:spacing w:after="0"/>
              <w:rPr>
                <w:sz w:val="20"/>
                <w:szCs w:val="20"/>
                <w:color w:val="auto"/>
              </w:rPr>
            </w:pPr>
            <w:r>
              <w:rPr>
                <w:rFonts w:ascii="Arial" w:cs="Arial" w:eastAsia="Arial" w:hAnsi="Arial"/>
                <w:sz w:val="18"/>
                <w:szCs w:val="18"/>
                <w:b w:val="1"/>
                <w:bCs w:val="1"/>
                <w:color w:val="auto"/>
              </w:rPr>
              <w:t>Near Term Mixed-Use Opportunities</w:t>
            </w:r>
          </w:p>
        </w:tc>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05"/>
        </w:trPr>
        <w:tc>
          <w:tcPr>
            <w:tcW w:w="3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320" w:type="dxa"/>
            <w:vAlign w:val="bottom"/>
            <w:gridSpan w:val="2"/>
          </w:tcPr>
          <w:p>
            <w:pPr>
              <w:spacing w:after="0"/>
              <w:rPr>
                <w:sz w:val="17"/>
                <w:szCs w:val="17"/>
                <w:color w:val="auto"/>
              </w:rPr>
            </w:pPr>
          </w:p>
        </w:tc>
      </w:tr>
      <w:tr>
        <w:trPr>
          <w:trHeight w:val="208"/>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Assembly Row</w:t>
            </w: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Somerville, MA</w:t>
            </w:r>
          </w:p>
        </w:tc>
        <w:tc>
          <w:tcPr>
            <w:tcW w:w="6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First Phase of approximately 280,000 sf of retail space and 419 apartments (to be</w:t>
            </w:r>
          </w:p>
        </w:tc>
      </w:tr>
      <w:tr>
        <w:trPr>
          <w:trHeight w:val="216"/>
        </w:trPr>
        <w:tc>
          <w:tcPr>
            <w:tcW w:w="3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built by AVB), plus new T-stop; anticipated construction start 2011/2012 and</w:t>
            </w:r>
          </w:p>
        </w:tc>
      </w:tr>
      <w:tr>
        <w:trPr>
          <w:trHeight w:val="224"/>
        </w:trPr>
        <w:tc>
          <w:tcPr>
            <w:tcW w:w="3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anticipated stabilization 2014/2015. Approximate Phase 1 cost - $100-$125 million.</w:t>
            </w:r>
          </w:p>
        </w:tc>
      </w:tr>
      <w:tr>
        <w:trPr>
          <w:trHeight w:val="208"/>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Mid-Pike Plaza</w:t>
            </w:r>
          </w:p>
        </w:tc>
        <w:tc>
          <w:tcPr>
            <w:tcW w:w="1840" w:type="dxa"/>
            <w:vAlign w:val="bottom"/>
          </w:tcPr>
          <w:p>
            <w:pPr>
              <w:ind w:left="400"/>
              <w:spacing w:after="0"/>
              <w:rPr>
                <w:sz w:val="20"/>
                <w:szCs w:val="20"/>
                <w:color w:val="auto"/>
              </w:rPr>
            </w:pPr>
            <w:r>
              <w:rPr>
                <w:rFonts w:ascii="Arial" w:cs="Arial" w:eastAsia="Arial" w:hAnsi="Arial"/>
                <w:sz w:val="18"/>
                <w:szCs w:val="18"/>
                <w:color w:val="auto"/>
              </w:rPr>
              <w:t>Rockville, MD</w:t>
            </w:r>
          </w:p>
        </w:tc>
        <w:tc>
          <w:tcPr>
            <w:tcW w:w="6320" w:type="dxa"/>
            <w:vAlign w:val="bottom"/>
            <w:gridSpan w:val="2"/>
          </w:tcPr>
          <w:p>
            <w:pPr>
              <w:ind w:left="400"/>
              <w:spacing w:after="0"/>
              <w:rPr>
                <w:sz w:val="20"/>
                <w:szCs w:val="20"/>
                <w:color w:val="auto"/>
              </w:rPr>
            </w:pPr>
            <w:r>
              <w:rPr>
                <w:rFonts w:ascii="Arial" w:cs="Arial" w:eastAsia="Arial" w:hAnsi="Arial"/>
                <w:sz w:val="18"/>
                <w:szCs w:val="18"/>
                <w:color w:val="auto"/>
              </w:rPr>
              <w:t>First phase of approximately 230,000 sf of retail and office space and 400</w:t>
            </w:r>
          </w:p>
        </w:tc>
      </w:tr>
      <w:tr>
        <w:trPr>
          <w:trHeight w:val="216"/>
        </w:trPr>
        <w:tc>
          <w:tcPr>
            <w:tcW w:w="3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320" w:type="dxa"/>
            <w:vAlign w:val="bottom"/>
            <w:gridSpan w:val="2"/>
          </w:tcPr>
          <w:p>
            <w:pPr>
              <w:ind w:left="400"/>
              <w:spacing w:after="0"/>
              <w:rPr>
                <w:sz w:val="20"/>
                <w:szCs w:val="20"/>
                <w:color w:val="auto"/>
              </w:rPr>
            </w:pPr>
            <w:r>
              <w:rPr>
                <w:rFonts w:ascii="Arial" w:cs="Arial" w:eastAsia="Arial" w:hAnsi="Arial"/>
                <w:sz w:val="18"/>
                <w:szCs w:val="18"/>
                <w:color w:val="auto"/>
                <w:w w:val="92"/>
              </w:rPr>
              <w:t>residential units; anticipated construction start 2012 and anticipated stabilization</w:t>
            </w:r>
          </w:p>
        </w:tc>
      </w:tr>
      <w:tr>
        <w:trPr>
          <w:trHeight w:val="222"/>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320" w:type="dxa"/>
            <w:vAlign w:val="bottom"/>
            <w:gridSpan w:val="2"/>
          </w:tcPr>
          <w:p>
            <w:pPr>
              <w:ind w:left="400"/>
              <w:spacing w:after="0"/>
              <w:rPr>
                <w:sz w:val="20"/>
                <w:szCs w:val="20"/>
                <w:color w:val="auto"/>
              </w:rPr>
            </w:pPr>
            <w:r>
              <w:rPr>
                <w:rFonts w:ascii="Arial" w:cs="Arial" w:eastAsia="Arial" w:hAnsi="Arial"/>
                <w:sz w:val="18"/>
                <w:szCs w:val="18"/>
                <w:color w:val="auto"/>
              </w:rPr>
              <w:t>2014/2015. Approximate Phase 1cost - $200-$225 million.</w:t>
            </w:r>
          </w:p>
        </w:tc>
      </w:tr>
      <w:tr>
        <w:trPr>
          <w:trHeight w:val="459"/>
        </w:trPr>
        <w:tc>
          <w:tcPr>
            <w:tcW w:w="3260" w:type="dxa"/>
            <w:vAlign w:val="bottom"/>
          </w:tcPr>
          <w:p>
            <w:pPr>
              <w:spacing w:after="0"/>
              <w:rPr>
                <w:sz w:val="20"/>
                <w:szCs w:val="20"/>
                <w:color w:val="auto"/>
              </w:rPr>
            </w:pPr>
            <w:r>
              <w:rPr>
                <w:rFonts w:ascii="Arial" w:cs="Arial" w:eastAsia="Arial" w:hAnsi="Arial"/>
                <w:sz w:val="18"/>
                <w:szCs w:val="18"/>
                <w:b w:val="1"/>
                <w:bCs w:val="1"/>
                <w:color w:val="auto"/>
                <w:w w:val="98"/>
              </w:rPr>
              <w:t>Longer Term Mixed-Use Opportunities</w:t>
            </w:r>
          </w:p>
        </w:tc>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05"/>
        </w:trPr>
        <w:tc>
          <w:tcPr>
            <w:tcW w:w="3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Bala Cynwyd</w:t>
            </w:r>
          </w:p>
        </w:tc>
        <w:tc>
          <w:tcPr>
            <w:tcW w:w="1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Bala Cynwyd, PA</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Pike 7</w:t>
            </w:r>
          </w:p>
        </w:tc>
        <w:tc>
          <w:tcPr>
            <w:tcW w:w="4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Vienna, VA</w:t>
            </w:r>
          </w:p>
        </w:tc>
      </w:tr>
      <w:tr>
        <w:trPr>
          <w:trHeight w:val="228"/>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Forest Hills</w:t>
            </w:r>
          </w:p>
        </w:tc>
        <w:tc>
          <w:tcPr>
            <w:tcW w:w="1840" w:type="dxa"/>
            <w:vAlign w:val="bottom"/>
          </w:tcPr>
          <w:p>
            <w:pPr>
              <w:ind w:left="300"/>
              <w:spacing w:after="0"/>
              <w:rPr>
                <w:sz w:val="20"/>
                <w:szCs w:val="20"/>
                <w:color w:val="auto"/>
              </w:rPr>
            </w:pPr>
            <w:r>
              <w:rPr>
                <w:rFonts w:ascii="Arial" w:cs="Arial" w:eastAsia="Arial" w:hAnsi="Arial"/>
                <w:sz w:val="18"/>
                <w:szCs w:val="18"/>
                <w:color w:val="auto"/>
              </w:rPr>
              <w:t>Forest Hills, NY</w:t>
            </w:r>
          </w:p>
        </w:tc>
        <w:tc>
          <w:tcPr>
            <w:tcW w:w="2180" w:type="dxa"/>
            <w:vAlign w:val="bottom"/>
          </w:tcPr>
          <w:p>
            <w:pPr>
              <w:ind w:left="180"/>
              <w:spacing w:after="0"/>
              <w:rPr>
                <w:sz w:val="20"/>
                <w:szCs w:val="20"/>
                <w:color w:val="auto"/>
              </w:rPr>
            </w:pPr>
            <w:r>
              <w:rPr>
                <w:rFonts w:ascii="Arial" w:cs="Arial" w:eastAsia="Arial" w:hAnsi="Arial"/>
                <w:sz w:val="18"/>
                <w:szCs w:val="18"/>
                <w:b w:val="1"/>
                <w:bCs w:val="1"/>
                <w:color w:val="auto"/>
              </w:rPr>
              <w:t>Santana Row</w:t>
            </w:r>
          </w:p>
        </w:tc>
        <w:tc>
          <w:tcPr>
            <w:tcW w:w="4140" w:type="dxa"/>
            <w:vAlign w:val="bottom"/>
          </w:tcPr>
          <w:p>
            <w:pPr>
              <w:ind w:left="380"/>
              <w:spacing w:after="0"/>
              <w:rPr>
                <w:sz w:val="20"/>
                <w:szCs w:val="20"/>
                <w:color w:val="auto"/>
              </w:rPr>
            </w:pPr>
            <w:r>
              <w:rPr>
                <w:rFonts w:ascii="Arial" w:cs="Arial" w:eastAsia="Arial" w:hAnsi="Arial"/>
                <w:sz w:val="18"/>
                <w:szCs w:val="18"/>
                <w:color w:val="auto"/>
              </w:rPr>
              <w:t>San Jose, CA</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460" w:right="20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jc w:val="both"/>
        <w:ind w:left="460" w:right="260" w:hanging="452"/>
        <w:spacing w:after="0" w:line="361"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w:t>
      </w:r>
    </w:p>
    <w:p>
      <w:pPr>
        <w:sectPr>
          <w:pgSz w:w="11900" w:h="16915" w:orient="portrait"/>
          <w:cols w:equalWidth="0" w:num="1">
            <w:col w:w="11420"/>
          </w:cols>
          <w:pgMar w:left="240" w:top="274" w:right="239" w:bottom="0" w:gutter="0" w:footer="0" w:header="0"/>
        </w:sectPr>
      </w:pPr>
    </w:p>
    <w:bookmarkStart w:id="18" w:name="page19"/>
    <w:bookmarkEnd w:id="18"/>
    <w:p>
      <w:pPr>
        <w:jc w:val="both"/>
        <w:ind w:left="452"/>
        <w:spacing w:after="0" w:line="253" w:lineRule="auto"/>
        <w:rPr>
          <w:sz w:val="20"/>
          <w:szCs w:val="20"/>
          <w:color w:val="auto"/>
        </w:rPr>
      </w:pPr>
      <w:r>
        <w:rPr>
          <w:rFonts w:ascii="Arial" w:cs="Arial" w:eastAsia="Arial" w:hAnsi="Arial"/>
          <w:sz w:val="18"/>
          <w:szCs w:val="18"/>
          <w:color w:val="auto"/>
        </w:rPr>
        <w:t>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13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Realty Investment Trust Significant Acquisition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spacing w:after="0"/>
              <w:rPr>
                <w:sz w:val="15"/>
                <w:szCs w:val="15"/>
                <w:color w:val="auto"/>
              </w:rPr>
            </w:pPr>
          </w:p>
        </w:tc>
        <w:tc>
          <w:tcPr>
            <w:tcW w:w="1740" w:type="dxa"/>
            <w:vAlign w:val="bottom"/>
          </w:tcPr>
          <w:p>
            <w:pPr>
              <w:ind w:left="620"/>
              <w:spacing w:after="0"/>
              <w:rPr>
                <w:sz w:val="20"/>
                <w:szCs w:val="20"/>
                <w:color w:val="auto"/>
              </w:rPr>
            </w:pPr>
            <w:r>
              <w:rPr>
                <w:rFonts w:ascii="Arial" w:cs="Arial" w:eastAsia="Arial" w:hAnsi="Arial"/>
                <w:sz w:val="14"/>
                <w:szCs w:val="14"/>
                <w:b w:val="1"/>
                <w:bCs w:val="1"/>
                <w:color w:val="auto"/>
              </w:rPr>
              <w:t>Property</w:t>
            </w:r>
          </w:p>
        </w:tc>
        <w:tc>
          <w:tcPr>
            <w:tcW w:w="280" w:type="dxa"/>
            <w:vAlign w:val="bottom"/>
          </w:tcPr>
          <w:p>
            <w:pPr>
              <w:spacing w:after="0"/>
              <w:rPr>
                <w:sz w:val="15"/>
                <w:szCs w:val="15"/>
                <w:color w:val="auto"/>
              </w:rPr>
            </w:pPr>
          </w:p>
        </w:tc>
        <w:tc>
          <w:tcPr>
            <w:tcW w:w="1660" w:type="dxa"/>
            <w:vAlign w:val="bottom"/>
          </w:tcPr>
          <w:p>
            <w:pPr>
              <w:ind w:left="500"/>
              <w:spacing w:after="0"/>
              <w:rPr>
                <w:sz w:val="20"/>
                <w:szCs w:val="20"/>
                <w:color w:val="auto"/>
              </w:rPr>
            </w:pPr>
            <w:r>
              <w:rPr>
                <w:rFonts w:ascii="Arial" w:cs="Arial" w:eastAsia="Arial" w:hAnsi="Arial"/>
                <w:sz w:val="14"/>
                <w:szCs w:val="14"/>
                <w:b w:val="1"/>
                <w:bCs w:val="1"/>
                <w:color w:val="auto"/>
              </w:rPr>
              <w:t>City / State</w:t>
            </w:r>
          </w:p>
        </w:tc>
        <w:tc>
          <w:tcPr>
            <w:tcW w:w="280" w:type="dxa"/>
            <w:vAlign w:val="bottom"/>
          </w:tcPr>
          <w:p>
            <w:pPr>
              <w:spacing w:after="0"/>
              <w:rPr>
                <w:sz w:val="15"/>
                <w:szCs w:val="15"/>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GLA</w:t>
            </w:r>
          </w:p>
        </w:tc>
        <w:tc>
          <w:tcPr>
            <w:tcW w:w="1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2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5"/>
              </w:rPr>
              <w:t>(in square feet)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19, 2011</w:t>
            </w:r>
          </w:p>
        </w:tc>
        <w:tc>
          <w:tcPr>
            <w:tcW w:w="2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Tower Shops</w:t>
            </w:r>
          </w:p>
        </w:tc>
        <w:tc>
          <w:tcPr>
            <w:tcW w:w="1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Davie, FL</w:t>
            </w:r>
          </w:p>
        </w:tc>
        <w:tc>
          <w:tcPr>
            <w:tcW w:w="15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372,000 (1)</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Best Buy / DSW / Old Navy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Ross Dress For Less / TJ Maxx</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5620" w:right="5240" w:hanging="5612"/>
        <w:spacing w:after="0" w:line="404" w:lineRule="auto"/>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property is on 67 acres and is shadow-anchored by Costco and Home Depot. 15</w:t>
      </w:r>
    </w:p>
    <w:p>
      <w:pPr>
        <w:sectPr>
          <w:pgSz w:w="11900" w:h="16838" w:orient="portrait"/>
          <w:cols w:equalWidth="0" w:num="1">
            <w:col w:w="11420"/>
          </w:cols>
          <w:pgMar w:left="240" w:top="274" w:right="239" w:bottom="1440" w:gutter="0" w:footer="0" w:header="0"/>
        </w:sectPr>
      </w:pPr>
    </w:p>
    <w:bookmarkStart w:id="20" w:name="page21"/>
    <w:bookmarkEnd w:id="2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Mortgage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Capital</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Grocery</w:t>
            </w: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80" w:type="dxa"/>
            <w:vAlign w:val="bottom"/>
          </w:tcPr>
          <w:p>
            <w:pPr>
              <w:spacing w:after="0"/>
              <w:rPr>
                <w:sz w:val="12"/>
                <w:szCs w:val="12"/>
                <w:color w:val="auto"/>
              </w:rPr>
            </w:pPr>
          </w:p>
        </w:tc>
        <w:tc>
          <w:tcPr>
            <w:tcW w:w="1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Lease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5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Anchor</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380" w:type="dxa"/>
            <w:vAlign w:val="bottom"/>
          </w:tcPr>
          <w:p>
            <w:pPr>
              <w:spacing w:after="0"/>
              <w:rPr>
                <w:sz w:val="15"/>
                <w:szCs w:val="15"/>
                <w:color w:val="auto"/>
              </w:rPr>
            </w:pPr>
          </w:p>
        </w:tc>
        <w:tc>
          <w:tcPr>
            <w:tcW w:w="1700" w:type="dxa"/>
            <w:vAlign w:val="bottom"/>
          </w:tcPr>
          <w:p>
            <w:pPr>
              <w:ind w:left="360"/>
              <w:spacing w:after="0"/>
              <w:rPr>
                <w:sz w:val="20"/>
                <w:szCs w:val="20"/>
                <w:color w:val="auto"/>
              </w:rPr>
            </w:pPr>
            <w:r>
              <w:rPr>
                <w:rFonts w:ascii="Arial" w:cs="Arial" w:eastAsia="Arial" w:hAnsi="Arial"/>
                <w:sz w:val="14"/>
                <w:szCs w:val="14"/>
                <w:b w:val="1"/>
                <w:bCs w:val="1"/>
                <w:color w:val="auto"/>
              </w:rPr>
              <w:t>MSA Description</w:t>
            </w:r>
          </w:p>
        </w:tc>
        <w:tc>
          <w:tcPr>
            <w:tcW w:w="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Acquired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at Cost</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Obligation (1)</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GLA (2)</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Leased</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GLA</w:t>
            </w: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Anchor</w:t>
            </w:r>
          </w:p>
        </w:tc>
        <w:tc>
          <w:tcPr>
            <w:tcW w:w="80" w:type="dxa"/>
            <w:vAlign w:val="bottom"/>
          </w:tcPr>
          <w:p>
            <w:pPr>
              <w:spacing w:after="0"/>
              <w:rPr>
                <w:sz w:val="15"/>
                <w:szCs w:val="15"/>
                <w:color w:val="auto"/>
              </w:rPr>
            </w:pPr>
          </w:p>
        </w:tc>
        <w:tc>
          <w:tcPr>
            <w:tcW w:w="1600" w:type="dxa"/>
            <w:vAlign w:val="bottom"/>
          </w:tcPr>
          <w:p>
            <w:pPr>
              <w:ind w:left="58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Washington Metropolitan Area</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Bethesda Row</w:t>
            </w:r>
          </w:p>
        </w:tc>
        <w:tc>
          <w:tcPr>
            <w:tcW w:w="380" w:type="dxa"/>
            <w:vAlign w:val="bottom"/>
          </w:tcPr>
          <w:p>
            <w:pPr>
              <w:spacing w:after="0"/>
              <w:rPr>
                <w:sz w:val="11"/>
                <w:szCs w:val="11"/>
                <w:color w:val="auto"/>
              </w:rPr>
            </w:pPr>
          </w:p>
        </w:tc>
        <w:tc>
          <w:tcPr>
            <w:tcW w:w="1700" w:type="dxa"/>
            <w:vAlign w:val="bottom"/>
          </w:tcPr>
          <w:p>
            <w:pPr>
              <w:spacing w:after="0" w:line="131" w:lineRule="exact"/>
              <w:rPr>
                <w:sz w:val="20"/>
                <w:szCs w:val="20"/>
                <w:color w:val="auto"/>
              </w:rPr>
            </w:pPr>
            <w:r>
              <w:rPr>
                <w:rFonts w:ascii="Arial" w:cs="Arial" w:eastAsia="Arial" w:hAnsi="Arial"/>
                <w:sz w:val="14"/>
                <w:szCs w:val="14"/>
                <w:color w:val="auto"/>
              </w:rPr>
              <w:t>Washington, DC-MD-VA</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1993-2006/</w:t>
            </w:r>
          </w:p>
        </w:tc>
        <w:tc>
          <w:tcPr>
            <w:tcW w:w="200" w:type="dxa"/>
            <w:vAlign w:val="bottom"/>
            <w:gridSpan w:val="2"/>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207,442</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24,121</w:t>
            </w:r>
          </w:p>
        </w:tc>
        <w:tc>
          <w:tcPr>
            <w:tcW w:w="72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533,000</w:t>
            </w:r>
          </w:p>
        </w:tc>
        <w:tc>
          <w:tcPr>
            <w:tcW w:w="620" w:type="dxa"/>
            <w:vAlign w:val="bottom"/>
            <w:gridSpan w:val="2"/>
          </w:tcPr>
          <w:p>
            <w:pPr>
              <w:jc w:val="right"/>
              <w:ind w:right="120"/>
              <w:spacing w:after="0" w:line="131" w:lineRule="exact"/>
              <w:rPr>
                <w:sz w:val="20"/>
                <w:szCs w:val="20"/>
                <w:color w:val="auto"/>
              </w:rPr>
            </w:pPr>
            <w:r>
              <w:rPr>
                <w:rFonts w:ascii="Arial" w:cs="Arial" w:eastAsia="Arial" w:hAnsi="Arial"/>
                <w:sz w:val="14"/>
                <w:szCs w:val="14"/>
                <w:color w:val="auto"/>
              </w:rPr>
              <w:t>95%</w:t>
            </w:r>
          </w:p>
        </w:tc>
        <w:tc>
          <w:tcPr>
            <w:tcW w:w="56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40,000</w:t>
            </w:r>
          </w:p>
        </w:tc>
        <w:tc>
          <w:tcPr>
            <w:tcW w:w="90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1"/>
                <w:szCs w:val="11"/>
                <w:color w:val="auto"/>
              </w:rPr>
            </w:pPr>
          </w:p>
        </w:tc>
        <w:tc>
          <w:tcPr>
            <w:tcW w:w="1600" w:type="dxa"/>
            <w:vAlign w:val="bottom"/>
          </w:tcPr>
          <w:p>
            <w:pPr>
              <w:spacing w:after="0" w:line="131" w:lineRule="exact"/>
              <w:rPr>
                <w:sz w:val="20"/>
                <w:szCs w:val="20"/>
                <w:color w:val="auto"/>
              </w:rPr>
            </w:pPr>
            <w:r>
              <w:rPr>
                <w:rFonts w:ascii="Arial" w:cs="Arial" w:eastAsia="Arial" w:hAnsi="Arial"/>
                <w:sz w:val="14"/>
                <w:szCs w:val="14"/>
                <w:color w:val="auto"/>
                <w:w w:val="91"/>
              </w:rPr>
              <w:t>Barnes &amp; Noble / Landmark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2008/2010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w w:val="98"/>
              </w:rPr>
              <w:t>Theater / Apple Computer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39" w:lineRule="exact"/>
              <w:rPr>
                <w:sz w:val="20"/>
                <w:szCs w:val="20"/>
                <w:color w:val="auto"/>
              </w:rPr>
            </w:pPr>
            <w:r>
              <w:rPr>
                <w:rFonts w:ascii="Arial" w:cs="Arial" w:eastAsia="Arial" w:hAnsi="Arial"/>
                <w:sz w:val="14"/>
                <w:szCs w:val="14"/>
                <w:color w:val="auto"/>
              </w:rPr>
              <w:t>Congressional Plaza</w:t>
            </w:r>
          </w:p>
        </w:tc>
        <w:tc>
          <w:tcPr>
            <w:tcW w:w="38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(4)</w:t>
            </w:r>
          </w:p>
        </w:tc>
        <w:tc>
          <w:tcPr>
            <w:tcW w:w="17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1965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71,391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332,000</w:t>
            </w:r>
          </w:p>
        </w:tc>
        <w:tc>
          <w:tcPr>
            <w:tcW w:w="6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8"/>
              </w:rPr>
              <w:t>Buy Buy Baby / Container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Courthouse Center</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1967-1972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Federal Plaza</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62,693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31,728</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248,000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82%</w:t>
            </w:r>
          </w:p>
        </w:tc>
        <w:tc>
          <w:tcPr>
            <w:tcW w:w="5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10,000</w:t>
            </w:r>
          </w:p>
        </w:tc>
        <w:tc>
          <w:tcPr>
            <w:tcW w:w="90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Trader Joe’s</w:t>
            </w: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TJ Maxx / Micro Center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Gaithersburg Square</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24,973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207,000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78%</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3"/>
              </w:rPr>
              <w:t>Bed, Bath &amp; Beyond / Ross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Dress For Less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16,479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Whole Foods</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Laurel</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61,000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Leesburg Plaza</w:t>
            </w:r>
          </w:p>
        </w:tc>
        <w:tc>
          <w:tcPr>
            <w:tcW w:w="3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(5)</w:t>
            </w: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34,526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28,673</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236,000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55,000</w:t>
            </w:r>
          </w:p>
        </w:tc>
        <w:tc>
          <w:tcPr>
            <w:tcW w:w="9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Giant Food</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Petsmart / Pier 1 Imports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Loehmann’s Plaza</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32,674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37,077</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268,000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58,000</w:t>
            </w:r>
          </w:p>
        </w:tc>
        <w:tc>
          <w:tcPr>
            <w:tcW w:w="90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Bally Total Fitness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1982/2007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48,705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271,000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83%</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Toys R Us / Bally 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Fitness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w w:val="97"/>
              </w:rPr>
              <w:t>Mount Vernon/South Valley/7770</w:t>
            </w:r>
          </w:p>
        </w:tc>
        <w:tc>
          <w:tcPr>
            <w:tcW w:w="380" w:type="dxa"/>
            <w:vAlign w:val="bottom"/>
          </w:tcPr>
          <w:p>
            <w:pPr>
              <w:ind w:left="120"/>
              <w:spacing w:after="0" w:line="138" w:lineRule="exact"/>
              <w:rPr>
                <w:sz w:val="20"/>
                <w:szCs w:val="20"/>
                <w:color w:val="auto"/>
              </w:rPr>
            </w:pPr>
            <w:r>
              <w:rPr>
                <w:rFonts w:ascii="Arial" w:cs="Arial" w:eastAsia="Arial" w:hAnsi="Arial"/>
                <w:sz w:val="14"/>
                <w:szCs w:val="14"/>
                <w:color w:val="auto"/>
              </w:rPr>
              <w:t>(5)</w:t>
            </w: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2003-2006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78,271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10,843</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571,000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93%</w:t>
            </w:r>
          </w:p>
        </w:tc>
        <w:tc>
          <w:tcPr>
            <w:tcW w:w="5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62,000</w:t>
            </w:r>
          </w:p>
        </w:tc>
        <w:tc>
          <w:tcPr>
            <w:tcW w:w="90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3"/>
              </w:rPr>
              <w:t>Shoppers Food</w:t>
            </w: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Arial" w:cs="Arial" w:eastAsia="Arial" w:hAnsi="Arial"/>
                <w:sz w:val="14"/>
                <w:szCs w:val="14"/>
                <w:color w:val="auto"/>
              </w:rPr>
              <w:t>Richmond Hwy</w:t>
            </w: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1"/>
              </w:rPr>
              <w:t>Michaels / Home Depot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Maxx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Whole Foods</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Pan Am</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28,524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63,000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Safeway</w:t>
            </w: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1998/2010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88,773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53,227</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297,000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45,000</w:t>
            </w:r>
          </w:p>
        </w:tc>
        <w:tc>
          <w:tcPr>
            <w:tcW w:w="9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7"/>
              </w:rPr>
              <w:t>Harris Teeter</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Bally Total Fitness / Bed,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Bath &amp; Beyond / 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Pike 7</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35,506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164,000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248,000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Magruders</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Rockville Town Square</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2006-2007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37,191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23,482</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Sam’s Park &amp; Shop</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Tyson’s Station</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5,665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11,000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Trader Joe’s</w:t>
            </w: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Village at Shirlington</w:t>
            </w:r>
          </w:p>
        </w:tc>
        <w:tc>
          <w:tcPr>
            <w:tcW w:w="3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(3)</w:t>
            </w: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54,246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6,336</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257,000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28,000</w:t>
            </w:r>
          </w:p>
        </w:tc>
        <w:tc>
          <w:tcPr>
            <w:tcW w:w="9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7"/>
              </w:rPr>
              <w:t>Harris Teeter</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AMC Loews / Carlyle Grand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Wildwood</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85,000</w:t>
            </w: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Balducci’s</w:t>
            </w: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Washington</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4"/>
                <w:szCs w:val="14"/>
                <w:color w:val="auto"/>
              </w:rPr>
              <w:t>1,011,233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4"/>
                <w:szCs w:val="14"/>
                <w:color w:val="auto"/>
                <w:w w:val="89"/>
              </w:rPr>
              <w:t>5,188,000</w:t>
            </w:r>
          </w:p>
        </w:tc>
        <w:tc>
          <w:tcPr>
            <w:tcW w:w="6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Metropolitan Area</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Philadelphia Metropolitan Area</w:t>
            </w: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Philadelphia, PA-NJ</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23,775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267,000</w:t>
            </w:r>
          </w:p>
        </w:tc>
        <w:tc>
          <w:tcPr>
            <w:tcW w:w="62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92%</w:t>
            </w:r>
          </w:p>
        </w:tc>
        <w:tc>
          <w:tcPr>
            <w:tcW w:w="56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24,000</w:t>
            </w:r>
          </w:p>
        </w:tc>
        <w:tc>
          <w:tcPr>
            <w:tcW w:w="90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89"/>
              </w:rPr>
              <w:t>Acme Markets</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Kohl’s / Staples / L.A.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Bala Cynwyd</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33,903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45,000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Acme Markets</w:t>
            </w: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3"/>
              </w:rPr>
              <w:t>Lord &amp; Taylor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Feasterville</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12,161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53,000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Langhorne Square</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20,306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219,000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5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55,000</w:t>
            </w:r>
          </w:p>
        </w:tc>
        <w:tc>
          <w:tcPr>
            <w:tcW w:w="90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Redner’s</w:t>
            </w: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Mkts.</w:t>
            </w: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30,547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28,099</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353,000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53,000</w:t>
            </w:r>
          </w:p>
        </w:tc>
        <w:tc>
          <w:tcPr>
            <w:tcW w:w="9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Acme Markets</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Northeast</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23,154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284,000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89%</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Burlington Coat Factory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Willow Grove</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27,941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216,000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90%</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HomeGoods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37,306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28,636</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257,000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96%</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98,000</w:t>
            </w:r>
          </w:p>
        </w:tc>
        <w:tc>
          <w:tcPr>
            <w:tcW w:w="9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Bed, Bath &amp; Beyond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Navy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line="143" w:lineRule="exact"/>
              <w:rPr>
                <w:sz w:val="20"/>
                <w:szCs w:val="20"/>
                <w:color w:val="auto"/>
              </w:rPr>
            </w:pPr>
            <w:r>
              <w:rPr>
                <w:rFonts w:ascii="Arial" w:cs="Arial" w:eastAsia="Arial" w:hAnsi="Arial"/>
                <w:sz w:val="14"/>
                <w:szCs w:val="14"/>
                <w:b w:val="1"/>
                <w:bCs w:val="1"/>
                <w:color w:val="auto"/>
              </w:rPr>
              <w:t>Total Philadelphia</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267,402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9"/>
              </w:rPr>
              <w:t>2,546,000</w:t>
            </w:r>
          </w:p>
        </w:tc>
        <w:tc>
          <w:tcPr>
            <w:tcW w:w="6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91%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4"/>
                <w:szCs w:val="14"/>
                <w:b w:val="1"/>
                <w:bCs w:val="1"/>
                <w:color w:val="auto"/>
              </w:rPr>
              <w:t>Metropolitan Area</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40" w:type="dxa"/>
            <w:vAlign w:val="bottom"/>
            <w:tcBorders>
              <w:bottom w:val="single" w:sz="8" w:color="CCEEFF"/>
              <w:right w:val="single" w:sz="8" w:color="CCEEFF"/>
            </w:tcBorders>
            <w:gridSpan w:val="3"/>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Colorado Blvd</w:t>
            </w:r>
          </w:p>
        </w:tc>
        <w:tc>
          <w:tcPr>
            <w:tcW w:w="380" w:type="dxa"/>
            <w:vAlign w:val="bottom"/>
          </w:tcPr>
          <w:p>
            <w:pPr>
              <w:spacing w:after="0"/>
              <w:rPr>
                <w:sz w:val="11"/>
                <w:szCs w:val="11"/>
                <w:color w:val="auto"/>
              </w:rPr>
            </w:pPr>
          </w:p>
        </w:tc>
        <w:tc>
          <w:tcPr>
            <w:tcW w:w="1700" w:type="dxa"/>
            <w:vAlign w:val="bottom"/>
          </w:tcPr>
          <w:p>
            <w:pPr>
              <w:spacing w:after="0" w:line="131" w:lineRule="exact"/>
              <w:rPr>
                <w:sz w:val="20"/>
                <w:szCs w:val="20"/>
                <w:color w:val="auto"/>
              </w:rPr>
            </w:pPr>
            <w:r>
              <w:rPr>
                <w:rFonts w:ascii="Arial" w:cs="Arial" w:eastAsia="Arial" w:hAnsi="Arial"/>
                <w:sz w:val="14"/>
                <w:szCs w:val="14"/>
                <w:color w:val="auto"/>
                <w:w w:val="91"/>
              </w:rPr>
              <w:t>Los Angeles-Long Beach, CA</w:t>
            </w:r>
          </w:p>
        </w:tc>
        <w:tc>
          <w:tcPr>
            <w:tcW w:w="7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1996-1998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16,642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69,000</w:t>
            </w:r>
          </w:p>
        </w:tc>
        <w:tc>
          <w:tcPr>
            <w:tcW w:w="620" w:type="dxa"/>
            <w:vAlign w:val="bottom"/>
            <w:gridSpan w:val="2"/>
          </w:tcPr>
          <w:p>
            <w:pPr>
              <w:jc w:val="right"/>
              <w:ind w:right="120"/>
              <w:spacing w:after="0" w:line="131" w:lineRule="exact"/>
              <w:rPr>
                <w:sz w:val="20"/>
                <w:szCs w:val="20"/>
                <w:color w:val="auto"/>
              </w:rPr>
            </w:pPr>
            <w:r>
              <w:rPr>
                <w:rFonts w:ascii="Arial" w:cs="Arial" w:eastAsia="Arial" w:hAnsi="Arial"/>
                <w:sz w:val="14"/>
                <w:szCs w:val="14"/>
                <w:color w:val="auto"/>
              </w:rPr>
              <w:t>83%</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1"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Crow Canyon</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Ramon, CA</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2005-2007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65,214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20,283</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242,000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90%</w:t>
            </w:r>
          </w:p>
        </w:tc>
        <w:tc>
          <w:tcPr>
            <w:tcW w:w="5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58,000</w:t>
            </w:r>
          </w:p>
        </w:tc>
        <w:tc>
          <w:tcPr>
            <w:tcW w:w="9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Lucky</w:t>
            </w: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Loehmann’s Dress Shop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Escondido</w:t>
            </w:r>
          </w:p>
        </w:tc>
        <w:tc>
          <w:tcPr>
            <w:tcW w:w="380" w:type="dxa"/>
            <w:vAlign w:val="bottom"/>
          </w:tcPr>
          <w:p>
            <w:pPr>
              <w:ind w:left="120"/>
              <w:spacing w:after="0" w:line="138" w:lineRule="exact"/>
              <w:rPr>
                <w:sz w:val="20"/>
                <w:szCs w:val="20"/>
                <w:color w:val="auto"/>
              </w:rPr>
            </w:pPr>
            <w:r>
              <w:rPr>
                <w:rFonts w:ascii="Arial" w:cs="Arial" w:eastAsia="Arial" w:hAnsi="Arial"/>
                <w:sz w:val="14"/>
                <w:szCs w:val="14"/>
                <w:color w:val="auto"/>
              </w:rPr>
              <w:t>(6)</w:t>
            </w: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San Diego, CA</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1996/2010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44,001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222,000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TJ Maxx / Toys R Us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Diego, CA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Hermosa Ave</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1"/>
              </w:rPr>
              <w:t>Los Angeles-Long Beach, CA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Hollywood Blvd</w:t>
            </w:r>
          </w:p>
        </w:tc>
        <w:tc>
          <w:tcPr>
            <w:tcW w:w="2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3"/>
              </w:rPr>
              <w:t>(7)  Los Angeles-Long Beach, CA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Fresh &amp; Easy</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DSW / 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Kings Court</w:t>
            </w:r>
          </w:p>
        </w:tc>
        <w:tc>
          <w:tcPr>
            <w:tcW w:w="380" w:type="dxa"/>
            <w:vAlign w:val="bottom"/>
          </w:tcPr>
          <w:p>
            <w:pPr>
              <w:ind w:left="120"/>
              <w:spacing w:after="0" w:line="138" w:lineRule="exact"/>
              <w:rPr>
                <w:sz w:val="20"/>
                <w:szCs w:val="20"/>
                <w:color w:val="auto"/>
              </w:rPr>
            </w:pPr>
            <w:r>
              <w:rPr>
                <w:rFonts w:ascii="Arial" w:cs="Arial" w:eastAsia="Arial" w:hAnsi="Arial"/>
                <w:sz w:val="14"/>
                <w:szCs w:val="14"/>
                <w:color w:val="auto"/>
              </w:rPr>
              <w:t>(5)</w:t>
            </w: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11,599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79,000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25,000</w:t>
            </w:r>
          </w:p>
        </w:tc>
        <w:tc>
          <w:tcPr>
            <w:tcW w:w="90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Lunardi’s</w:t>
            </w: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5"/>
              </w:rPr>
              <w:t>Super Market</w:t>
            </w: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Old Town Center</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Jose, CA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Gap Kids / 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Santana Row</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559,994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608,000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8"/>
              </w:rPr>
              <w:t>Crate &amp; Barrel /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4"/>
              </w:rPr>
              <w:t>Store / Best Buy / CineArts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Theatre / Hotel Valencia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Third St Promenade</w:t>
            </w:r>
          </w:p>
        </w:tc>
        <w:tc>
          <w:tcPr>
            <w:tcW w:w="3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Los Angeles-Long Beach, CA</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1996-2000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78,016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209,000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J. Crew / Banana Republic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Old Navy / Abercrombie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Westgate</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117,320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643,000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6"/>
              </w:rPr>
              <w:t>Factory / Barnes &amp; Noble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Ross Dress For Less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150 Post Street</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Francisco, CA</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37,656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Total California</w:t>
            </w: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1,020,647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2,499,000</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500" w:type="dxa"/>
            <w:vAlign w:val="bottom"/>
            <w:tcBorders>
              <w:bottom w:val="single" w:sz="8" w:color="CCEEFF"/>
              <w:right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Brick Plaza</w:t>
            </w:r>
          </w:p>
        </w:tc>
        <w:tc>
          <w:tcPr>
            <w:tcW w:w="380" w:type="dxa"/>
            <w:vAlign w:val="bottom"/>
          </w:tcPr>
          <w:p>
            <w:pPr>
              <w:spacing w:after="0"/>
              <w:rPr>
                <w:sz w:val="11"/>
                <w:szCs w:val="11"/>
                <w:color w:val="auto"/>
              </w:rPr>
            </w:pPr>
          </w:p>
        </w:tc>
        <w:tc>
          <w:tcPr>
            <w:tcW w:w="1700" w:type="dxa"/>
            <w:vAlign w:val="bottom"/>
          </w:tcPr>
          <w:p>
            <w:pPr>
              <w:spacing w:after="0" w:line="131" w:lineRule="exact"/>
              <w:rPr>
                <w:sz w:val="20"/>
                <w:szCs w:val="20"/>
                <w:color w:val="auto"/>
              </w:rPr>
            </w:pPr>
            <w:r>
              <w:rPr>
                <w:rFonts w:ascii="Arial" w:cs="Arial" w:eastAsia="Arial" w:hAnsi="Arial"/>
                <w:sz w:val="14"/>
                <w:szCs w:val="14"/>
                <w:color w:val="auto"/>
              </w:rPr>
              <w:t>Monmouth-Ocean, NJ</w:t>
            </w:r>
          </w:p>
        </w:tc>
        <w:tc>
          <w:tcPr>
            <w:tcW w:w="7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57,938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29,265</w:t>
            </w:r>
          </w:p>
        </w:tc>
        <w:tc>
          <w:tcPr>
            <w:tcW w:w="72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409,000</w:t>
            </w:r>
          </w:p>
        </w:tc>
        <w:tc>
          <w:tcPr>
            <w:tcW w:w="620" w:type="dxa"/>
            <w:vAlign w:val="bottom"/>
            <w:gridSpan w:val="2"/>
          </w:tcPr>
          <w:p>
            <w:pPr>
              <w:jc w:val="right"/>
              <w:ind w:right="120"/>
              <w:spacing w:after="0" w:line="131" w:lineRule="exact"/>
              <w:rPr>
                <w:sz w:val="20"/>
                <w:szCs w:val="20"/>
                <w:color w:val="auto"/>
              </w:rPr>
            </w:pPr>
            <w:r>
              <w:rPr>
                <w:rFonts w:ascii="Arial" w:cs="Arial" w:eastAsia="Arial" w:hAnsi="Arial"/>
                <w:sz w:val="14"/>
                <w:szCs w:val="14"/>
                <w:color w:val="auto"/>
              </w:rPr>
              <w:t>94%</w:t>
            </w:r>
          </w:p>
        </w:tc>
        <w:tc>
          <w:tcPr>
            <w:tcW w:w="56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66,000</w:t>
            </w:r>
          </w:p>
        </w:tc>
        <w:tc>
          <w:tcPr>
            <w:tcW w:w="90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A&amp;P</w:t>
            </w:r>
          </w:p>
        </w:tc>
        <w:tc>
          <w:tcPr>
            <w:tcW w:w="80" w:type="dxa"/>
            <w:vAlign w:val="bottom"/>
          </w:tcPr>
          <w:p>
            <w:pPr>
              <w:spacing w:after="0"/>
              <w:rPr>
                <w:sz w:val="11"/>
                <w:szCs w:val="11"/>
                <w:color w:val="auto"/>
              </w:rPr>
            </w:pPr>
          </w:p>
        </w:tc>
        <w:tc>
          <w:tcPr>
            <w:tcW w:w="1600" w:type="dxa"/>
            <w:vAlign w:val="bottom"/>
          </w:tcPr>
          <w:p>
            <w:pPr>
              <w:spacing w:after="0" w:line="131" w:lineRule="exact"/>
              <w:rPr>
                <w:sz w:val="20"/>
                <w:szCs w:val="20"/>
                <w:color w:val="auto"/>
              </w:rPr>
            </w:pPr>
            <w:r>
              <w:rPr>
                <w:rFonts w:ascii="Arial" w:cs="Arial" w:eastAsia="Arial" w:hAnsi="Arial"/>
                <w:sz w:val="14"/>
                <w:szCs w:val="14"/>
                <w:color w:val="auto"/>
              </w:rPr>
              <w:t>AMC Loews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Noble / 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Forest Hills</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8,110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Fresh Meadows</w:t>
            </w:r>
          </w:p>
        </w:tc>
        <w:tc>
          <w:tcPr>
            <w:tcW w:w="3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New York, NY</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70,590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405,000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Hauppauge</w:t>
            </w:r>
          </w:p>
        </w:tc>
        <w:tc>
          <w:tcPr>
            <w:tcW w:w="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Nassau-Suffolk, NY</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14,944</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61,000</w:t>
            </w: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Shop Rite</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Huntington</w:t>
            </w:r>
          </w:p>
        </w:tc>
        <w:tc>
          <w:tcPr>
            <w:tcW w:w="38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Nassau-Suffolk, NY</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1988/2007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38,773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292,000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1"/>
              </w:rPr>
              <w:t>Buy Buy Baby / Toys R Us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bl>
    <w:p>
      <w:pPr>
        <w:sectPr>
          <w:pgSz w:w="11900" w:h="16843" w:orient="portrait"/>
          <w:cols w:equalWidth="0" w:num="1">
            <w:col w:w="11420"/>
          </w:cols>
          <w:pgMar w:left="240" w:top="274"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w w:val="95"/>
              </w:rPr>
              <w:t>Barnes &amp; Noble / Michaels</w:t>
            </w: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Huntington Square</w:t>
            </w:r>
          </w:p>
        </w:tc>
        <w:tc>
          <w:tcPr>
            <w:tcW w:w="780" w:type="dxa"/>
            <w:vAlign w:val="bottom"/>
            <w:shd w:val="clear" w:color="auto" w:fill="CCEEFF"/>
          </w:tcPr>
          <w:p>
            <w:pPr>
              <w:spacing w:after="0"/>
              <w:rPr>
                <w:sz w:val="12"/>
                <w:szCs w:val="12"/>
                <w:color w:val="auto"/>
              </w:rPr>
            </w:pPr>
          </w:p>
        </w:tc>
        <w:tc>
          <w:tcPr>
            <w:tcW w:w="19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Nassau-Suffolk, NY</w:t>
            </w: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2010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10,078</w:t>
            </w:r>
          </w:p>
        </w:tc>
        <w:tc>
          <w:tcPr>
            <w:tcW w:w="1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74,000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Barnes &amp; Noble</w:t>
            </w: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Melville Mall</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980" w:type="dxa"/>
            <w:vAlign w:val="bottom"/>
          </w:tcPr>
          <w:p>
            <w:pPr>
              <w:ind w:left="60"/>
              <w:spacing w:after="0" w:line="149" w:lineRule="exact"/>
              <w:rPr>
                <w:sz w:val="20"/>
                <w:szCs w:val="20"/>
                <w:color w:val="auto"/>
              </w:rPr>
            </w:pPr>
            <w:r>
              <w:rPr>
                <w:rFonts w:ascii="Arial" w:cs="Arial" w:eastAsia="Arial" w:hAnsi="Arial"/>
                <w:sz w:val="14"/>
                <w:szCs w:val="14"/>
                <w:color w:val="auto"/>
              </w:rPr>
              <w:t>Nassau-Suffolk, NY</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2006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68,767</w:t>
            </w: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22,889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248,000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860" w:type="dxa"/>
            <w:vAlign w:val="bottom"/>
          </w:tcPr>
          <w:p>
            <w:pPr>
              <w:ind w:left="80"/>
              <w:spacing w:after="0" w:line="149" w:lineRule="exact"/>
              <w:rPr>
                <w:sz w:val="20"/>
                <w:szCs w:val="20"/>
                <w:color w:val="auto"/>
              </w:rPr>
            </w:pPr>
            <w:r>
              <w:rPr>
                <w:rFonts w:ascii="Arial" w:cs="Arial" w:eastAsia="Arial" w:hAnsi="Arial"/>
                <w:sz w:val="14"/>
                <w:szCs w:val="14"/>
                <w:color w:val="auto"/>
                <w:w w:val="98"/>
              </w:rPr>
              <w:t>Waldbaum’s</w:t>
            </w: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Kohl’s / Marshalls</w:t>
            </w:r>
          </w:p>
        </w:tc>
      </w:tr>
      <w:tr>
        <w:trPr>
          <w:trHeight w:val="138"/>
        </w:trPr>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Mercer Mall</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w:t>
            </w:r>
          </w:p>
        </w:tc>
        <w:tc>
          <w:tcPr>
            <w:tcW w:w="19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Trenton, NJ</w:t>
            </w:r>
          </w:p>
        </w:tc>
        <w:tc>
          <w:tcPr>
            <w:tcW w:w="66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2003</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105,134</w:t>
            </w:r>
          </w:p>
        </w:tc>
        <w:tc>
          <w:tcPr>
            <w:tcW w:w="110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48,356</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500,000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75,000</w:t>
            </w:r>
          </w:p>
        </w:tc>
        <w:tc>
          <w:tcPr>
            <w:tcW w:w="8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Shop Rite</w:t>
            </w:r>
          </w:p>
        </w:tc>
        <w:tc>
          <w:tcPr>
            <w:tcW w:w="17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2"/>
              </w:rPr>
              <w:t>Bed, Bath &amp; Beyond / DSW</w:t>
            </w:r>
          </w:p>
        </w:tc>
      </w:tr>
      <w:tr>
        <w:trPr>
          <w:trHeight w:val="149"/>
        </w:trPr>
        <w:tc>
          <w:tcPr>
            <w:tcW w:w="1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 TJ Maxx / Raymour &amp;</w:t>
            </w:r>
          </w:p>
        </w:tc>
      </w:tr>
      <w:tr>
        <w:trPr>
          <w:trHeight w:val="159"/>
        </w:trPr>
        <w:tc>
          <w:tcPr>
            <w:tcW w:w="1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7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Flanigan</w:t>
            </w: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Troy</w:t>
            </w:r>
          </w:p>
        </w:tc>
        <w:tc>
          <w:tcPr>
            <w:tcW w:w="780" w:type="dxa"/>
            <w:vAlign w:val="bottom"/>
          </w:tcPr>
          <w:p>
            <w:pPr>
              <w:spacing w:after="0"/>
              <w:rPr>
                <w:sz w:val="12"/>
                <w:szCs w:val="12"/>
                <w:color w:val="auto"/>
              </w:rPr>
            </w:pPr>
          </w:p>
        </w:tc>
        <w:tc>
          <w:tcPr>
            <w:tcW w:w="1980" w:type="dxa"/>
            <w:vAlign w:val="bottom"/>
          </w:tcPr>
          <w:p>
            <w:pPr>
              <w:ind w:left="60"/>
              <w:spacing w:after="0" w:line="149" w:lineRule="exact"/>
              <w:rPr>
                <w:sz w:val="20"/>
                <w:szCs w:val="20"/>
                <w:color w:val="auto"/>
              </w:rPr>
            </w:pPr>
            <w:r>
              <w:rPr>
                <w:rFonts w:ascii="Arial" w:cs="Arial" w:eastAsia="Arial" w:hAnsi="Arial"/>
                <w:sz w:val="14"/>
                <w:szCs w:val="14"/>
                <w:color w:val="auto"/>
              </w:rPr>
              <w:t>Newark, NJ</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1980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26,422</w:t>
            </w:r>
          </w:p>
        </w:tc>
        <w:tc>
          <w:tcPr>
            <w:tcW w:w="1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207,000</w:t>
            </w: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64,000</w:t>
            </w:r>
          </w:p>
        </w:tc>
        <w:tc>
          <w:tcPr>
            <w:tcW w:w="860" w:type="dxa"/>
            <w:vAlign w:val="bottom"/>
          </w:tcPr>
          <w:p>
            <w:pPr>
              <w:ind w:left="80"/>
              <w:spacing w:after="0" w:line="149" w:lineRule="exact"/>
              <w:rPr>
                <w:sz w:val="20"/>
                <w:szCs w:val="20"/>
                <w:color w:val="auto"/>
              </w:rPr>
            </w:pPr>
            <w:r>
              <w:rPr>
                <w:rFonts w:ascii="Arial" w:cs="Arial" w:eastAsia="Arial" w:hAnsi="Arial"/>
                <w:sz w:val="14"/>
                <w:szCs w:val="14"/>
                <w:color w:val="auto"/>
              </w:rPr>
              <w:t>Pathmark</w:t>
            </w: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L.A. Fitness</w:t>
            </w:r>
          </w:p>
        </w:tc>
      </w:tr>
      <w:tr>
        <w:trPr>
          <w:trHeight w:val="27"/>
        </w:trPr>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49"/>
        </w:trPr>
        <w:tc>
          <w:tcPr>
            <w:tcW w:w="1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New York / New Jersey</w:t>
            </w: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413,798</w:t>
            </w: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2,316,000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7" w:right="239" w:bottom="1440" w:gutter="0" w:footer="0" w:header="0"/>
        </w:sectPr>
      </w:pPr>
    </w:p>
    <w:bookmarkStart w:id="22" w:name="page23"/>
    <w:bookmarkEnd w:id="22"/>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Mortgage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and/or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Capital</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Grocery</w:t>
            </w:r>
          </w:p>
        </w:tc>
        <w:tc>
          <w:tcPr>
            <w:tcW w:w="160" w:type="dxa"/>
            <w:vAlign w:val="bottom"/>
          </w:tcPr>
          <w:p>
            <w:pPr>
              <w:spacing w:after="0"/>
              <w:rPr>
                <w:sz w:val="12"/>
                <w:szCs w:val="12"/>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17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Year</w:t>
            </w:r>
          </w:p>
        </w:tc>
        <w:tc>
          <w:tcPr>
            <w:tcW w:w="6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Estate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Lease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52"/>
              <w:spacing w:after="0" w:line="13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Anchor</w:t>
            </w: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4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at Cost</w:t>
            </w:r>
          </w:p>
        </w:tc>
        <w:tc>
          <w:tcPr>
            <w:tcW w:w="6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Obligation (1)</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 (2)</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GLA</w:t>
            </w:r>
          </w:p>
        </w:tc>
        <w:tc>
          <w:tcPr>
            <w:tcW w:w="16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Anchor</w:t>
            </w:r>
          </w:p>
        </w:tc>
        <w:tc>
          <w:tcPr>
            <w:tcW w:w="8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(in thousands)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7"/>
              </w:rPr>
              <w:t>(in thousands)</w:t>
            </w: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520" w:type="dxa"/>
            <w:vAlign w:val="bottom"/>
            <w:gridSpan w:val="6"/>
          </w:tcPr>
          <w:p>
            <w:pPr>
              <w:spacing w:after="0" w:line="131" w:lineRule="exact"/>
              <w:rPr>
                <w:sz w:val="20"/>
                <w:szCs w:val="20"/>
                <w:color w:val="auto"/>
              </w:rPr>
            </w:pPr>
            <w:r>
              <w:rPr>
                <w:rFonts w:ascii="Arial" w:cs="Arial" w:eastAsia="Arial" w:hAnsi="Arial"/>
                <w:sz w:val="14"/>
                <w:szCs w:val="14"/>
                <w:color w:val="auto"/>
              </w:rPr>
              <w:t>Assembly Square</w:t>
            </w:r>
          </w:p>
        </w:tc>
        <w:tc>
          <w:tcPr>
            <w:tcW w:w="340" w:type="dxa"/>
            <w:vAlign w:val="bottom"/>
          </w:tcPr>
          <w:p>
            <w:pPr>
              <w:spacing w:after="0"/>
              <w:rPr>
                <w:sz w:val="11"/>
                <w:szCs w:val="11"/>
                <w:color w:val="auto"/>
              </w:rPr>
            </w:pPr>
          </w:p>
        </w:tc>
        <w:tc>
          <w:tcPr>
            <w:tcW w:w="196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2005-2010</w:t>
            </w:r>
          </w:p>
        </w:tc>
        <w:tc>
          <w:tcPr>
            <w:tcW w:w="8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198,596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332,000</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line="131" w:lineRule="exact"/>
              <w:rPr>
                <w:sz w:val="20"/>
                <w:szCs w:val="20"/>
                <w:color w:val="auto"/>
              </w:rPr>
            </w:pPr>
            <w:r>
              <w:rPr>
                <w:rFonts w:ascii="Arial" w:cs="Arial" w:eastAsia="Arial" w:hAnsi="Arial"/>
                <w:sz w:val="14"/>
                <w:szCs w:val="14"/>
                <w:color w:val="auto"/>
              </w:rPr>
              <w:t>AC Moore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5"/>
          </w:tcPr>
          <w:p>
            <w:pPr>
              <w:spacing w:after="0" w:line="149" w:lineRule="exact"/>
              <w:rPr>
                <w:sz w:val="20"/>
                <w:szCs w:val="20"/>
                <w:color w:val="auto"/>
              </w:rPr>
            </w:pPr>
            <w:r>
              <w:rPr>
                <w:rFonts w:ascii="Arial" w:cs="Arial" w:eastAsia="Arial" w:hAnsi="Arial"/>
                <w:sz w:val="14"/>
                <w:szCs w:val="14"/>
                <w:color w:val="auto"/>
                <w:w w:val="92"/>
              </w:rPr>
              <w:t>Marketplace/Assembly</w:t>
            </w:r>
          </w:p>
        </w:tc>
        <w:tc>
          <w:tcPr>
            <w:tcW w:w="340" w:type="dxa"/>
            <w:vAlign w:val="bottom"/>
          </w:tcPr>
          <w:p>
            <w:pPr>
              <w:spacing w:after="0"/>
              <w:rPr>
                <w:sz w:val="12"/>
                <w:szCs w:val="12"/>
                <w:color w:val="auto"/>
              </w:rPr>
            </w:pPr>
          </w:p>
        </w:tc>
        <w:tc>
          <w:tcPr>
            <w:tcW w:w="1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w w:val="86"/>
              </w:rPr>
              <w:t>Beyond / Christmas Tree Shops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5"/>
          </w:tcPr>
          <w:p>
            <w:pPr>
              <w:spacing w:after="0" w:line="149" w:lineRule="exact"/>
              <w:rPr>
                <w:sz w:val="20"/>
                <w:szCs w:val="20"/>
                <w:color w:val="auto"/>
              </w:rPr>
            </w:pPr>
            <w:r>
              <w:rPr>
                <w:rFonts w:ascii="Arial" w:cs="Arial" w:eastAsia="Arial" w:hAnsi="Arial"/>
                <w:sz w:val="14"/>
                <w:szCs w:val="14"/>
                <w:color w:val="auto"/>
              </w:rPr>
              <w:t>Row</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 Kmart / Staples / Sports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2006-2008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30,271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7,753</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222,000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Sav-A-Lot</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Home Depot / Planet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tcPr>
          <w:p>
            <w:pPr>
              <w:spacing w:after="0" w:line="138" w:lineRule="exact"/>
              <w:rPr>
                <w:sz w:val="20"/>
                <w:szCs w:val="20"/>
                <w:color w:val="auto"/>
              </w:rPr>
            </w:pPr>
            <w:r>
              <w:rPr>
                <w:rFonts w:ascii="Arial" w:cs="Arial" w:eastAsia="Arial" w:hAnsi="Arial"/>
                <w:sz w:val="14"/>
                <w:szCs w:val="14"/>
                <w:color w:val="auto"/>
              </w:rPr>
              <w:t>Dedham Plaza</w:t>
            </w:r>
          </w:p>
        </w:tc>
        <w:tc>
          <w:tcPr>
            <w:tcW w:w="340" w:type="dxa"/>
            <w:vAlign w:val="bottom"/>
          </w:tcPr>
          <w:p>
            <w:pPr>
              <w:spacing w:after="0"/>
              <w:rPr>
                <w:sz w:val="11"/>
                <w:szCs w:val="11"/>
                <w:color w:val="auto"/>
              </w:rPr>
            </w:pPr>
          </w:p>
        </w:tc>
        <w:tc>
          <w:tcPr>
            <w:tcW w:w="196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1993</w:t>
            </w:r>
          </w:p>
        </w:tc>
        <w:tc>
          <w:tcPr>
            <w:tcW w:w="9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33,115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243,000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93%</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80,000</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Star Market</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145,353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218,000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Roche Brothers</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Supermarkets</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tcPr>
          <w:p>
            <w:pPr>
              <w:spacing w:after="0" w:line="138" w:lineRule="exact"/>
              <w:rPr>
                <w:sz w:val="20"/>
                <w:szCs w:val="20"/>
                <w:color w:val="auto"/>
              </w:rPr>
            </w:pPr>
            <w:r>
              <w:rPr>
                <w:rFonts w:ascii="Arial" w:cs="Arial" w:eastAsia="Arial" w:hAnsi="Arial"/>
                <w:sz w:val="14"/>
                <w:szCs w:val="14"/>
                <w:color w:val="auto"/>
              </w:rPr>
              <w:t>Newbury Street</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(9)</w:t>
            </w:r>
          </w:p>
        </w:tc>
        <w:tc>
          <w:tcPr>
            <w:tcW w:w="196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17,241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32,000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54%</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95"/>
              </w:rPr>
              <w:t>Pierre Deux / Jonathan Adler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North Dartmouth</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9,368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48,000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Stop &amp; Shop</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tcPr>
          <w:p>
            <w:pPr>
              <w:spacing w:after="0" w:line="138" w:lineRule="exact"/>
              <w:rPr>
                <w:sz w:val="20"/>
                <w:szCs w:val="20"/>
                <w:color w:val="auto"/>
              </w:rPr>
            </w:pPr>
            <w:r>
              <w:rPr>
                <w:rFonts w:ascii="Arial" w:cs="Arial" w:eastAsia="Arial" w:hAnsi="Arial"/>
                <w:sz w:val="14"/>
                <w:szCs w:val="14"/>
                <w:color w:val="auto"/>
              </w:rPr>
              <w:t>Queen Anne Plaza</w:t>
            </w:r>
          </w:p>
        </w:tc>
        <w:tc>
          <w:tcPr>
            <w:tcW w:w="340" w:type="dxa"/>
            <w:vAlign w:val="bottom"/>
          </w:tcPr>
          <w:p>
            <w:pPr>
              <w:spacing w:after="0"/>
              <w:rPr>
                <w:sz w:val="11"/>
                <w:szCs w:val="11"/>
                <w:color w:val="auto"/>
              </w:rPr>
            </w:pPr>
          </w:p>
        </w:tc>
        <w:tc>
          <w:tcPr>
            <w:tcW w:w="196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15,686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149,000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50,000</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Hannaford</w:t>
            </w:r>
          </w:p>
        </w:tc>
        <w:tc>
          <w:tcPr>
            <w:tcW w:w="8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4"/>
              </w:rPr>
              <w:t>Boston-Cambridge-Quincy, MA-</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14,224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170,000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Super Stop &amp;</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Shop</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9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New England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446,613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1,382,000</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97%</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Baltimore</w:t>
            </w:r>
          </w:p>
        </w:tc>
        <w:tc>
          <w:tcPr>
            <w:tcW w:w="740" w:type="dxa"/>
            <w:vAlign w:val="bottom"/>
            <w:tcBorders>
              <w:bottom w:val="single" w:sz="8" w:color="CCEEFF"/>
            </w:tcBorders>
            <w:gridSpan w:val="2"/>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gridSpan w:val="6"/>
          </w:tcPr>
          <w:p>
            <w:pPr>
              <w:spacing w:after="0" w:line="131" w:lineRule="exact"/>
              <w:rPr>
                <w:sz w:val="20"/>
                <w:szCs w:val="20"/>
                <w:color w:val="auto"/>
              </w:rPr>
            </w:pPr>
            <w:r>
              <w:rPr>
                <w:rFonts w:ascii="Arial" w:cs="Arial" w:eastAsia="Arial" w:hAnsi="Arial"/>
                <w:sz w:val="14"/>
                <w:szCs w:val="14"/>
                <w:color w:val="auto"/>
              </w:rPr>
              <w:t>Governor Plaza</w:t>
            </w:r>
          </w:p>
        </w:tc>
        <w:tc>
          <w:tcPr>
            <w:tcW w:w="340" w:type="dxa"/>
            <w:vAlign w:val="bottom"/>
          </w:tcPr>
          <w:p>
            <w:pPr>
              <w:spacing w:after="0"/>
              <w:rPr>
                <w:sz w:val="11"/>
                <w:szCs w:val="11"/>
                <w:color w:val="auto"/>
              </w:rPr>
            </w:pPr>
          </w:p>
        </w:tc>
        <w:tc>
          <w:tcPr>
            <w:tcW w:w="1960" w:type="dxa"/>
            <w:vAlign w:val="bottom"/>
            <w:gridSpan w:val="2"/>
          </w:tcPr>
          <w:p>
            <w:pPr>
              <w:ind w:left="60"/>
              <w:spacing w:after="0" w:line="131" w:lineRule="exact"/>
              <w:rPr>
                <w:sz w:val="20"/>
                <w:szCs w:val="20"/>
                <w:color w:val="auto"/>
              </w:rPr>
            </w:pPr>
            <w:r>
              <w:rPr>
                <w:rFonts w:ascii="Arial" w:cs="Arial" w:eastAsia="Arial" w:hAnsi="Arial"/>
                <w:sz w:val="14"/>
                <w:szCs w:val="14"/>
                <w:color w:val="auto"/>
              </w:rPr>
              <w:t>Baltimore, MD</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25,844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268,000</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87%</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16,500</w:t>
            </w:r>
          </w:p>
        </w:tc>
        <w:tc>
          <w:tcPr>
            <w:tcW w:w="16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4"/>
                <w:szCs w:val="14"/>
                <w:color w:val="auto"/>
              </w:rPr>
              <w:t>Aldi</w:t>
            </w:r>
          </w:p>
        </w:tc>
        <w:tc>
          <w:tcPr>
            <w:tcW w:w="80" w:type="dxa"/>
            <w:vAlign w:val="bottom"/>
          </w:tcPr>
          <w:p>
            <w:pPr>
              <w:spacing w:after="0"/>
              <w:rPr>
                <w:sz w:val="11"/>
                <w:szCs w:val="11"/>
                <w:color w:val="auto"/>
              </w:rPr>
            </w:pPr>
          </w:p>
        </w:tc>
        <w:tc>
          <w:tcPr>
            <w:tcW w:w="1740" w:type="dxa"/>
            <w:vAlign w:val="bottom"/>
          </w:tcPr>
          <w:p>
            <w:pPr>
              <w:spacing w:after="0" w:line="131" w:lineRule="exact"/>
              <w:rPr>
                <w:sz w:val="20"/>
                <w:szCs w:val="20"/>
                <w:color w:val="auto"/>
              </w:rPr>
            </w:pPr>
            <w:r>
              <w:rPr>
                <w:rFonts w:ascii="Arial" w:cs="Arial" w:eastAsia="Arial" w:hAnsi="Arial"/>
                <w:sz w:val="14"/>
                <w:szCs w:val="14"/>
                <w:color w:val="auto"/>
              </w:rPr>
              <w:t>Bally Total Fitness / Dick’s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Sporting Goods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Baltimore, MD</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27,301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401,000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58,000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Shoppers Food</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Home Depot / 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Warehouse</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tcPr>
          <w:p>
            <w:pPr>
              <w:spacing w:after="0" w:line="138" w:lineRule="exact"/>
              <w:rPr>
                <w:sz w:val="20"/>
                <w:szCs w:val="20"/>
                <w:color w:val="auto"/>
              </w:rPr>
            </w:pPr>
            <w:r>
              <w:rPr>
                <w:rFonts w:ascii="Arial" w:cs="Arial" w:eastAsia="Arial" w:hAnsi="Arial"/>
                <w:sz w:val="14"/>
                <w:szCs w:val="14"/>
                <w:color w:val="auto"/>
              </w:rPr>
              <w:t>THE AVENUE at White</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(11)</w:t>
            </w:r>
          </w:p>
        </w:tc>
        <w:tc>
          <w:tcPr>
            <w:tcW w:w="1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Baltimore, MD</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95,765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57,509</w:t>
            </w: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298,000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rPr>
              <w:t>AMC Loews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5"/>
          </w:tcPr>
          <w:p>
            <w:pPr>
              <w:spacing w:after="0" w:line="159" w:lineRule="exact"/>
              <w:rPr>
                <w:sz w:val="20"/>
                <w:szCs w:val="20"/>
                <w:color w:val="auto"/>
              </w:rPr>
            </w:pPr>
            <w:r>
              <w:rPr>
                <w:rFonts w:ascii="Arial" w:cs="Arial" w:eastAsia="Arial" w:hAnsi="Arial"/>
                <w:sz w:val="14"/>
                <w:szCs w:val="14"/>
                <w:color w:val="auto"/>
              </w:rPr>
              <w:t>Marsh</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w w:val="99"/>
              </w:rPr>
              <w:t>Barnes &amp; Noble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The Shoppes at</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Baltimore, MD</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27,573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52,000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Nottingham Square</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Arial" w:cs="Arial" w:eastAsia="Arial" w:hAnsi="Arial"/>
                <w:sz w:val="14"/>
                <w:szCs w:val="14"/>
                <w:color w:val="auto"/>
              </w:rPr>
              <w:t>White Marsh Plaza</w:t>
            </w:r>
          </w:p>
        </w:tc>
        <w:tc>
          <w:tcPr>
            <w:tcW w:w="340" w:type="dxa"/>
            <w:vAlign w:val="bottom"/>
          </w:tcPr>
          <w:p>
            <w:pPr>
              <w:spacing w:after="0"/>
              <w:rPr>
                <w:sz w:val="12"/>
                <w:szCs w:val="12"/>
                <w:color w:val="auto"/>
              </w:rPr>
            </w:pPr>
          </w:p>
        </w:tc>
        <w:tc>
          <w:tcPr>
            <w:tcW w:w="1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Baltimore, MD</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9,508</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3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Baltimore, MD</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Baltimore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230,389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1,148,000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96%</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3"/>
              </w:rPr>
              <w:t>Chicago</w:t>
            </w:r>
          </w:p>
        </w:tc>
        <w:tc>
          <w:tcPr>
            <w:tcW w:w="840" w:type="dxa"/>
            <w:vAlign w:val="bottom"/>
            <w:tcBorders>
              <w:bottom w:val="single" w:sz="8" w:color="CCEEFF"/>
            </w:tcBorders>
            <w:gridSpan w:val="3"/>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gridSpan w:val="6"/>
          </w:tcPr>
          <w:p>
            <w:pPr>
              <w:spacing w:after="0" w:line="131" w:lineRule="exact"/>
              <w:rPr>
                <w:sz w:val="20"/>
                <w:szCs w:val="20"/>
                <w:color w:val="auto"/>
              </w:rPr>
            </w:pPr>
            <w:r>
              <w:rPr>
                <w:rFonts w:ascii="Arial" w:cs="Arial" w:eastAsia="Arial" w:hAnsi="Arial"/>
                <w:sz w:val="14"/>
                <w:szCs w:val="14"/>
                <w:color w:val="auto"/>
              </w:rPr>
              <w:t>Crossroads</w:t>
            </w:r>
          </w:p>
        </w:tc>
        <w:tc>
          <w:tcPr>
            <w:tcW w:w="340" w:type="dxa"/>
            <w:vAlign w:val="bottom"/>
          </w:tcPr>
          <w:p>
            <w:pPr>
              <w:spacing w:after="0"/>
              <w:rPr>
                <w:sz w:val="11"/>
                <w:szCs w:val="11"/>
                <w:color w:val="auto"/>
              </w:rPr>
            </w:pPr>
          </w:p>
        </w:tc>
        <w:tc>
          <w:tcPr>
            <w:tcW w:w="1960" w:type="dxa"/>
            <w:vAlign w:val="bottom"/>
            <w:gridSpan w:val="2"/>
          </w:tcPr>
          <w:p>
            <w:pPr>
              <w:ind w:left="60"/>
              <w:spacing w:after="0" w:line="131" w:lineRule="exact"/>
              <w:rPr>
                <w:sz w:val="20"/>
                <w:szCs w:val="20"/>
                <w:color w:val="auto"/>
              </w:rPr>
            </w:pPr>
            <w:r>
              <w:rPr>
                <w:rFonts w:ascii="Arial" w:cs="Arial" w:eastAsia="Arial" w:hAnsi="Arial"/>
                <w:sz w:val="14"/>
                <w:szCs w:val="14"/>
                <w:color w:val="auto"/>
              </w:rPr>
              <w:t>Chicago, IL</w:t>
            </w:r>
          </w:p>
        </w:tc>
        <w:tc>
          <w:tcPr>
            <w:tcW w:w="80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30,336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168,000</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line="131" w:lineRule="exact"/>
              <w:rPr>
                <w:sz w:val="20"/>
                <w:szCs w:val="20"/>
                <w:color w:val="auto"/>
              </w:rPr>
            </w:pPr>
            <w:r>
              <w:rPr>
                <w:rFonts w:ascii="Arial" w:cs="Arial" w:eastAsia="Arial" w:hAnsi="Arial"/>
                <w:sz w:val="14"/>
                <w:szCs w:val="14"/>
                <w:color w:val="auto"/>
              </w:rPr>
              <w:t>Golfsmith / Guitar Center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Chicago, IL</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32,475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315,000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Bed, Bath &amp; Beyond / Buy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Baby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Arial" w:cs="Arial" w:eastAsia="Arial" w:hAnsi="Arial"/>
                <w:sz w:val="14"/>
                <w:szCs w:val="14"/>
                <w:color w:val="auto"/>
              </w:rPr>
              <w:t>Garden Market</w:t>
            </w:r>
          </w:p>
        </w:tc>
        <w:tc>
          <w:tcPr>
            <w:tcW w:w="340" w:type="dxa"/>
            <w:vAlign w:val="bottom"/>
          </w:tcPr>
          <w:p>
            <w:pPr>
              <w:spacing w:after="0"/>
              <w:rPr>
                <w:sz w:val="12"/>
                <w:szCs w:val="12"/>
                <w:color w:val="auto"/>
              </w:rPr>
            </w:pPr>
          </w:p>
        </w:tc>
        <w:tc>
          <w:tcPr>
            <w:tcW w:w="1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Chicago, IL</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12,372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63,000</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North Lake Commons</w:t>
            </w:r>
          </w:p>
        </w:tc>
        <w:tc>
          <w:tcPr>
            <w:tcW w:w="3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Chicago, IL</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Chicago</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89,318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752,000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96%</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20" w:type="dxa"/>
            <w:vAlign w:val="bottom"/>
            <w:gridSpan w:val="6"/>
          </w:tcPr>
          <w:p>
            <w:pPr>
              <w:spacing w:after="0" w:line="142" w:lineRule="exact"/>
              <w:rPr>
                <w:sz w:val="20"/>
                <w:szCs w:val="20"/>
                <w:color w:val="auto"/>
              </w:rPr>
            </w:pPr>
            <w:r>
              <w:rPr>
                <w:rFonts w:ascii="Arial" w:cs="Arial" w:eastAsia="Arial" w:hAnsi="Arial"/>
                <w:sz w:val="14"/>
                <w:szCs w:val="14"/>
                <w:color w:val="auto"/>
              </w:rPr>
              <w:t>Courtyard Shops</w:t>
            </w:r>
          </w:p>
        </w:tc>
        <w:tc>
          <w:tcPr>
            <w:tcW w:w="340" w:type="dxa"/>
            <w:vAlign w:val="bottom"/>
          </w:tcPr>
          <w:p>
            <w:pPr>
              <w:spacing w:after="0"/>
              <w:rPr>
                <w:sz w:val="12"/>
                <w:szCs w:val="12"/>
                <w:color w:val="auto"/>
              </w:rPr>
            </w:pPr>
          </w:p>
        </w:tc>
        <w:tc>
          <w:tcPr>
            <w:tcW w:w="196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Miami-Ft Lauderdale</w:t>
            </w:r>
          </w:p>
        </w:tc>
        <w:tc>
          <w:tcPr>
            <w:tcW w:w="80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2008</w:t>
            </w:r>
          </w:p>
        </w:tc>
        <w:tc>
          <w:tcPr>
            <w:tcW w:w="9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40,011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7,230</w:t>
            </w: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130,000</w:t>
            </w:r>
          </w:p>
        </w:tc>
        <w:tc>
          <w:tcPr>
            <w:tcW w:w="74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87%</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49,000</w:t>
            </w:r>
          </w:p>
        </w:tc>
        <w:tc>
          <w:tcPr>
            <w:tcW w:w="160" w:type="dxa"/>
            <w:vAlign w:val="bottom"/>
          </w:tcPr>
          <w:p>
            <w:pPr>
              <w:spacing w:after="0"/>
              <w:rPr>
                <w:sz w:val="12"/>
                <w:szCs w:val="12"/>
                <w:color w:val="auto"/>
              </w:rPr>
            </w:pPr>
          </w:p>
        </w:tc>
        <w:tc>
          <w:tcPr>
            <w:tcW w:w="920" w:type="dxa"/>
            <w:vAlign w:val="bottom"/>
          </w:tcPr>
          <w:p>
            <w:pPr>
              <w:spacing w:after="0" w:line="142" w:lineRule="exact"/>
              <w:rPr>
                <w:sz w:val="20"/>
                <w:szCs w:val="20"/>
                <w:color w:val="auto"/>
              </w:rPr>
            </w:pPr>
            <w:r>
              <w:rPr>
                <w:rFonts w:ascii="Arial" w:cs="Arial" w:eastAsia="Arial" w:hAnsi="Arial"/>
                <w:sz w:val="14"/>
                <w:szCs w:val="14"/>
                <w:color w:val="auto"/>
              </w:rPr>
              <w:t>Publix</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Del Mar Village</w:t>
            </w:r>
          </w:p>
        </w:tc>
        <w:tc>
          <w:tcPr>
            <w:tcW w:w="3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Miami-Ft Lauderdale</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179,000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Winn Dixie</w:t>
            </w: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tcPr>
          <w:p>
            <w:pPr>
              <w:spacing w:after="0" w:line="138" w:lineRule="exact"/>
              <w:rPr>
                <w:sz w:val="20"/>
                <w:szCs w:val="20"/>
                <w:color w:val="auto"/>
              </w:rPr>
            </w:pPr>
            <w:r>
              <w:rPr>
                <w:rFonts w:ascii="Arial" w:cs="Arial" w:eastAsia="Arial" w:hAnsi="Arial"/>
                <w:sz w:val="14"/>
                <w:szCs w:val="14"/>
                <w:color w:val="auto"/>
              </w:rPr>
              <w:t>Tower Shops</w:t>
            </w:r>
          </w:p>
        </w:tc>
        <w:tc>
          <w:tcPr>
            <w:tcW w:w="340" w:type="dxa"/>
            <w:vAlign w:val="bottom"/>
          </w:tcPr>
          <w:p>
            <w:pPr>
              <w:spacing w:after="0"/>
              <w:rPr>
                <w:sz w:val="11"/>
                <w:szCs w:val="11"/>
                <w:color w:val="auto"/>
              </w:rPr>
            </w:pPr>
          </w:p>
        </w:tc>
        <w:tc>
          <w:tcPr>
            <w:tcW w:w="1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Miami-Ft Lauderdale</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2011</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70,365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372,000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90%</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96"/>
              </w:rPr>
              <w:t>Best Buy / DSW / Old Navy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w w:val="88"/>
              </w:rPr>
              <w:t>Ross Dress For Less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South Florida</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165,341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681,000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52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Barracks Road</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4"/>
                <w:szCs w:val="14"/>
                <w:color w:val="auto"/>
              </w:rPr>
              <w:t>Charlottesville, VA</w:t>
            </w:r>
          </w:p>
        </w:tc>
        <w:tc>
          <w:tcPr>
            <w:tcW w:w="80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51,234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39,642</w:t>
            </w:r>
          </w:p>
        </w:tc>
        <w:tc>
          <w:tcPr>
            <w:tcW w:w="72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487,000</w:t>
            </w:r>
          </w:p>
        </w:tc>
        <w:tc>
          <w:tcPr>
            <w:tcW w:w="74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99,000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Harris Teeter /</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9"/>
              </w:rPr>
              <w:t>Anthropologie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Kroger</w:t>
            </w: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Beyond / Barnes &amp; Noble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Navy / Michaels / Ulta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Arial" w:cs="Arial" w:eastAsia="Arial" w:hAnsi="Arial"/>
                <w:sz w:val="14"/>
                <w:szCs w:val="14"/>
                <w:color w:val="auto"/>
              </w:rPr>
              <w:t>Bristol Plaza</w:t>
            </w:r>
          </w:p>
        </w:tc>
        <w:tc>
          <w:tcPr>
            <w:tcW w:w="340" w:type="dxa"/>
            <w:vAlign w:val="bottom"/>
          </w:tcPr>
          <w:p>
            <w:pPr>
              <w:spacing w:after="0"/>
              <w:rPr>
                <w:sz w:val="12"/>
                <w:szCs w:val="12"/>
                <w:color w:val="auto"/>
              </w:rPr>
            </w:pPr>
          </w:p>
        </w:tc>
        <w:tc>
          <w:tcPr>
            <w:tcW w:w="1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Hartford, CT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74,000</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Stop &amp; Shop</w:t>
            </w:r>
          </w:p>
        </w:tc>
        <w:tc>
          <w:tcPr>
            <w:tcW w:w="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Eastgate</w:t>
            </w:r>
          </w:p>
        </w:tc>
        <w:tc>
          <w:tcPr>
            <w:tcW w:w="3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Raleigh-Durham-Chapel Hill, 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Trader Joe’s</w:t>
            </w: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tcPr>
          <w:p>
            <w:pPr>
              <w:spacing w:after="0" w:line="138" w:lineRule="exact"/>
              <w:rPr>
                <w:sz w:val="20"/>
                <w:szCs w:val="20"/>
                <w:color w:val="auto"/>
              </w:rPr>
            </w:pPr>
            <w:r>
              <w:rPr>
                <w:rFonts w:ascii="Arial" w:cs="Arial" w:eastAsia="Arial" w:hAnsi="Arial"/>
                <w:sz w:val="14"/>
                <w:szCs w:val="14"/>
                <w:color w:val="auto"/>
              </w:rPr>
              <w:t>Gratiot Plaza</w:t>
            </w:r>
          </w:p>
        </w:tc>
        <w:tc>
          <w:tcPr>
            <w:tcW w:w="340" w:type="dxa"/>
            <w:vAlign w:val="bottom"/>
          </w:tcPr>
          <w:p>
            <w:pPr>
              <w:spacing w:after="0"/>
              <w:rPr>
                <w:sz w:val="11"/>
                <w:szCs w:val="11"/>
                <w:color w:val="auto"/>
              </w:rPr>
            </w:pPr>
          </w:p>
        </w:tc>
        <w:tc>
          <w:tcPr>
            <w:tcW w:w="1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Detroit, MI</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1973</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18,887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217,000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69,000</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Kroger</w:t>
            </w:r>
          </w:p>
        </w:tc>
        <w:tc>
          <w:tcPr>
            <w:tcW w:w="8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88"/>
              </w:rPr>
              <w:t>Bed, Bath &amp; Beyond / Best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Greenwich Avenue</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0"/>
              </w:rPr>
              <w:t>New Haven-Bridgeport-Stamford-</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13,970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36,000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Waterbury</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Arial" w:cs="Arial" w:eastAsia="Arial" w:hAnsi="Arial"/>
                <w:sz w:val="14"/>
                <w:szCs w:val="14"/>
                <w:color w:val="auto"/>
              </w:rPr>
              <w:t>Houston St</w:t>
            </w:r>
          </w:p>
        </w:tc>
        <w:tc>
          <w:tcPr>
            <w:tcW w:w="340" w:type="dxa"/>
            <w:vAlign w:val="bottom"/>
          </w:tcPr>
          <w:p>
            <w:pPr>
              <w:spacing w:after="0"/>
              <w:rPr>
                <w:sz w:val="12"/>
                <w:szCs w:val="12"/>
                <w:color w:val="auto"/>
              </w:rPr>
            </w:pPr>
          </w:p>
        </w:tc>
        <w:tc>
          <w:tcPr>
            <w:tcW w:w="1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San Antonio, TX</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66,210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Hotel Valencia / 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Lancaster, PA</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4,907</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Arial" w:cs="Arial" w:eastAsia="Arial" w:hAnsi="Arial"/>
                <w:sz w:val="14"/>
                <w:szCs w:val="14"/>
                <w:color w:val="auto"/>
              </w:rPr>
              <w:t>Shoppers’ World</w:t>
            </w:r>
          </w:p>
        </w:tc>
        <w:tc>
          <w:tcPr>
            <w:tcW w:w="340" w:type="dxa"/>
            <w:vAlign w:val="bottom"/>
          </w:tcPr>
          <w:p>
            <w:pPr>
              <w:spacing w:after="0"/>
              <w:rPr>
                <w:sz w:val="12"/>
                <w:szCs w:val="12"/>
                <w:color w:val="auto"/>
              </w:rPr>
            </w:pPr>
          </w:p>
        </w:tc>
        <w:tc>
          <w:tcPr>
            <w:tcW w:w="1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Charlottesville, VA</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5,556</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28,000</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Whole Foods</w:t>
            </w:r>
          </w:p>
        </w:tc>
        <w:tc>
          <w:tcPr>
            <w:tcW w:w="8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Shops at Willow Lawn</w:t>
            </w:r>
          </w:p>
        </w:tc>
        <w:tc>
          <w:tcPr>
            <w:tcW w:w="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Richmond-Petersburg, VA</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1983</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76,871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437,000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Kroger</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Old Navy / Staples / Ross Dress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For Less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Total Other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325,017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2,092,000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94%</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Total</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  3,969,758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586,906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18,604,000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right="1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 On November 10, 2010, we acquired an adjacent site to this property which totaled approximately 75,000 square feet, and we are in the process of preparing the space for lease.</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 has an 85% ownership interest in the property which is accounted for on the equity method.</w:t>
      </w:r>
    </w:p>
    <w:p>
      <w:pPr>
        <w:spacing w:after="0" w:line="9"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information is calculated on a GLA weighted-average basis, excluding properties acquired through the Taurus Newbury Street JV II Limited Partnership.</w:t>
      </w:r>
    </w:p>
    <w:p>
      <w:pPr>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59" w:orient="portrait"/>
          <w:cols w:equalWidth="0" w:num="1">
            <w:col w:w="11420"/>
          </w:cols>
          <w:pgMar w:left="240" w:top="274"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428"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Straight-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Cash</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Basis %</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88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Increase</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7"/>
              </w:rPr>
              <w:t>Contractual</w:t>
            </w:r>
          </w:p>
        </w:tc>
        <w:tc>
          <w:tcPr>
            <w:tcW w:w="72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Annual</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Over</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Tenant</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Leases</w:t>
            </w:r>
          </w:p>
        </w:tc>
        <w:tc>
          <w:tcPr>
            <w:tcW w:w="10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GLA</w:t>
            </w:r>
          </w:p>
        </w:tc>
        <w:tc>
          <w:tcPr>
            <w:tcW w:w="200" w:type="dxa"/>
            <w:vAlign w:val="bottom"/>
          </w:tcPr>
          <w:p>
            <w:pPr>
              <w:spacing w:after="0"/>
              <w:rPr>
                <w:sz w:val="12"/>
                <w:szCs w:val="12"/>
                <w:color w:val="auto"/>
              </w:rPr>
            </w:pPr>
          </w:p>
        </w:tc>
        <w:tc>
          <w:tcPr>
            <w:tcW w:w="640" w:type="dxa"/>
            <w:vAlign w:val="bottom"/>
            <w:gridSpan w:val="2"/>
          </w:tcPr>
          <w:p>
            <w:pPr>
              <w:jc w:val="right"/>
              <w:ind w:right="35"/>
              <w:spacing w:after="0" w:line="149" w:lineRule="exact"/>
              <w:rPr>
                <w:sz w:val="20"/>
                <w:szCs w:val="20"/>
                <w:color w:val="auto"/>
              </w:rPr>
            </w:pPr>
            <w:r>
              <w:rPr>
                <w:rFonts w:ascii="Arial" w:cs="Arial" w:eastAsia="Arial" w:hAnsi="Arial"/>
                <w:sz w:val="14"/>
                <w:szCs w:val="14"/>
                <w:b w:val="1"/>
                <w:bCs w:val="1"/>
                <w:color w:val="auto"/>
                <w:w w:val="95"/>
              </w:rPr>
              <w:t>Rent (3)</w:t>
            </w:r>
          </w:p>
        </w:tc>
        <w:tc>
          <w:tcPr>
            <w:tcW w:w="26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 Sq.</w:t>
            </w:r>
          </w:p>
        </w:tc>
        <w:tc>
          <w:tcPr>
            <w:tcW w:w="14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Increase in</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Prior</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Signed</w:t>
            </w:r>
          </w:p>
        </w:tc>
        <w:tc>
          <w:tcPr>
            <w:tcW w:w="1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1"/>
              </w:rPr>
              <w:t>Signed</w:t>
            </w: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Signed</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Per Sq. Ft.</w:t>
            </w:r>
          </w:p>
        </w:tc>
        <w:tc>
          <w:tcPr>
            <w:tcW w:w="26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Rent</w:t>
            </w: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1900" w:type="dxa"/>
            <w:vAlign w:val="bottom"/>
            <w:gridSpan w:val="6"/>
          </w:tcPr>
          <w:p>
            <w:pPr>
              <w:spacing w:after="0"/>
              <w:rPr>
                <w:sz w:val="20"/>
                <w:szCs w:val="20"/>
                <w:color w:val="auto"/>
              </w:rPr>
            </w:pPr>
            <w:r>
              <w:rPr>
                <w:rFonts w:ascii="Arial" w:cs="Arial" w:eastAsia="Arial" w:hAnsi="Arial"/>
                <w:sz w:val="14"/>
                <w:szCs w:val="14"/>
                <w:b w:val="1"/>
                <w:bCs w:val="1"/>
                <w:color w:val="auto"/>
              </w:rPr>
              <w:t>Term (5)    &amp; Incentives (6)</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2011</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339,585</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720" w:type="dxa"/>
            <w:vAlign w:val="bottom"/>
            <w:tcBorders>
              <w:left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0"/>
              </w:rPr>
              <w:t>$27.55</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$1,009,729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5,637,159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4th Quarter 2010</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490,233</w:t>
            </w:r>
          </w:p>
        </w:tc>
        <w:tc>
          <w:tcPr>
            <w:tcW w:w="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23.68</w:t>
            </w:r>
          </w:p>
        </w:tc>
        <w:tc>
          <w:tcPr>
            <w:tcW w:w="720" w:type="dxa"/>
            <w:vAlign w:val="bottom"/>
            <w:gridSpan w:val="2"/>
          </w:tcPr>
          <w:p>
            <w:pPr>
              <w:jc w:val="center"/>
              <w:ind w:left="136"/>
              <w:spacing w:after="0"/>
              <w:rPr>
                <w:sz w:val="20"/>
                <w:szCs w:val="20"/>
                <w:color w:val="auto"/>
              </w:rPr>
            </w:pPr>
            <w:r>
              <w:rPr>
                <w:rFonts w:ascii="Arial" w:cs="Arial" w:eastAsia="Arial" w:hAnsi="Arial"/>
                <w:sz w:val="18"/>
                <w:szCs w:val="18"/>
                <w:color w:val="auto"/>
                <w:w w:val="83"/>
              </w:rPr>
              <w:t>$ 22.11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772,696</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5,696,969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349,489</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720" w:type="dxa"/>
            <w:vAlign w:val="bottom"/>
            <w:tcBorders>
              <w:left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0"/>
              </w:rPr>
              <w:t>$23.83</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467,613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6,199,555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307,567</w:t>
            </w:r>
          </w:p>
        </w:tc>
        <w:tc>
          <w:tcPr>
            <w:tcW w:w="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27.62</w:t>
            </w:r>
          </w:p>
        </w:tc>
        <w:tc>
          <w:tcPr>
            <w:tcW w:w="720" w:type="dxa"/>
            <w:vAlign w:val="bottom"/>
            <w:gridSpan w:val="2"/>
          </w:tcPr>
          <w:p>
            <w:pPr>
              <w:jc w:val="center"/>
              <w:ind w:left="13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301,098</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4,431,806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1,486,874</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720" w:type="dxa"/>
            <w:vAlign w:val="bottom"/>
            <w:tcBorders>
              <w:left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24.69</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2,551,136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$ 21,965,489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40" w:type="dxa"/>
            <w:vAlign w:val="bottom"/>
            <w:gridSpan w:val="12"/>
          </w:tcPr>
          <w:p>
            <w:pPr>
              <w:spacing w:after="0"/>
              <w:rPr>
                <w:sz w:val="20"/>
                <w:szCs w:val="20"/>
                <w:color w:val="auto"/>
              </w:rPr>
            </w:pPr>
            <w:r>
              <w:rPr>
                <w:rFonts w:ascii="Arial" w:cs="Arial" w:eastAsia="Arial" w:hAnsi="Arial"/>
                <w:sz w:val="18"/>
                <w:szCs w:val="18"/>
                <w:b w:val="1"/>
                <w:bCs w:val="1"/>
                <w:color w:val="auto"/>
              </w:rPr>
              <w:t>New Lease Summary - Comparable (2)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Cash</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Basis %</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w:t>
            </w:r>
          </w:p>
        </w:tc>
        <w:tc>
          <w:tcPr>
            <w:tcW w:w="200" w:type="dxa"/>
            <w:vAlign w:val="bottom"/>
          </w:tcPr>
          <w:p>
            <w:pPr>
              <w:spacing w:after="0"/>
              <w:rPr>
                <w:sz w:val="12"/>
                <w:szCs w:val="12"/>
                <w:color w:val="auto"/>
              </w:rPr>
            </w:pPr>
          </w:p>
        </w:tc>
        <w:tc>
          <w:tcPr>
            <w:tcW w:w="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7"/>
              </w:rPr>
              <w:t>Contractual</w:t>
            </w:r>
          </w:p>
        </w:tc>
        <w:tc>
          <w:tcPr>
            <w:tcW w:w="720" w:type="dxa"/>
            <w:vAlign w:val="bottom"/>
            <w:gridSpan w:val="2"/>
          </w:tcPr>
          <w:p>
            <w:pPr>
              <w:jc w:val="center"/>
              <w:ind w:left="196"/>
              <w:spacing w:after="0" w:line="149" w:lineRule="exact"/>
              <w:rPr>
                <w:sz w:val="20"/>
                <w:szCs w:val="20"/>
                <w:color w:val="auto"/>
              </w:rPr>
            </w:pPr>
            <w:r>
              <w:rPr>
                <w:rFonts w:ascii="Arial" w:cs="Arial" w:eastAsia="Arial" w:hAnsi="Arial"/>
                <w:sz w:val="14"/>
                <w:szCs w:val="14"/>
                <w:b w:val="1"/>
                <w:bCs w:val="1"/>
                <w:color w:val="auto"/>
                <w:w w:val="93"/>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Annual</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Over</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Over</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Tenant</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Leases</w:t>
            </w:r>
          </w:p>
        </w:tc>
        <w:tc>
          <w:tcPr>
            <w:tcW w:w="200" w:type="dxa"/>
            <w:vAlign w:val="bottom"/>
          </w:tcPr>
          <w:p>
            <w:pPr>
              <w:spacing w:after="0"/>
              <w:rPr>
                <w:sz w:val="12"/>
                <w:szCs w:val="12"/>
                <w:color w:val="auto"/>
              </w:rPr>
            </w:pPr>
          </w:p>
        </w:tc>
        <w:tc>
          <w:tcPr>
            <w:tcW w:w="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GLA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Rent (3)</w:t>
            </w:r>
          </w:p>
        </w:tc>
        <w:tc>
          <w:tcPr>
            <w:tcW w:w="26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Prior</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Prior</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Signed</w:t>
            </w:r>
          </w:p>
        </w:tc>
        <w:tc>
          <w:tcPr>
            <w:tcW w:w="200" w:type="dxa"/>
            <w:vAlign w:val="bottom"/>
          </w:tcPr>
          <w:p>
            <w:pPr>
              <w:spacing w:after="0"/>
              <w:rPr>
                <w:sz w:val="14"/>
                <w:szCs w:val="14"/>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Signed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Signed</w:t>
            </w:r>
          </w:p>
        </w:tc>
        <w:tc>
          <w:tcPr>
            <w:tcW w:w="2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2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Rent</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Rent</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Rent</w:t>
            </w:r>
          </w:p>
        </w:tc>
        <w:tc>
          <w:tcPr>
            <w:tcW w:w="1900" w:type="dxa"/>
            <w:vAlign w:val="bottom"/>
            <w:gridSpan w:val="6"/>
          </w:tcPr>
          <w:p>
            <w:pPr>
              <w:ind w:left="20"/>
              <w:spacing w:after="0"/>
              <w:rPr>
                <w:sz w:val="20"/>
                <w:szCs w:val="20"/>
                <w:color w:val="auto"/>
              </w:rPr>
            </w:pPr>
            <w:r>
              <w:rPr>
                <w:rFonts w:ascii="Arial" w:cs="Arial" w:eastAsia="Arial" w:hAnsi="Arial"/>
                <w:sz w:val="14"/>
                <w:szCs w:val="14"/>
                <w:b w:val="1"/>
                <w:bCs w:val="1"/>
                <w:color w:val="auto"/>
              </w:rPr>
              <w:t>Term (5)   &amp; Incentives (6)</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2011</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144,836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720" w:type="dxa"/>
            <w:vAlign w:val="bottom"/>
            <w:tcBorders>
              <w:left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0"/>
              </w:rPr>
              <w:t>$23.31</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653,430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5,561,459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4th Quarter 2010</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51%</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200,350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25.05</w:t>
            </w:r>
          </w:p>
        </w:tc>
        <w:tc>
          <w:tcPr>
            <w:tcW w:w="72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$24.07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195,237</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5,443,775</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132,033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720" w:type="dxa"/>
            <w:vAlign w:val="bottom"/>
            <w:tcBorders>
              <w:left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0"/>
              </w:rPr>
              <w:t>$25.79</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6,089,555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39%</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149,562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25.01</w:t>
            </w:r>
          </w:p>
        </w:tc>
        <w:tc>
          <w:tcPr>
            <w:tcW w:w="720" w:type="dxa"/>
            <w:vAlign w:val="bottom"/>
            <w:gridSpan w:val="2"/>
          </w:tcPr>
          <w:p>
            <w:pPr>
              <w:jc w:val="center"/>
              <w:ind w:left="13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23.20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270,375</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4,409,306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626,781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720" w:type="dxa"/>
            <w:vAlign w:val="bottom"/>
            <w:tcBorders>
              <w:left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24.05</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1,291,951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$ 21,504,095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140" w:type="dxa"/>
            <w:vAlign w:val="bottom"/>
            <w:gridSpan w:val="16"/>
          </w:tcPr>
          <w:p>
            <w:pPr>
              <w:spacing w:after="0"/>
              <w:rPr>
                <w:sz w:val="20"/>
                <w:szCs w:val="20"/>
                <w:color w:val="auto"/>
              </w:rPr>
            </w:pPr>
            <w:r>
              <w:rPr>
                <w:rFonts w:ascii="Arial" w:cs="Arial" w:eastAsia="Arial" w:hAnsi="Arial"/>
                <w:sz w:val="18"/>
                <w:szCs w:val="18"/>
                <w:b w:val="1"/>
                <w:bCs w:val="1"/>
                <w:color w:val="auto"/>
              </w:rPr>
              <w:t>Renewal Lease Summary - Comparable (2) (7)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Straight-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Cash</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lined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Basis %</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Basis %</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Increase</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Increase</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7"/>
              </w:rPr>
              <w:t>Contractual</w:t>
            </w:r>
          </w:p>
        </w:tc>
        <w:tc>
          <w:tcPr>
            <w:tcW w:w="72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w w:val="93"/>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Annual</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Over</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Over</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Tenant</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Leases</w:t>
            </w:r>
          </w:p>
        </w:tc>
        <w:tc>
          <w:tcPr>
            <w:tcW w:w="20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GLA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Rent (3)</w:t>
            </w:r>
          </w:p>
        </w:tc>
        <w:tc>
          <w:tcPr>
            <w:tcW w:w="26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4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Increase in</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Prior</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Prior</w:t>
            </w: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Signed</w:t>
            </w:r>
          </w:p>
        </w:tc>
        <w:tc>
          <w:tcPr>
            <w:tcW w:w="200" w:type="dxa"/>
            <w:vAlign w:val="bottom"/>
          </w:tcPr>
          <w:p>
            <w:pPr>
              <w:spacing w:after="0"/>
              <w:rPr>
                <w:sz w:val="14"/>
                <w:szCs w:val="1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1"/>
              </w:rPr>
              <w:t>Signed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Signed</w:t>
            </w:r>
          </w:p>
        </w:tc>
        <w:tc>
          <w:tcPr>
            <w:tcW w:w="2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26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Rent</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Rent</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Rent</w:t>
            </w:r>
          </w:p>
        </w:tc>
        <w:tc>
          <w:tcPr>
            <w:tcW w:w="1900" w:type="dxa"/>
            <w:vAlign w:val="bottom"/>
            <w:gridSpan w:val="6"/>
          </w:tcPr>
          <w:p>
            <w:pPr>
              <w:ind w:left="40"/>
              <w:spacing w:after="0"/>
              <w:rPr>
                <w:sz w:val="20"/>
                <w:szCs w:val="20"/>
                <w:color w:val="auto"/>
              </w:rPr>
            </w:pPr>
            <w:r>
              <w:rPr>
                <w:rFonts w:ascii="Arial" w:cs="Arial" w:eastAsia="Arial" w:hAnsi="Arial"/>
                <w:sz w:val="14"/>
                <w:szCs w:val="14"/>
                <w:b w:val="1"/>
                <w:bCs w:val="1"/>
                <w:color w:val="auto"/>
              </w:rPr>
              <w:t>Term (5)   &amp; Incentives (6)</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2011</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194,749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840" w:type="dxa"/>
            <w:vAlign w:val="bottom"/>
            <w:tcBorders>
              <w:left w:val="single" w:sz="8" w:color="CCEEFF"/>
            </w:tcBorders>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90"/>
              </w:rPr>
              <w:t>$30.70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356,299</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4th Quarter 2010</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43</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49%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289,883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22.74</w:t>
            </w:r>
          </w:p>
        </w:tc>
        <w:tc>
          <w:tcPr>
            <w:tcW w:w="840" w:type="dxa"/>
            <w:vAlign w:val="bottom"/>
            <w:gridSpan w:val="3"/>
          </w:tcPr>
          <w:p>
            <w:pPr>
              <w:jc w:val="center"/>
              <w:ind w:left="96"/>
              <w:spacing w:after="0"/>
              <w:rPr>
                <w:sz w:val="20"/>
                <w:szCs w:val="20"/>
                <w:color w:val="auto"/>
              </w:rPr>
            </w:pPr>
            <w:r>
              <w:rPr>
                <w:rFonts w:ascii="Arial" w:cs="Arial" w:eastAsia="Arial" w:hAnsi="Arial"/>
                <w:sz w:val="18"/>
                <w:szCs w:val="18"/>
                <w:color w:val="auto"/>
                <w:w w:val="90"/>
              </w:rPr>
              <w:t>$20.75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577,459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6.3</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253,194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217,456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40" w:type="dxa"/>
            <w:vAlign w:val="bottom"/>
            <w:tcBorders>
              <w:left w:val="single" w:sz="8" w:color="CCEEFF"/>
            </w:tcBorders>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90"/>
              </w:rPr>
              <w:t>$22.64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294,704</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61%</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158,005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30.09</w:t>
            </w:r>
          </w:p>
        </w:tc>
        <w:tc>
          <w:tcPr>
            <w:tcW w:w="840" w:type="dxa"/>
            <w:vAlign w:val="bottom"/>
            <w:gridSpan w:val="3"/>
          </w:tcPr>
          <w:p>
            <w:pPr>
              <w:jc w:val="center"/>
              <w:ind w:left="9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30,723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22,500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860,093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840" w:type="dxa"/>
            <w:vAlign w:val="bottom"/>
            <w:tcBorders>
              <w:left w:val="single" w:sz="8" w:color="CCEEFF"/>
            </w:tcBorders>
            <w:gridSpan w:val="3"/>
            <w:shd w:val="clear" w:color="auto" w:fill="CCEEFF"/>
          </w:tcPr>
          <w:p>
            <w:pPr>
              <w:jc w:val="center"/>
              <w:ind w:left="9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25.16</w:t>
            </w: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1,259,185</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461,394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Total Lease Summary - Comparable and Non-comparable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Tenant</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Leases</w:t>
            </w: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3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Lease</w:t>
            </w:r>
          </w:p>
        </w:tc>
        <w:tc>
          <w:tcPr>
            <w:tcW w:w="400" w:type="dxa"/>
            <w:vAlign w:val="bottom"/>
          </w:tcPr>
          <w:p>
            <w:pPr>
              <w:spacing w:after="0"/>
              <w:rPr>
                <w:sz w:val="12"/>
                <w:szCs w:val="12"/>
                <w:color w:val="auto"/>
              </w:rPr>
            </w:pP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Signed</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Signed</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Per Sq. Ft.</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Term (5)</w:t>
            </w:r>
          </w:p>
        </w:tc>
        <w:tc>
          <w:tcPr>
            <w:tcW w:w="4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&amp; Incentives (6)</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2011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381,594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6,439,592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4th Quarter 2010</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493,039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5,696,969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395,649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8,891,735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318,931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5,978,306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1,589,213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27,006,602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Anchor Tenants (1)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Small Shop Tenants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60"/>
              <w:spacing w:after="0" w:line="131" w:lineRule="exact"/>
              <w:rPr>
                <w:sz w:val="20"/>
                <w:szCs w:val="20"/>
                <w:color w:val="auto"/>
              </w:rPr>
            </w:pPr>
            <w:r>
              <w:rPr>
                <w:rFonts w:ascii="Arial" w:cs="Arial" w:eastAsia="Arial" w:hAnsi="Arial"/>
                <w:sz w:val="14"/>
                <w:szCs w:val="14"/>
                <w:color w:val="auto"/>
                <w:w w:val="92"/>
              </w:rPr>
              <w:t>% of</w:t>
            </w:r>
          </w:p>
        </w:tc>
        <w:tc>
          <w:tcPr>
            <w:tcW w:w="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4"/>
                <w:szCs w:val="14"/>
                <w:color w:val="auto"/>
                <w:w w:val="90"/>
              </w:rPr>
              <w:t>Minimum Rent</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w w:val="89"/>
              </w:rPr>
              <w:t>% of Small</w:t>
            </w:r>
          </w:p>
        </w:tc>
        <w:tc>
          <w:tcPr>
            <w:tcW w:w="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4"/>
                <w:szCs w:val="14"/>
                <w:color w:val="auto"/>
                <w:w w:val="90"/>
              </w:rPr>
              <w:t>Minimum Rent</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right"/>
              <w:ind w:right="260"/>
              <w:spacing w:after="0" w:line="131" w:lineRule="exact"/>
              <w:rPr>
                <w:sz w:val="20"/>
                <w:szCs w:val="20"/>
                <w:color w:val="auto"/>
              </w:rPr>
            </w:pPr>
            <w:r>
              <w:rPr>
                <w:rFonts w:ascii="Arial" w:cs="Arial" w:eastAsia="Arial" w:hAnsi="Arial"/>
                <w:sz w:val="14"/>
                <w:szCs w:val="14"/>
                <w:color w:val="auto"/>
                <w:w w:val="88"/>
              </w:rPr>
              <w:t>% of Total</w:t>
            </w:r>
          </w:p>
        </w:tc>
        <w:tc>
          <w:tcPr>
            <w:tcW w:w="12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8"/>
              </w:rPr>
              <w:t>Minimum 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gridSpan w:val="3"/>
            <w:vMerge w:val="continue"/>
          </w:tcPr>
          <w:p>
            <w:pPr>
              <w:spacing w:after="0"/>
              <w:rPr>
                <w:sz w:val="13"/>
                <w:szCs w:val="13"/>
                <w:color w:val="auto"/>
              </w:rPr>
            </w:pPr>
          </w:p>
        </w:tc>
        <w:tc>
          <w:tcPr>
            <w:tcW w:w="86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Expiring SF</w:t>
            </w:r>
          </w:p>
        </w:tc>
        <w:tc>
          <w:tcPr>
            <w:tcW w:w="180" w:type="dxa"/>
            <w:vAlign w:val="bottom"/>
          </w:tcPr>
          <w:p>
            <w:pPr>
              <w:spacing w:after="0"/>
              <w:rPr>
                <w:sz w:val="13"/>
                <w:szCs w:val="13"/>
                <w:color w:val="auto"/>
              </w:rPr>
            </w:pPr>
          </w:p>
        </w:tc>
        <w:tc>
          <w:tcPr>
            <w:tcW w:w="98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7"/>
              </w:rPr>
              <w:t>Anchor SF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PSF (2)</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Expiring SF</w:t>
            </w:r>
          </w:p>
        </w:tc>
        <w:tc>
          <w:tcPr>
            <w:tcW w:w="280" w:type="dxa"/>
            <w:vAlign w:val="bottom"/>
          </w:tcPr>
          <w:p>
            <w:pPr>
              <w:spacing w:after="0"/>
              <w:rPr>
                <w:sz w:val="13"/>
                <w:szCs w:val="13"/>
                <w:color w:val="auto"/>
              </w:rPr>
            </w:pPr>
          </w:p>
        </w:tc>
        <w:tc>
          <w:tcPr>
            <w:tcW w:w="98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4"/>
              </w:rPr>
              <w:t>Shop SF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PSF (2)</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w w:val="87"/>
              </w:rPr>
              <w:t>Expiring SF (4)</w:t>
            </w:r>
          </w:p>
        </w:tc>
        <w:tc>
          <w:tcPr>
            <w:tcW w:w="280" w:type="dxa"/>
            <w:vAlign w:val="bottom"/>
          </w:tcPr>
          <w:p>
            <w:pPr>
              <w:spacing w:after="0"/>
              <w:rPr>
                <w:sz w:val="13"/>
                <w:szCs w:val="13"/>
                <w:color w:val="auto"/>
              </w:rPr>
            </w:pPr>
          </w:p>
        </w:tc>
        <w:tc>
          <w:tcPr>
            <w:tcW w:w="8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1,051,000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13.42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1,188,000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29.75</w:t>
            </w:r>
          </w:p>
        </w:tc>
        <w:tc>
          <w:tcPr>
            <w:tcW w:w="840" w:type="dxa"/>
            <w:vAlign w:val="bottom"/>
          </w:tcPr>
          <w:p>
            <w:pPr>
              <w:jc w:val="right"/>
              <w:spacing w:after="0"/>
              <w:rPr>
                <w:sz w:val="20"/>
                <w:szCs w:val="20"/>
                <w:color w:val="auto"/>
              </w:rPr>
            </w:pPr>
            <w:r>
              <w:rPr>
                <w:rFonts w:ascii="Arial" w:cs="Arial" w:eastAsia="Arial" w:hAnsi="Arial"/>
                <w:sz w:val="18"/>
                <w:szCs w:val="18"/>
                <w:color w:val="auto"/>
              </w:rPr>
              <w:t>2,239,000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1,004,000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1,396,000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15.88</w:t>
            </w:r>
          </w:p>
        </w:tc>
        <w:tc>
          <w:tcPr>
            <w:tcW w:w="760" w:type="dxa"/>
            <w:vAlign w:val="bottom"/>
          </w:tcPr>
          <w:p>
            <w:pPr>
              <w:jc w:val="right"/>
              <w:spacing w:after="0"/>
              <w:rPr>
                <w:sz w:val="20"/>
                <w:szCs w:val="20"/>
                <w:color w:val="auto"/>
              </w:rPr>
            </w:pPr>
            <w:r>
              <w:rPr>
                <w:rFonts w:ascii="Arial" w:cs="Arial" w:eastAsia="Arial" w:hAnsi="Arial"/>
                <w:sz w:val="18"/>
                <w:szCs w:val="18"/>
                <w:color w:val="auto"/>
              </w:rPr>
              <w:t>917,000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32.56</w:t>
            </w:r>
          </w:p>
        </w:tc>
        <w:tc>
          <w:tcPr>
            <w:tcW w:w="840" w:type="dxa"/>
            <w:vAlign w:val="bottom"/>
          </w:tcPr>
          <w:p>
            <w:pPr>
              <w:jc w:val="right"/>
              <w:spacing w:after="0"/>
              <w:rPr>
                <w:sz w:val="20"/>
                <w:szCs w:val="20"/>
                <w:color w:val="auto"/>
              </w:rPr>
            </w:pPr>
            <w:r>
              <w:rPr>
                <w:rFonts w:ascii="Arial" w:cs="Arial" w:eastAsia="Arial" w:hAnsi="Arial"/>
                <w:sz w:val="18"/>
                <w:szCs w:val="18"/>
                <w:color w:val="auto"/>
              </w:rPr>
              <w:t>2,313,000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1,010,000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17.59</w:t>
            </w:r>
          </w:p>
        </w:tc>
        <w:tc>
          <w:tcPr>
            <w:tcW w:w="760" w:type="dxa"/>
            <w:vAlign w:val="bottom"/>
          </w:tcPr>
          <w:p>
            <w:pPr>
              <w:jc w:val="right"/>
              <w:spacing w:after="0"/>
              <w:rPr>
                <w:sz w:val="20"/>
                <w:szCs w:val="20"/>
                <w:color w:val="auto"/>
              </w:rPr>
            </w:pPr>
            <w:r>
              <w:rPr>
                <w:rFonts w:ascii="Arial" w:cs="Arial" w:eastAsia="Arial" w:hAnsi="Arial"/>
                <w:sz w:val="18"/>
                <w:szCs w:val="18"/>
                <w:color w:val="auto"/>
              </w:rPr>
              <w:t>931,000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29.67</w:t>
            </w:r>
          </w:p>
        </w:tc>
        <w:tc>
          <w:tcPr>
            <w:tcW w:w="840" w:type="dxa"/>
            <w:vAlign w:val="bottom"/>
          </w:tcPr>
          <w:p>
            <w:pPr>
              <w:jc w:val="right"/>
              <w:spacing w:after="0"/>
              <w:rPr>
                <w:sz w:val="20"/>
                <w:szCs w:val="20"/>
                <w:color w:val="auto"/>
              </w:rPr>
            </w:pPr>
            <w:r>
              <w:rPr>
                <w:rFonts w:ascii="Arial" w:cs="Arial" w:eastAsia="Arial" w:hAnsi="Arial"/>
                <w:sz w:val="18"/>
                <w:szCs w:val="18"/>
                <w:color w:val="auto"/>
              </w:rPr>
              <w:t>1,681,000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657,000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11.68</w:t>
            </w:r>
          </w:p>
        </w:tc>
        <w:tc>
          <w:tcPr>
            <w:tcW w:w="760" w:type="dxa"/>
            <w:vAlign w:val="bottom"/>
          </w:tcPr>
          <w:p>
            <w:pPr>
              <w:jc w:val="right"/>
              <w:spacing w:after="0"/>
              <w:rPr>
                <w:sz w:val="20"/>
                <w:szCs w:val="20"/>
                <w:color w:val="auto"/>
              </w:rPr>
            </w:pPr>
            <w:r>
              <w:rPr>
                <w:rFonts w:ascii="Arial" w:cs="Arial" w:eastAsia="Arial" w:hAnsi="Arial"/>
                <w:sz w:val="18"/>
                <w:szCs w:val="18"/>
                <w:color w:val="auto"/>
              </w:rPr>
              <w:t>316,000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37.72</w:t>
            </w:r>
          </w:p>
        </w:tc>
        <w:tc>
          <w:tcPr>
            <w:tcW w:w="840" w:type="dxa"/>
            <w:vAlign w:val="bottom"/>
          </w:tcPr>
          <w:p>
            <w:pPr>
              <w:jc w:val="right"/>
              <w:spacing w:after="0"/>
              <w:rPr>
                <w:sz w:val="20"/>
                <w:szCs w:val="20"/>
                <w:color w:val="auto"/>
              </w:rPr>
            </w:pPr>
            <w:r>
              <w:rPr>
                <w:rFonts w:ascii="Arial" w:cs="Arial" w:eastAsia="Arial" w:hAnsi="Arial"/>
                <w:sz w:val="18"/>
                <w:szCs w:val="18"/>
                <w:color w:val="auto"/>
              </w:rPr>
              <w:t>973,000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2020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384,000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21.05</w:t>
            </w:r>
          </w:p>
        </w:tc>
        <w:tc>
          <w:tcPr>
            <w:tcW w:w="760" w:type="dxa"/>
            <w:vAlign w:val="bottom"/>
          </w:tcPr>
          <w:p>
            <w:pPr>
              <w:jc w:val="right"/>
              <w:spacing w:after="0"/>
              <w:rPr>
                <w:sz w:val="20"/>
                <w:szCs w:val="20"/>
                <w:color w:val="auto"/>
              </w:rPr>
            </w:pPr>
            <w:r>
              <w:rPr>
                <w:rFonts w:ascii="Arial" w:cs="Arial" w:eastAsia="Arial" w:hAnsi="Arial"/>
                <w:sz w:val="18"/>
                <w:szCs w:val="18"/>
                <w:color w:val="auto"/>
              </w:rPr>
              <w:t>362,000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32.78</w:t>
            </w:r>
          </w:p>
        </w:tc>
        <w:tc>
          <w:tcPr>
            <w:tcW w:w="840" w:type="dxa"/>
            <w:vAlign w:val="bottom"/>
          </w:tcPr>
          <w:p>
            <w:pPr>
              <w:jc w:val="right"/>
              <w:spacing w:after="0"/>
              <w:rPr>
                <w:sz w:val="20"/>
                <w:szCs w:val="20"/>
                <w:color w:val="auto"/>
              </w:rPr>
            </w:pPr>
            <w:r>
              <w:rPr>
                <w:rFonts w:ascii="Arial" w:cs="Arial" w:eastAsia="Arial" w:hAnsi="Arial"/>
                <w:sz w:val="18"/>
                <w:szCs w:val="18"/>
                <w:color w:val="auto"/>
              </w:rPr>
              <w:t>746,000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gridSpan w:val="3"/>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9,718,000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15.68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7,627,000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31.71</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17,345,000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84"/>
              </w:rPr>
              <w:t>Assumes all lease options are exercised</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Anchor Tenants (1)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Small Shop Tenants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60"/>
              <w:spacing w:after="0" w:line="131" w:lineRule="exact"/>
              <w:rPr>
                <w:sz w:val="20"/>
                <w:szCs w:val="20"/>
                <w:color w:val="auto"/>
              </w:rPr>
            </w:pPr>
            <w:r>
              <w:rPr>
                <w:rFonts w:ascii="Arial" w:cs="Arial" w:eastAsia="Arial" w:hAnsi="Arial"/>
                <w:sz w:val="14"/>
                <w:szCs w:val="14"/>
                <w:color w:val="auto"/>
                <w:w w:val="92"/>
              </w:rPr>
              <w:t>% of</w:t>
            </w:r>
          </w:p>
        </w:tc>
        <w:tc>
          <w:tcPr>
            <w:tcW w:w="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4"/>
                <w:szCs w:val="14"/>
                <w:color w:val="auto"/>
                <w:w w:val="90"/>
              </w:rPr>
              <w:t>Minimum Rent</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w w:val="89"/>
              </w:rPr>
              <w:t>% of Small</w:t>
            </w:r>
          </w:p>
        </w:tc>
        <w:tc>
          <w:tcPr>
            <w:tcW w:w="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4"/>
                <w:szCs w:val="14"/>
                <w:color w:val="auto"/>
                <w:w w:val="90"/>
              </w:rPr>
              <w:t>Minimum Rent</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right"/>
              <w:ind w:right="260"/>
              <w:spacing w:after="0" w:line="131" w:lineRule="exact"/>
              <w:rPr>
                <w:sz w:val="20"/>
                <w:szCs w:val="20"/>
                <w:color w:val="auto"/>
              </w:rPr>
            </w:pPr>
            <w:r>
              <w:rPr>
                <w:rFonts w:ascii="Arial" w:cs="Arial" w:eastAsia="Arial" w:hAnsi="Arial"/>
                <w:sz w:val="14"/>
                <w:szCs w:val="14"/>
                <w:color w:val="auto"/>
                <w:w w:val="88"/>
              </w:rPr>
              <w:t>% of Total</w:t>
            </w:r>
          </w:p>
        </w:tc>
        <w:tc>
          <w:tcPr>
            <w:tcW w:w="12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8"/>
              </w:rPr>
              <w:t>Minimum 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gridSpan w:val="3"/>
            <w:vMerge w:val="continue"/>
          </w:tcPr>
          <w:p>
            <w:pPr>
              <w:spacing w:after="0"/>
              <w:rPr>
                <w:sz w:val="13"/>
                <w:szCs w:val="13"/>
                <w:color w:val="auto"/>
              </w:rPr>
            </w:pPr>
          </w:p>
        </w:tc>
        <w:tc>
          <w:tcPr>
            <w:tcW w:w="86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Expiring SF</w:t>
            </w:r>
          </w:p>
        </w:tc>
        <w:tc>
          <w:tcPr>
            <w:tcW w:w="180" w:type="dxa"/>
            <w:vAlign w:val="bottom"/>
          </w:tcPr>
          <w:p>
            <w:pPr>
              <w:spacing w:after="0"/>
              <w:rPr>
                <w:sz w:val="13"/>
                <w:szCs w:val="13"/>
                <w:color w:val="auto"/>
              </w:rPr>
            </w:pPr>
          </w:p>
        </w:tc>
        <w:tc>
          <w:tcPr>
            <w:tcW w:w="98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7"/>
              </w:rPr>
              <w:t>Anchor SF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PSF (2)</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Expiring SF</w:t>
            </w:r>
          </w:p>
        </w:tc>
        <w:tc>
          <w:tcPr>
            <w:tcW w:w="280" w:type="dxa"/>
            <w:vAlign w:val="bottom"/>
          </w:tcPr>
          <w:p>
            <w:pPr>
              <w:spacing w:after="0"/>
              <w:rPr>
                <w:sz w:val="13"/>
                <w:szCs w:val="13"/>
                <w:color w:val="auto"/>
              </w:rPr>
            </w:pPr>
          </w:p>
        </w:tc>
        <w:tc>
          <w:tcPr>
            <w:tcW w:w="98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4"/>
              </w:rPr>
              <w:t>Shop SF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PSF (2)</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w w:val="87"/>
              </w:rPr>
              <w:t>Expiring SF (4)</w:t>
            </w:r>
          </w:p>
        </w:tc>
        <w:tc>
          <w:tcPr>
            <w:tcW w:w="280" w:type="dxa"/>
            <w:vAlign w:val="bottom"/>
          </w:tcPr>
          <w:p>
            <w:pPr>
              <w:spacing w:after="0"/>
              <w:rPr>
                <w:sz w:val="13"/>
                <w:szCs w:val="13"/>
                <w:color w:val="auto"/>
              </w:rPr>
            </w:pPr>
          </w:p>
        </w:tc>
        <w:tc>
          <w:tcPr>
            <w:tcW w:w="8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202,000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17.22</w:t>
            </w:r>
          </w:p>
        </w:tc>
        <w:tc>
          <w:tcPr>
            <w:tcW w:w="760" w:type="dxa"/>
            <w:vAlign w:val="bottom"/>
          </w:tcPr>
          <w:p>
            <w:pPr>
              <w:jc w:val="right"/>
              <w:spacing w:after="0"/>
              <w:rPr>
                <w:sz w:val="20"/>
                <w:szCs w:val="20"/>
                <w:color w:val="auto"/>
              </w:rPr>
            </w:pPr>
            <w:r>
              <w:rPr>
                <w:rFonts w:ascii="Arial" w:cs="Arial" w:eastAsia="Arial" w:hAnsi="Arial"/>
                <w:sz w:val="18"/>
                <w:szCs w:val="18"/>
                <w:color w:val="auto"/>
              </w:rPr>
              <w:t>687,000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29.46</w:t>
            </w:r>
          </w:p>
        </w:tc>
        <w:tc>
          <w:tcPr>
            <w:tcW w:w="840" w:type="dxa"/>
            <w:vAlign w:val="bottom"/>
          </w:tcPr>
          <w:p>
            <w:pPr>
              <w:jc w:val="right"/>
              <w:spacing w:after="0"/>
              <w:rPr>
                <w:sz w:val="20"/>
                <w:szCs w:val="20"/>
                <w:color w:val="auto"/>
              </w:rPr>
            </w:pPr>
            <w:r>
              <w:rPr>
                <w:rFonts w:ascii="Arial" w:cs="Arial" w:eastAsia="Arial" w:hAnsi="Arial"/>
                <w:sz w:val="18"/>
                <w:szCs w:val="18"/>
                <w:color w:val="auto"/>
              </w:rPr>
              <w:t>889,000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153,000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11.78</w:t>
            </w:r>
          </w:p>
        </w:tc>
        <w:tc>
          <w:tcPr>
            <w:tcW w:w="760" w:type="dxa"/>
            <w:vAlign w:val="bottom"/>
          </w:tcPr>
          <w:p>
            <w:pPr>
              <w:jc w:val="right"/>
              <w:spacing w:after="0"/>
              <w:rPr>
                <w:sz w:val="20"/>
                <w:szCs w:val="20"/>
                <w:color w:val="auto"/>
              </w:rPr>
            </w:pPr>
            <w:r>
              <w:rPr>
                <w:rFonts w:ascii="Arial" w:cs="Arial" w:eastAsia="Arial" w:hAnsi="Arial"/>
                <w:sz w:val="18"/>
                <w:szCs w:val="18"/>
                <w:color w:val="auto"/>
              </w:rPr>
              <w:t>530,000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35.97</w:t>
            </w:r>
          </w:p>
        </w:tc>
        <w:tc>
          <w:tcPr>
            <w:tcW w:w="840" w:type="dxa"/>
            <w:vAlign w:val="bottom"/>
          </w:tcPr>
          <w:p>
            <w:pPr>
              <w:jc w:val="right"/>
              <w:spacing w:after="0"/>
              <w:rPr>
                <w:sz w:val="20"/>
                <w:szCs w:val="20"/>
                <w:color w:val="auto"/>
              </w:rPr>
            </w:pPr>
            <w:r>
              <w:rPr>
                <w:rFonts w:ascii="Arial" w:cs="Arial" w:eastAsia="Arial" w:hAnsi="Arial"/>
                <w:sz w:val="18"/>
                <w:szCs w:val="18"/>
                <w:color w:val="auto"/>
              </w:rPr>
              <w:t>683,000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182,000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19.92</w:t>
            </w:r>
          </w:p>
        </w:tc>
        <w:tc>
          <w:tcPr>
            <w:tcW w:w="760" w:type="dxa"/>
            <w:vAlign w:val="bottom"/>
          </w:tcPr>
          <w:p>
            <w:pPr>
              <w:jc w:val="right"/>
              <w:spacing w:after="0"/>
              <w:rPr>
                <w:sz w:val="20"/>
                <w:szCs w:val="20"/>
                <w:color w:val="auto"/>
              </w:rPr>
            </w:pPr>
            <w:r>
              <w:rPr>
                <w:rFonts w:ascii="Arial" w:cs="Arial" w:eastAsia="Arial" w:hAnsi="Arial"/>
                <w:sz w:val="18"/>
                <w:szCs w:val="18"/>
                <w:color w:val="auto"/>
              </w:rPr>
              <w:t>543,000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29.77</w:t>
            </w:r>
          </w:p>
        </w:tc>
        <w:tc>
          <w:tcPr>
            <w:tcW w:w="840" w:type="dxa"/>
            <w:vAlign w:val="bottom"/>
          </w:tcPr>
          <w:p>
            <w:pPr>
              <w:jc w:val="right"/>
              <w:spacing w:after="0"/>
              <w:rPr>
                <w:sz w:val="20"/>
                <w:szCs w:val="20"/>
                <w:color w:val="auto"/>
              </w:rPr>
            </w:pPr>
            <w:r>
              <w:rPr>
                <w:rFonts w:ascii="Arial" w:cs="Arial" w:eastAsia="Arial" w:hAnsi="Arial"/>
                <w:sz w:val="18"/>
                <w:szCs w:val="18"/>
                <w:color w:val="auto"/>
              </w:rPr>
              <w:t>724,000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290,000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14.79</w:t>
            </w:r>
          </w:p>
        </w:tc>
        <w:tc>
          <w:tcPr>
            <w:tcW w:w="760" w:type="dxa"/>
            <w:vAlign w:val="bottom"/>
          </w:tcPr>
          <w:p>
            <w:pPr>
              <w:jc w:val="right"/>
              <w:spacing w:after="0"/>
              <w:rPr>
                <w:sz w:val="20"/>
                <w:szCs w:val="20"/>
                <w:color w:val="auto"/>
              </w:rPr>
            </w:pPr>
            <w:r>
              <w:rPr>
                <w:rFonts w:ascii="Arial" w:cs="Arial" w:eastAsia="Arial" w:hAnsi="Arial"/>
                <w:sz w:val="18"/>
                <w:szCs w:val="18"/>
                <w:color w:val="auto"/>
              </w:rPr>
              <w:t>462,000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36.66</w:t>
            </w:r>
          </w:p>
        </w:tc>
        <w:tc>
          <w:tcPr>
            <w:tcW w:w="840" w:type="dxa"/>
            <w:vAlign w:val="bottom"/>
          </w:tcPr>
          <w:p>
            <w:pPr>
              <w:jc w:val="right"/>
              <w:spacing w:after="0"/>
              <w:rPr>
                <w:sz w:val="20"/>
                <w:szCs w:val="20"/>
                <w:color w:val="auto"/>
              </w:rPr>
            </w:pPr>
            <w:r>
              <w:rPr>
                <w:rFonts w:ascii="Arial" w:cs="Arial" w:eastAsia="Arial" w:hAnsi="Arial"/>
                <w:sz w:val="18"/>
                <w:szCs w:val="18"/>
                <w:color w:val="auto"/>
              </w:rPr>
              <w:t>752,000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2020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159,000</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27.80</w:t>
            </w:r>
          </w:p>
        </w:tc>
        <w:tc>
          <w:tcPr>
            <w:tcW w:w="760" w:type="dxa"/>
            <w:vAlign w:val="bottom"/>
          </w:tcPr>
          <w:p>
            <w:pPr>
              <w:jc w:val="right"/>
              <w:spacing w:after="0"/>
              <w:rPr>
                <w:sz w:val="20"/>
                <w:szCs w:val="20"/>
                <w:color w:val="auto"/>
              </w:rPr>
            </w:pPr>
            <w:r>
              <w:rPr>
                <w:rFonts w:ascii="Arial" w:cs="Arial" w:eastAsia="Arial" w:hAnsi="Arial"/>
                <w:sz w:val="18"/>
                <w:szCs w:val="18"/>
                <w:color w:val="auto"/>
              </w:rPr>
              <w:t>381,000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30.61</w:t>
            </w:r>
          </w:p>
        </w:tc>
        <w:tc>
          <w:tcPr>
            <w:tcW w:w="840" w:type="dxa"/>
            <w:vAlign w:val="bottom"/>
          </w:tcPr>
          <w:p>
            <w:pPr>
              <w:jc w:val="right"/>
              <w:spacing w:after="0"/>
              <w:rPr>
                <w:sz w:val="20"/>
                <w:szCs w:val="20"/>
                <w:color w:val="auto"/>
              </w:rPr>
            </w:pPr>
            <w:r>
              <w:rPr>
                <w:rFonts w:ascii="Arial" w:cs="Arial" w:eastAsia="Arial" w:hAnsi="Arial"/>
                <w:sz w:val="18"/>
                <w:szCs w:val="18"/>
                <w:color w:val="auto"/>
              </w:rPr>
              <w:t>540,000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7,829,000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2,619,000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10,448,000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gridSpan w:val="3"/>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9,718,000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15.68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7,627,000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31.71</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17,345,000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March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occupied square footage as of March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At March 31, 2011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At March 31, 2010</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4"/>
            <w:vMerge w:val="continue"/>
          </w:tcPr>
          <w:p>
            <w:pPr>
              <w:spacing w:after="0"/>
              <w:rPr>
                <w:sz w:val="12"/>
                <w:szCs w:val="12"/>
                <w:color w:val="auto"/>
              </w:rPr>
            </w:pPr>
          </w:p>
        </w:tc>
        <w:tc>
          <w:tcPr>
            <w:tcW w:w="9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80" w:type="dxa"/>
            <w:vAlign w:val="bottom"/>
          </w:tcPr>
          <w:p>
            <w:pPr>
              <w:spacing w:after="0"/>
              <w:rPr>
                <w:sz w:val="12"/>
                <w:szCs w:val="12"/>
                <w:color w:val="auto"/>
              </w:rPr>
            </w:pPr>
          </w:p>
        </w:tc>
        <w:tc>
          <w:tcPr>
            <w:tcW w:w="8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8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Leased</w:t>
            </w:r>
          </w:p>
        </w:tc>
        <w:tc>
          <w:tcPr>
            <w:tcW w:w="28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18,604,000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17,455,000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18,155,000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17,092,000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940" w:type="dxa"/>
            <w:vAlign w:val="bottom"/>
          </w:tcPr>
          <w:p>
            <w:pPr>
              <w:jc w:val="right"/>
              <w:spacing w:after="0"/>
              <w:rPr>
                <w:sz w:val="20"/>
                <w:szCs w:val="20"/>
                <w:color w:val="auto"/>
              </w:rPr>
            </w:pPr>
            <w:r>
              <w:rPr>
                <w:rFonts w:ascii="Arial" w:cs="Arial" w:eastAsia="Arial" w:hAnsi="Arial"/>
                <w:sz w:val="18"/>
                <w:szCs w:val="18"/>
                <w:color w:val="auto"/>
              </w:rPr>
              <w:t>903</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869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96.2%</w:t>
            </w:r>
          </w:p>
        </w:tc>
        <w:tc>
          <w:tcPr>
            <w:tcW w:w="860" w:type="dxa"/>
            <w:vAlign w:val="bottom"/>
          </w:tcPr>
          <w:p>
            <w:pPr>
              <w:jc w:val="right"/>
              <w:spacing w:after="0"/>
              <w:rPr>
                <w:sz w:val="20"/>
                <w:szCs w:val="20"/>
                <w:color w:val="auto"/>
              </w:rPr>
            </w:pPr>
            <w:r>
              <w:rPr>
                <w:rFonts w:ascii="Arial" w:cs="Arial" w:eastAsia="Arial" w:hAnsi="Arial"/>
                <w:sz w:val="18"/>
                <w:szCs w:val="18"/>
                <w:color w:val="auto"/>
              </w:rPr>
              <w:t>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385"/>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March 31, 2011</w:t>
            </w: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At March 31, 2010</w:t>
            </w: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40" w:type="dxa"/>
            <w:vAlign w:val="bottom"/>
            <w:gridSpan w:val="4"/>
            <w:vMerge w:val="continue"/>
          </w:tcPr>
          <w:p>
            <w:pPr>
              <w:spacing w:after="0"/>
              <w:rPr>
                <w:sz w:val="12"/>
                <w:szCs w:val="12"/>
                <w:color w:val="auto"/>
              </w:rPr>
            </w:pPr>
          </w:p>
        </w:tc>
        <w:tc>
          <w:tcPr>
            <w:tcW w:w="9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80" w:type="dxa"/>
            <w:vAlign w:val="bottom"/>
          </w:tcPr>
          <w:p>
            <w:pPr>
              <w:spacing w:after="0"/>
              <w:rPr>
                <w:sz w:val="12"/>
                <w:szCs w:val="12"/>
                <w:color w:val="auto"/>
              </w:rPr>
            </w:pPr>
          </w:p>
        </w:tc>
        <w:tc>
          <w:tcPr>
            <w:tcW w:w="8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8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Leased</w:t>
            </w:r>
          </w:p>
        </w:tc>
        <w:tc>
          <w:tcPr>
            <w:tcW w:w="28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16,798,000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15,841,000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15,925,000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940" w:type="dxa"/>
            <w:vAlign w:val="bottom"/>
          </w:tcPr>
          <w:p>
            <w:pPr>
              <w:jc w:val="right"/>
              <w:spacing w:after="0"/>
              <w:rPr>
                <w:sz w:val="20"/>
                <w:szCs w:val="20"/>
                <w:color w:val="auto"/>
              </w:rPr>
            </w:pPr>
            <w:r>
              <w:rPr>
                <w:rFonts w:ascii="Arial" w:cs="Arial" w:eastAsia="Arial" w:hAnsi="Arial"/>
                <w:sz w:val="18"/>
                <w:szCs w:val="18"/>
                <w:color w:val="auto"/>
              </w:rPr>
              <w:t>903</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869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96.2%</w:t>
            </w:r>
          </w:p>
        </w:tc>
        <w:tc>
          <w:tcPr>
            <w:tcW w:w="860" w:type="dxa"/>
            <w:vAlign w:val="bottom"/>
          </w:tcPr>
          <w:p>
            <w:pPr>
              <w:jc w:val="right"/>
              <w:spacing w:after="0"/>
              <w:rPr>
                <w:sz w:val="20"/>
                <w:szCs w:val="20"/>
                <w:color w:val="auto"/>
              </w:rPr>
            </w:pPr>
            <w:r>
              <w:rPr>
                <w:rFonts w:ascii="Arial" w:cs="Arial" w:eastAsia="Arial" w:hAnsi="Arial"/>
                <w:sz w:val="18"/>
                <w:szCs w:val="18"/>
                <w:color w:val="auto"/>
              </w:rPr>
              <w:t>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Rollingwood, The Crest at Congressional and the residential rental units at Santana Row and Bethesda Row.</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Percentage of</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Tenant Name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30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Base Rent</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Base Rent (4)</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Tenant GLA</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Total GLA (4)</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Bed, Bath &amp; Beyond, Inc.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10,236,000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658,000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Ahold USA,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9,850,000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659,000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3.54%</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TJX Companies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595,000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Gap,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7,018,000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232,000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CVS Corporation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Safeway,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6,207,000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428,000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Barnes &amp; Noble,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L.A. Fitness International LLC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4,283,000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222,000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DSW,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Best Buy Stores, L.P.</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3,504,000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99,000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0.53%</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Staples,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OPNET Technologies,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3,311,000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83,000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0.45%</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Supervalu Inc. (Acme/Sav-A-Lot/Star Mkt/Shoppers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3,290,000</w:t>
            </w:r>
          </w:p>
        </w:tc>
        <w:tc>
          <w:tcPr>
            <w:tcW w:w="5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0.83%</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Ross Stores,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3,165,000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177,000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0.95%</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Kohl’s Corporation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2,843,000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322,000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Home Depot,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335,000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Wells Fargo Bank, N.A. (includes Wachovia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2,791,000</w:t>
            </w:r>
          </w:p>
        </w:tc>
        <w:tc>
          <w:tcPr>
            <w:tcW w:w="5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51,000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0.27%</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Wakefern Food Corporation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Michaels Stores,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2,642,000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0.67%</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201,000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Bally Total Fitness Corporation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0.66%</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156,000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Dress Barn,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2,560,000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110,000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0.59%</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Container Store,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 Moore,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2,483,000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141,000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0.76%</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PETsMART, Inc.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Totals - Top 25 Tenants</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107,709,000</w:t>
            </w:r>
          </w:p>
        </w:tc>
        <w:tc>
          <w:tcPr>
            <w:tcW w:w="5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27.33%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5,965,000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32.08%</w:t>
            </w: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394,220,000(2)</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18,604,000(3)</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March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Funds from Operations available for common shareholders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Gain on sale of real estate</w:t>
      </w:r>
    </w:p>
    <w:p>
      <w:pPr>
        <w:spacing w:after="0" w:line="9" w:lineRule="exact"/>
        <w:rPr>
          <w:sz w:val="20"/>
          <w:szCs w:val="20"/>
          <w:color w:val="auto"/>
        </w:rPr>
      </w:pPr>
    </w:p>
    <w:p>
      <w:pPr>
        <w:ind w:right="3540"/>
        <w:spacing w:after="0" w:line="261" w:lineRule="auto"/>
        <w:rPr>
          <w:sz w:val="20"/>
          <w:szCs w:val="20"/>
          <w:color w:val="auto"/>
        </w:rPr>
      </w:pPr>
      <w:r>
        <w:rPr>
          <w:rFonts w:ascii="Arial" w:cs="Arial" w:eastAsia="Arial" w:hAnsi="Arial"/>
          <w:sz w:val="18"/>
          <w:szCs w:val="18"/>
          <w:color w:val="auto"/>
        </w:rPr>
        <w:t>Depreciation and amortization of real estate &amp; joint venture real estate assets Amortization of initial direct costs of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 on preferred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attributable to operating partnership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attributable to unvested shares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common shares, diluted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FFO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2011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547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b w:val="1"/>
          <w:bCs w:val="1"/>
          <w:color w:val="auto"/>
        </w:rPr>
        <w:t>(Dollars in millions except</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per share amounts) (1)</w:t>
      </w:r>
    </w:p>
    <w:p>
      <w:pPr>
        <w:spacing w:after="0" w:line="208" w:lineRule="exact"/>
        <w:rPr>
          <w:sz w:val="20"/>
          <w:szCs w:val="20"/>
          <w:color w:val="auto"/>
        </w:rPr>
      </w:pPr>
    </w:p>
    <w:p>
      <w:pPr>
        <w:spacing w:after="0"/>
        <w:tabs>
          <w:tab w:leader="none" w:pos="340" w:val="left"/>
          <w:tab w:leader="none" w:pos="980" w:val="left"/>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132</w:t>
      </w:r>
    </w:p>
    <w:p>
      <w:pPr>
        <w:spacing w:after="0" w:line="15" w:lineRule="exact"/>
        <w:rPr>
          <w:sz w:val="20"/>
          <w:szCs w:val="20"/>
          <w:color w:val="auto"/>
        </w:rPr>
      </w:pPr>
    </w:p>
    <w:p>
      <w:pPr>
        <w:ind w:left="1500" w:hanging="1021"/>
        <w:spacing w:after="0"/>
        <w:tabs>
          <w:tab w:leader="none" w:pos="1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(5)</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60" w:type="dxa"/>
            <w:vAlign w:val="bottom"/>
          </w:tcPr>
          <w:p>
            <w:pPr>
              <w:jc w:val="right"/>
              <w:ind w:right="312"/>
              <w:spacing w:after="0"/>
              <w:rPr>
                <w:sz w:val="20"/>
                <w:szCs w:val="20"/>
                <w:color w:val="auto"/>
              </w:rPr>
            </w:pPr>
            <w:r>
              <w:rPr>
                <w:rFonts w:ascii="Arial" w:cs="Arial" w:eastAsia="Arial" w:hAnsi="Arial"/>
                <w:sz w:val="18"/>
                <w:szCs w:val="18"/>
                <w:color w:val="auto"/>
                <w:w w:val="79"/>
              </w:rPr>
              <w:t>115</w:t>
            </w: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660" w:type="dxa"/>
            <w:vAlign w:val="bottom"/>
          </w:tcPr>
          <w:p>
            <w:pPr>
              <w:jc w:val="right"/>
              <w:ind w:right="312"/>
              <w:spacing w:after="0"/>
              <w:rPr>
                <w:sz w:val="20"/>
                <w:szCs w:val="20"/>
                <w:color w:val="auto"/>
              </w:rPr>
            </w:pPr>
            <w:r>
              <w:rPr>
                <w:rFonts w:ascii="Arial" w:cs="Arial" w:eastAsia="Arial" w:hAnsi="Arial"/>
                <w:sz w:val="18"/>
                <w:szCs w:val="18"/>
                <w:color w:val="auto"/>
              </w:rPr>
              <w:t>9</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0547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 w:lineRule="exact"/>
        <w:rPr>
          <w:sz w:val="20"/>
          <w:szCs w:val="20"/>
          <w:color w:val="auto"/>
        </w:rPr>
      </w:pPr>
    </w:p>
    <w:p>
      <w:pPr>
        <w:ind w:left="1380" w:hanging="101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252</w:t>
      </w:r>
    </w:p>
    <w:p>
      <w:pPr>
        <w:spacing w:after="0" w:line="15" w:lineRule="exact"/>
        <w:rPr>
          <w:rFonts w:ascii="Arial" w:cs="Arial" w:eastAsia="Arial" w:hAnsi="Arial"/>
          <w:sz w:val="18"/>
          <w:szCs w:val="18"/>
          <w:color w:val="auto"/>
        </w:rPr>
      </w:pPr>
    </w:p>
    <w:p>
      <w:pPr>
        <w:ind w:left="1500" w:hanging="1021"/>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p>
    <w:p>
      <w:pPr>
        <w:spacing w:after="0" w:line="9" w:lineRule="exact"/>
        <w:rPr>
          <w:sz w:val="20"/>
          <w:szCs w:val="20"/>
          <w:color w:val="auto"/>
        </w:rPr>
      </w:pPr>
    </w:p>
    <w:p>
      <w:pPr>
        <w:ind w:left="1500" w:hanging="1021"/>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547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0" w:lineRule="exact"/>
        <w:rPr>
          <w:sz w:val="20"/>
          <w:szCs w:val="20"/>
          <w:color w:val="auto"/>
        </w:rPr>
      </w:pPr>
    </w:p>
    <w:p>
      <w:pPr>
        <w:spacing w:after="0"/>
        <w:tabs>
          <w:tab w:leader="none" w:pos="340" w:val="left"/>
          <w:tab w:leader="none" w:pos="980" w:val="left"/>
          <w:tab w:leader="none" w:pos="13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246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4735" cy="26035"/>
                    </a:xfrm>
                    <a:prstGeom prst="rect">
                      <a:avLst/>
                    </a:prstGeom>
                    <a:noFill/>
                  </pic:spPr>
                </pic:pic>
              </a:graphicData>
            </a:graphic>
          </wp:anchor>
        </w:drawing>
      </w:r>
    </w:p>
    <w:p>
      <w:pPr>
        <w:spacing w:after="0" w:line="151" w:lineRule="exact"/>
        <w:rPr>
          <w:sz w:val="20"/>
          <w:szCs w:val="20"/>
          <w:color w:val="auto"/>
        </w:rPr>
      </w:pPr>
    </w:p>
    <w:p>
      <w:pPr>
        <w:ind w:left="320"/>
        <w:spacing w:after="0"/>
        <w:tabs>
          <w:tab w:leader="none" w:pos="132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color w:val="auto"/>
        </w:rPr>
        <w:t>62.4</w:t>
      </w:r>
    </w:p>
    <w:p>
      <w:pPr>
        <w:spacing w:after="0" w:line="117" w:lineRule="exact"/>
        <w:rPr>
          <w:sz w:val="20"/>
          <w:szCs w:val="20"/>
          <w:color w:val="auto"/>
        </w:rPr>
      </w:pPr>
    </w:p>
    <w:p>
      <w:pPr>
        <w:spacing w:after="0"/>
        <w:tabs>
          <w:tab w:leader="none" w:pos="300" w:val="left"/>
          <w:tab w:leader="none" w:pos="980" w:val="left"/>
          <w:tab w:leader="none" w:pos="1320" w:val="left"/>
        </w:tabs>
        <w:rPr>
          <w:sz w:val="20"/>
          <w:szCs w:val="20"/>
          <w:color w:val="auto"/>
        </w:rPr>
      </w:pPr>
      <w:r>
        <w:rPr>
          <w:rFonts w:ascii="Arial" w:cs="Arial" w:eastAsia="Arial" w:hAnsi="Arial"/>
          <w:sz w:val="18"/>
          <w:szCs w:val="18"/>
          <w:u w:val="single" w:color="auto"/>
          <w:color w:val="auto"/>
        </w:rPr>
        <w:t>$</w:t>
        <w:tab/>
        <w:t>3.95</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0547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2">
            <w:col w:w="8940" w:space="720"/>
            <w:col w:w="1720"/>
          </w:cols>
          <w:pgMar w:left="240" w:top="274"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8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4,941</w:t>
            </w: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4,968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420"/>
              <w:spacing w:after="0"/>
              <w:rPr>
                <w:sz w:val="20"/>
                <w:szCs w:val="20"/>
                <w:color w:val="auto"/>
              </w:rPr>
            </w:pPr>
            <w:r>
              <w:rPr>
                <w:rFonts w:ascii="Arial" w:cs="Arial" w:eastAsia="Arial" w:hAnsi="Arial"/>
                <w:sz w:val="18"/>
                <w:szCs w:val="18"/>
                <w:color w:val="auto"/>
              </w:rPr>
              <w:t>Operating income</w:t>
            </w: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7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1,086</w:t>
            </w: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4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740" w:type="dxa"/>
            <w:vAlign w:val="bottom"/>
            <w:gridSpan w:val="3"/>
            <w:vMerge w:val="continue"/>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8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40" w:type="dxa"/>
            <w:vAlign w:val="bottom"/>
            <w:gridSpan w:val="3"/>
          </w:tcPr>
          <w:p>
            <w:pPr>
              <w:spacing w:after="0"/>
              <w:rPr>
                <w:sz w:val="20"/>
                <w:szCs w:val="20"/>
                <w:color w:val="auto"/>
              </w:rPr>
            </w:pPr>
            <w:r>
              <w:rPr>
                <w:rFonts w:ascii="Arial" w:cs="Arial" w:eastAsia="Arial" w:hAnsi="Arial"/>
                <w:sz w:val="18"/>
                <w:szCs w:val="18"/>
                <w:color w:val="auto"/>
              </w:rPr>
              <w:t>Real estate, at cost</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206,122</w:t>
            </w: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205,849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(25,527)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(24,284)</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Net real estate</w:t>
            </w: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180,595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181,565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6,548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190,351</w:t>
            </w:r>
          </w:p>
        </w:tc>
        <w:tc>
          <w:tcPr>
            <w:tcW w:w="4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191,955</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4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40" w:type="dxa"/>
            <w:vAlign w:val="bottom"/>
            <w:gridSpan w:val="3"/>
            <w:vMerge w:val="continue"/>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57,533</w:t>
            </w: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62,469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63,023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127,882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128,932</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AND PARTNERS’ CAPITAL</w:t>
            </w: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190,351</w:t>
            </w: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191,955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80" w:type="dxa"/>
            <w:vAlign w:val="bottom"/>
            <w:vMerge w:val="restart"/>
          </w:tcPr>
          <w:p>
            <w:pPr>
              <w:jc w:val="right"/>
              <w:ind w:right="3332"/>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Stated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Maturity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Plaza del Mercado</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5.77% (a)</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8"/>
                <w:szCs w:val="18"/>
                <w:color w:val="auto"/>
              </w:rPr>
              <w:t>Atlantic Plaza</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88"/>
              </w:rPr>
              <w:t>12/01/14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3"/>
          </w:tcPr>
          <w:p>
            <w:pPr>
              <w:ind w:left="760"/>
              <w:spacing w:after="0"/>
              <w:rPr>
                <w:sz w:val="20"/>
                <w:szCs w:val="20"/>
                <w:color w:val="auto"/>
              </w:rPr>
            </w:pPr>
            <w:r>
              <w:rPr>
                <w:rFonts w:ascii="Arial" w:cs="Arial" w:eastAsia="Arial" w:hAnsi="Arial"/>
                <w:sz w:val="18"/>
                <w:szCs w:val="18"/>
                <w:color w:val="auto"/>
              </w:rPr>
              <w:t>5.12% (b)</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Barcroft Plaza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07/01/16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5.99% (b)(c)</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5"/>
          </w:tcPr>
          <w:p>
            <w:pPr>
              <w:ind w:left="420"/>
              <w:spacing w:after="0"/>
              <w:rPr>
                <w:sz w:val="20"/>
                <w:szCs w:val="20"/>
                <w:color w:val="auto"/>
              </w:rPr>
            </w:pPr>
            <w:r>
              <w:rPr>
                <w:rFonts w:ascii="Arial" w:cs="Arial" w:eastAsia="Arial" w:hAnsi="Arial"/>
                <w:sz w:val="18"/>
                <w:szCs w:val="18"/>
                <w:color w:val="auto"/>
              </w:rPr>
              <w:t>Greenlawn Plaza</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88"/>
              </w:rPr>
              <w:t>07/01/16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3"/>
          </w:tcPr>
          <w:p>
            <w:pPr>
              <w:ind w:left="760"/>
              <w:spacing w:after="0"/>
              <w:rPr>
                <w:sz w:val="20"/>
                <w:szCs w:val="20"/>
                <w:color w:val="auto"/>
              </w:rPr>
            </w:pPr>
            <w:r>
              <w:rPr>
                <w:rFonts w:ascii="Arial" w:cs="Arial" w:eastAsia="Arial" w:hAnsi="Arial"/>
                <w:sz w:val="18"/>
                <w:szCs w:val="18"/>
                <w:color w:val="auto"/>
              </w:rPr>
              <w:t>5.90% (b)</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Total Fixed Rate Debt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4"/>
            <w:vMerge w:val="restart"/>
          </w:tcPr>
          <w:p>
            <w:pPr>
              <w:spacing w:after="0"/>
              <w:rPr>
                <w:sz w:val="20"/>
                <w:szCs w:val="20"/>
                <w:color w:val="auto"/>
              </w:rPr>
            </w:pPr>
            <w:r>
              <w:rPr>
                <w:rFonts w:ascii="Arial" w:cs="Arial" w:eastAsia="Arial" w:hAnsi="Arial"/>
                <w:sz w:val="18"/>
                <w:szCs w:val="18"/>
                <w:color w:val="auto"/>
                <w:w w:val="90"/>
              </w:rPr>
              <w:t>Debt Maturities</w:t>
            </w:r>
          </w:p>
        </w:tc>
        <w:tc>
          <w:tcPr>
            <w:tcW w:w="1780" w:type="dxa"/>
            <w:vAlign w:val="bottom"/>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120" w:type="dxa"/>
            <w:vAlign w:val="bottom"/>
            <w:tcBorders>
              <w:bottom w:val="single" w:sz="8" w:color="auto"/>
            </w:tcBorders>
            <w:gridSpan w:val="4"/>
            <w:vMerge w:val="continue"/>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00" w:type="dxa"/>
            <w:vAlign w:val="bottom"/>
            <w:gridSpan w:val="6"/>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Scheduled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Percent of Debt</w:t>
            </w:r>
          </w:p>
        </w:tc>
        <w:tc>
          <w:tcPr>
            <w:tcW w:w="110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Percent of Debt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1800" w:type="dxa"/>
            <w:vAlign w:val="bottom"/>
            <w:gridSpan w:val="3"/>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11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Maturities</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Maturing</w:t>
            </w:r>
          </w:p>
        </w:tc>
        <w:tc>
          <w:tcPr>
            <w:tcW w:w="1220" w:type="dxa"/>
            <w:vAlign w:val="bottom"/>
            <w:gridSpan w:val="2"/>
          </w:tcPr>
          <w:p>
            <w:pPr>
              <w:spacing w:after="0"/>
              <w:rPr>
                <w:sz w:val="14"/>
                <w:szCs w:val="14"/>
                <w:color w:val="auto"/>
              </w:rPr>
            </w:pPr>
          </w:p>
        </w:tc>
        <w:tc>
          <w:tcPr>
            <w:tcW w:w="9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Maturing</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left="632"/>
              <w:spacing w:after="0"/>
              <w:rPr>
                <w:sz w:val="20"/>
                <w:szCs w:val="20"/>
                <w:color w:val="auto"/>
              </w:rPr>
            </w:pPr>
            <w:r>
              <w:rPr>
                <w:rFonts w:ascii="Arial" w:cs="Arial" w:eastAsia="Arial" w:hAnsi="Arial"/>
                <w:sz w:val="18"/>
                <w:szCs w:val="18"/>
                <w:color w:val="auto"/>
                <w:w w:val="84"/>
              </w:rPr>
              <w:t>2011</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w:t>
            </w:r>
          </w:p>
        </w:tc>
        <w:tc>
          <w:tcPr>
            <w:tcW w:w="1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jc w:val="center"/>
              <w:ind w:left="632"/>
              <w:spacing w:after="0"/>
              <w:rPr>
                <w:sz w:val="20"/>
                <w:szCs w:val="20"/>
                <w:color w:val="auto"/>
              </w:rPr>
            </w:pPr>
            <w:r>
              <w:rPr>
                <w:rFonts w:ascii="Arial" w:cs="Arial" w:eastAsia="Arial" w:hAnsi="Arial"/>
                <w:sz w:val="18"/>
                <w:szCs w:val="18"/>
                <w:color w:val="auto"/>
                <w:w w:val="84"/>
              </w:rPr>
              <w:t>2012</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220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220</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0.4%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left="632"/>
              <w:spacing w:after="0"/>
              <w:rPr>
                <w:sz w:val="20"/>
                <w:szCs w:val="20"/>
                <w:color w:val="auto"/>
              </w:rPr>
            </w:pPr>
            <w:r>
              <w:rPr>
                <w:rFonts w:ascii="Arial" w:cs="Arial" w:eastAsia="Arial" w:hAnsi="Arial"/>
                <w:sz w:val="18"/>
                <w:szCs w:val="18"/>
                <w:color w:val="auto"/>
                <w:w w:val="84"/>
              </w:rPr>
              <w:t>2013</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233</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233</w:t>
            </w:r>
          </w:p>
        </w:tc>
        <w:tc>
          <w:tcPr>
            <w:tcW w:w="1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jc w:val="center"/>
              <w:ind w:left="632"/>
              <w:spacing w:after="0"/>
              <w:rPr>
                <w:sz w:val="20"/>
                <w:szCs w:val="20"/>
                <w:color w:val="auto"/>
              </w:rPr>
            </w:pPr>
            <w:r>
              <w:rPr>
                <w:rFonts w:ascii="Arial" w:cs="Arial" w:eastAsia="Arial" w:hAnsi="Arial"/>
                <w:sz w:val="18"/>
                <w:szCs w:val="18"/>
                <w:color w:val="auto"/>
                <w:w w:val="84"/>
              </w:rPr>
              <w:t>2014</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142</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22,396</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3"/>
              </w:rPr>
              <w:t>22,538</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39.2%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left="632"/>
              <w:spacing w:after="0"/>
              <w:rPr>
                <w:sz w:val="20"/>
                <w:szCs w:val="20"/>
                <w:color w:val="auto"/>
              </w:rPr>
            </w:pPr>
            <w:r>
              <w:rPr>
                <w:rFonts w:ascii="Arial" w:cs="Arial" w:eastAsia="Arial" w:hAnsi="Arial"/>
                <w:sz w:val="18"/>
                <w:szCs w:val="18"/>
                <w:color w:val="auto"/>
                <w:w w:val="84"/>
              </w:rPr>
              <w:t>2015</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jc w:val="center"/>
              <w:ind w:left="632"/>
              <w:spacing w:after="0"/>
              <w:rPr>
                <w:sz w:val="20"/>
                <w:szCs w:val="20"/>
                <w:color w:val="auto"/>
              </w:rPr>
            </w:pPr>
            <w:r>
              <w:rPr>
                <w:rFonts w:ascii="Arial" w:cs="Arial" w:eastAsia="Arial" w:hAnsi="Arial"/>
                <w:sz w:val="18"/>
                <w:szCs w:val="18"/>
                <w:color w:val="auto"/>
                <w:w w:val="84"/>
              </w:rPr>
              <w:t>2016</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34,385</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3"/>
              </w:rPr>
              <w:t>34,385</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59.7%</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shd w:val="clear" w:color="auto" w:fill="CCEEFF"/>
          </w:tcPr>
          <w:p>
            <w:pPr>
              <w:jc w:val="center"/>
              <w:ind w:right="1000"/>
              <w:spacing w:after="0"/>
              <w:rPr>
                <w:sz w:val="20"/>
                <w:szCs w:val="20"/>
                <w:color w:val="auto"/>
              </w:rPr>
            </w:pPr>
            <w:r>
              <w:rPr>
                <w:rFonts w:ascii="Arial" w:cs="Arial" w:eastAsia="Arial" w:hAnsi="Arial"/>
                <w:sz w:val="18"/>
                <w:szCs w:val="18"/>
                <w:color w:val="auto"/>
                <w:w w:val="89"/>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752</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56,781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3"/>
              </w:rPr>
              <w:t>57,533</w:t>
            </w:r>
          </w:p>
        </w:tc>
        <w:tc>
          <w:tcPr>
            <w:tcW w:w="1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Mortgage or</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Grocery</w:t>
            </w:r>
          </w:p>
        </w:tc>
        <w:tc>
          <w:tcPr>
            <w:tcW w:w="1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1"/>
                <w:szCs w:val="11"/>
                <w:color w:val="auto"/>
              </w:rPr>
            </w:pPr>
          </w:p>
        </w:tc>
        <w:tc>
          <w:tcPr>
            <w:tcW w:w="74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7"/>
              </w:rPr>
              <w:t>Real Estate</w:t>
            </w:r>
          </w:p>
        </w:tc>
        <w:tc>
          <w:tcPr>
            <w:tcW w:w="1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8"/>
              </w:rPr>
              <w:t>Capital Lease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Anchor</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Property Name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ind w:left="34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Acquired</w:t>
            </w:r>
          </w:p>
        </w:tc>
        <w:tc>
          <w:tcPr>
            <w:tcW w:w="8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w w:val="86"/>
              </w:rPr>
              <w:t>Obligation</w:t>
            </w:r>
          </w:p>
        </w:tc>
        <w:tc>
          <w:tcPr>
            <w:tcW w:w="14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GLA</w:t>
            </w:r>
          </w:p>
        </w:tc>
        <w:tc>
          <w:tcPr>
            <w:tcW w:w="16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Leased</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GLA (1)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Anchor (1)</w:t>
            </w:r>
          </w:p>
        </w:tc>
        <w:tc>
          <w:tcPr>
            <w:tcW w:w="80" w:type="dxa"/>
            <w:vAlign w:val="bottom"/>
          </w:tcPr>
          <w:p>
            <w:pPr>
              <w:spacing w:after="0"/>
              <w:rPr>
                <w:sz w:val="15"/>
                <w:szCs w:val="15"/>
                <w:color w:val="auto"/>
              </w:rPr>
            </w:pPr>
          </w:p>
        </w:tc>
        <w:tc>
          <w:tcPr>
            <w:tcW w:w="2520" w:type="dxa"/>
            <w:vAlign w:val="bottom"/>
          </w:tcPr>
          <w:p>
            <w:pPr>
              <w:ind w:left="56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12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Washington Metropolitan Area</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color w:val="auto"/>
              </w:rPr>
              <w:t>Barcroft Plaza</w:t>
            </w:r>
          </w:p>
        </w:tc>
        <w:tc>
          <w:tcPr>
            <w:tcW w:w="2060" w:type="dxa"/>
            <w:vAlign w:val="bottom"/>
            <w:gridSpan w:val="4"/>
          </w:tcPr>
          <w:p>
            <w:pPr>
              <w:ind w:left="180"/>
              <w:spacing w:after="0" w:line="142" w:lineRule="exact"/>
              <w:rPr>
                <w:sz w:val="20"/>
                <w:szCs w:val="20"/>
                <w:color w:val="auto"/>
              </w:rPr>
            </w:pPr>
            <w:r>
              <w:rPr>
                <w:rFonts w:ascii="Arial" w:cs="Arial" w:eastAsia="Arial" w:hAnsi="Arial"/>
                <w:sz w:val="14"/>
                <w:szCs w:val="14"/>
                <w:color w:val="auto"/>
              </w:rPr>
              <w:t>Washington, DC-MD-VA</w:t>
            </w:r>
          </w:p>
        </w:tc>
        <w:tc>
          <w:tcPr>
            <w:tcW w:w="86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2006-2007</w:t>
            </w: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34,284</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20,785</w:t>
            </w: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100,000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88%</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46,000</w:t>
            </w: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92"/>
              </w:rPr>
              <w:t>Harris Teeter</w:t>
            </w:r>
          </w:p>
        </w:tc>
        <w:tc>
          <w:tcPr>
            <w:tcW w:w="80" w:type="dxa"/>
            <w:vAlign w:val="bottom"/>
          </w:tcPr>
          <w:p>
            <w:pPr>
              <w:spacing w:after="0"/>
              <w:rPr>
                <w:sz w:val="12"/>
                <w:szCs w:val="12"/>
                <w:color w:val="auto"/>
              </w:rPr>
            </w:pPr>
          </w:p>
        </w:tc>
        <w:tc>
          <w:tcPr>
            <w:tcW w:w="2520" w:type="dxa"/>
            <w:vAlign w:val="bottom"/>
          </w:tcPr>
          <w:p>
            <w:pPr>
              <w:spacing w:after="0" w:line="142" w:lineRule="exact"/>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6"/>
              </w:rPr>
              <w:t>Free State Shopping</w:t>
            </w:r>
          </w:p>
        </w:tc>
        <w:tc>
          <w:tcPr>
            <w:tcW w:w="2060" w:type="dxa"/>
            <w:vAlign w:val="bottom"/>
            <w:gridSpan w:val="4"/>
            <w:shd w:val="clear" w:color="auto" w:fill="CCEEFF"/>
          </w:tcPr>
          <w:p>
            <w:pPr>
              <w:ind w:left="180"/>
              <w:spacing w:after="0" w:line="138" w:lineRule="exact"/>
              <w:rPr>
                <w:sz w:val="20"/>
                <w:szCs w:val="20"/>
                <w:color w:val="auto"/>
              </w:rPr>
            </w:pPr>
            <w:r>
              <w:rPr>
                <w:rFonts w:ascii="Arial" w:cs="Arial" w:eastAsia="Arial" w:hAnsi="Arial"/>
                <w:sz w:val="14"/>
                <w:szCs w:val="14"/>
                <w:color w:val="auto"/>
              </w:rPr>
              <w:t>Washington, DC-MD-VA</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66,040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279,000</w:t>
            </w: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85%</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73,000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Center</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Giant Food</w:t>
            </w:r>
          </w:p>
        </w:tc>
        <w:tc>
          <w:tcPr>
            <w:tcW w:w="8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7"/>
              </w:rPr>
              <w:t>TJ Maxx / Ross Dress For Less / 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Plaza del Mercado</w:t>
            </w:r>
          </w:p>
        </w:tc>
        <w:tc>
          <w:tcPr>
            <w:tcW w:w="20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Washington, DC-MD-VA</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21,499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12,648</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20" w:type="dxa"/>
            <w:vAlign w:val="bottom"/>
            <w:gridSpan w:val="7"/>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475,000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New York / New Jersey</w:t>
            </w:r>
          </w:p>
        </w:tc>
        <w:tc>
          <w:tcPr>
            <w:tcW w:w="17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Greenlawn Plaza</w:t>
            </w:r>
          </w:p>
        </w:tc>
        <w:tc>
          <w:tcPr>
            <w:tcW w:w="2060" w:type="dxa"/>
            <w:vAlign w:val="bottom"/>
            <w:gridSpan w:val="4"/>
            <w:shd w:val="clear" w:color="auto" w:fill="CCEEFF"/>
          </w:tcPr>
          <w:p>
            <w:pPr>
              <w:ind w:left="180"/>
              <w:spacing w:after="0" w:line="142" w:lineRule="exact"/>
              <w:rPr>
                <w:sz w:val="20"/>
                <w:szCs w:val="20"/>
                <w:color w:val="auto"/>
              </w:rPr>
            </w:pPr>
            <w:r>
              <w:rPr>
                <w:rFonts w:ascii="Arial" w:cs="Arial" w:eastAsia="Arial" w:hAnsi="Arial"/>
                <w:sz w:val="14"/>
                <w:szCs w:val="14"/>
                <w:color w:val="auto"/>
              </w:rPr>
              <w:t>Nassau-Suffolk, NY</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20,268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13,600</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106,000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46,000</w:t>
            </w:r>
          </w:p>
        </w:tc>
        <w:tc>
          <w:tcPr>
            <w:tcW w:w="9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w w:val="98"/>
              </w:rPr>
              <w:t>Waldbaum’s</w:t>
            </w:r>
          </w:p>
        </w:tc>
        <w:tc>
          <w:tcPr>
            <w:tcW w:w="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7"/>
              </w:rPr>
              <w:t>Total New York / New Jersey</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106,000</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97%</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60" w:type="dxa"/>
            <w:vAlign w:val="bottom"/>
            <w:gridSpan w:val="3"/>
          </w:tcPr>
          <w:p>
            <w:pPr>
              <w:spacing w:after="0" w:line="131" w:lineRule="exact"/>
              <w:rPr>
                <w:sz w:val="20"/>
                <w:szCs w:val="20"/>
                <w:color w:val="auto"/>
              </w:rPr>
            </w:pPr>
            <w:r>
              <w:rPr>
                <w:rFonts w:ascii="Arial" w:cs="Arial" w:eastAsia="Arial" w:hAnsi="Arial"/>
                <w:sz w:val="14"/>
                <w:szCs w:val="14"/>
                <w:color w:val="auto"/>
              </w:rPr>
              <w:t>Atlantic Plaza</w:t>
            </w:r>
          </w:p>
        </w:tc>
        <w:tc>
          <w:tcPr>
            <w:tcW w:w="2060" w:type="dxa"/>
            <w:vAlign w:val="bottom"/>
            <w:gridSpan w:val="4"/>
          </w:tcPr>
          <w:p>
            <w:pPr>
              <w:ind w:left="180"/>
              <w:spacing w:after="0" w:line="131" w:lineRule="exact"/>
              <w:rPr>
                <w:sz w:val="20"/>
                <w:szCs w:val="20"/>
                <w:color w:val="auto"/>
              </w:rPr>
            </w:pPr>
            <w:r>
              <w:rPr>
                <w:rFonts w:ascii="Arial" w:cs="Arial" w:eastAsia="Arial" w:hAnsi="Arial"/>
                <w:sz w:val="14"/>
                <w:szCs w:val="14"/>
                <w:color w:val="auto"/>
              </w:rPr>
              <w:t>Boston-Worcester-Lawrence-</w:t>
            </w:r>
          </w:p>
        </w:tc>
        <w:tc>
          <w:tcPr>
            <w:tcW w:w="86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18,528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10,500</w:t>
            </w:r>
          </w:p>
        </w:tc>
        <w:tc>
          <w:tcPr>
            <w:tcW w:w="6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124,000</w:t>
            </w:r>
          </w:p>
        </w:tc>
        <w:tc>
          <w:tcPr>
            <w:tcW w:w="78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87%</w:t>
            </w:r>
          </w:p>
        </w:tc>
        <w:tc>
          <w:tcPr>
            <w:tcW w:w="500" w:type="dxa"/>
            <w:vAlign w:val="bottom"/>
          </w:tcPr>
          <w:p>
            <w:pPr>
              <w:jc w:val="right"/>
              <w:spacing w:after="0" w:line="131" w:lineRule="exact"/>
              <w:rPr>
                <w:sz w:val="20"/>
                <w:szCs w:val="20"/>
                <w:color w:val="auto"/>
              </w:rPr>
            </w:pPr>
            <w:r>
              <w:rPr>
                <w:rFonts w:ascii="Arial" w:cs="Arial" w:eastAsia="Arial" w:hAnsi="Arial"/>
                <w:sz w:val="14"/>
                <w:szCs w:val="14"/>
                <w:color w:val="auto"/>
              </w:rPr>
              <w:t>64,000</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Lowell-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4"/>
          </w:tcPr>
          <w:p>
            <w:pPr>
              <w:ind w:left="180"/>
              <w:spacing w:after="0" w:line="159" w:lineRule="exact"/>
              <w:rPr>
                <w:sz w:val="20"/>
                <w:szCs w:val="20"/>
                <w:color w:val="auto"/>
              </w:rPr>
            </w:pPr>
            <w:r>
              <w:rPr>
                <w:rFonts w:ascii="Arial" w:cs="Arial" w:eastAsia="Arial" w:hAnsi="Arial"/>
                <w:sz w:val="14"/>
                <w:szCs w:val="14"/>
                <w:color w:val="auto"/>
              </w:rPr>
              <w:t>Brockton, MA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96"/>
              </w:rPr>
              <w:t>Stop &amp; Shop</w:t>
            </w:r>
          </w:p>
        </w:tc>
        <w:tc>
          <w:tcPr>
            <w:tcW w:w="80" w:type="dxa"/>
            <w:vAlign w:val="bottom"/>
          </w:tcPr>
          <w:p>
            <w:pPr>
              <w:spacing w:after="0"/>
              <w:rPr>
                <w:sz w:val="13"/>
                <w:szCs w:val="13"/>
                <w:color w:val="auto"/>
              </w:rPr>
            </w:pPr>
          </w:p>
        </w:tc>
        <w:tc>
          <w:tcPr>
            <w:tcW w:w="2520" w:type="dxa"/>
            <w:vAlign w:val="bottom"/>
          </w:tcPr>
          <w:p>
            <w:pPr>
              <w:spacing w:after="0" w:line="159"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Campus Plaza</w:t>
            </w:r>
          </w:p>
        </w:tc>
        <w:tc>
          <w:tcPr>
            <w:tcW w:w="2060" w:type="dxa"/>
            <w:vAlign w:val="bottom"/>
            <w:gridSpan w:val="4"/>
            <w:shd w:val="clear" w:color="auto" w:fill="CCEEFF"/>
          </w:tcPr>
          <w:p>
            <w:pPr>
              <w:ind w:left="180"/>
              <w:spacing w:after="0" w:line="138" w:lineRule="exact"/>
              <w:rPr>
                <w:sz w:val="20"/>
                <w:szCs w:val="20"/>
                <w:color w:val="auto"/>
              </w:rPr>
            </w:pPr>
            <w:r>
              <w:rPr>
                <w:rFonts w:ascii="Arial" w:cs="Arial" w:eastAsia="Arial" w:hAnsi="Arial"/>
                <w:sz w:val="14"/>
                <w:szCs w:val="14"/>
                <w:color w:val="auto"/>
              </w:rPr>
              <w:t>Boston-Worcester-Lawrence-</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22,318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117,000</w:t>
            </w: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Lowell-</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Roche</w:t>
            </w:r>
          </w:p>
        </w:tc>
        <w:tc>
          <w:tcPr>
            <w:tcW w:w="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60" w:type="dxa"/>
            <w:vAlign w:val="bottom"/>
            <w:gridSpan w:val="4"/>
            <w:shd w:val="clear" w:color="auto" w:fill="CCEEFF"/>
          </w:tcPr>
          <w:p>
            <w:pPr>
              <w:ind w:left="180"/>
              <w:spacing w:after="0" w:line="159" w:lineRule="exact"/>
              <w:rPr>
                <w:sz w:val="20"/>
                <w:szCs w:val="20"/>
                <w:color w:val="auto"/>
              </w:rPr>
            </w:pPr>
            <w:r>
              <w:rPr>
                <w:rFonts w:ascii="Arial" w:cs="Arial" w:eastAsia="Arial" w:hAnsi="Arial"/>
                <w:sz w:val="14"/>
                <w:szCs w:val="14"/>
                <w:color w:val="auto"/>
              </w:rPr>
              <w:t>Brockton, MA</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Brothers</w:t>
            </w:r>
          </w:p>
        </w:tc>
        <w:tc>
          <w:tcPr>
            <w:tcW w:w="8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gridSpan w:val="3"/>
          </w:tcPr>
          <w:p>
            <w:pPr>
              <w:spacing w:after="0" w:line="138" w:lineRule="exact"/>
              <w:rPr>
                <w:sz w:val="20"/>
                <w:szCs w:val="20"/>
                <w:color w:val="auto"/>
              </w:rPr>
            </w:pPr>
            <w:r>
              <w:rPr>
                <w:rFonts w:ascii="Arial" w:cs="Arial" w:eastAsia="Arial" w:hAnsi="Arial"/>
                <w:sz w:val="14"/>
                <w:szCs w:val="14"/>
                <w:color w:val="auto"/>
              </w:rPr>
              <w:t>Pleasant Shops</w:t>
            </w:r>
          </w:p>
        </w:tc>
        <w:tc>
          <w:tcPr>
            <w:tcW w:w="2060" w:type="dxa"/>
            <w:vAlign w:val="bottom"/>
            <w:gridSpan w:val="4"/>
          </w:tcPr>
          <w:p>
            <w:pPr>
              <w:ind w:left="180"/>
              <w:spacing w:after="0" w:line="138" w:lineRule="exact"/>
              <w:rPr>
                <w:sz w:val="20"/>
                <w:szCs w:val="20"/>
                <w:color w:val="auto"/>
              </w:rPr>
            </w:pPr>
            <w:r>
              <w:rPr>
                <w:rFonts w:ascii="Arial" w:cs="Arial" w:eastAsia="Arial" w:hAnsi="Arial"/>
                <w:sz w:val="14"/>
                <w:szCs w:val="14"/>
                <w:color w:val="auto"/>
              </w:rPr>
              <w:t>Boston-Worcester-Lawrence-</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23,185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129,000</w:t>
            </w:r>
          </w:p>
        </w:tc>
        <w:tc>
          <w:tcPr>
            <w:tcW w:w="7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94%</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38,000</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4"/>
          </w:tcPr>
          <w:p>
            <w:pPr>
              <w:ind w:left="180"/>
              <w:spacing w:after="0" w:line="149" w:lineRule="exact"/>
              <w:rPr>
                <w:sz w:val="20"/>
                <w:szCs w:val="20"/>
                <w:color w:val="auto"/>
              </w:rPr>
            </w:pPr>
            <w:r>
              <w:rPr>
                <w:rFonts w:ascii="Arial" w:cs="Arial" w:eastAsia="Arial" w:hAnsi="Arial"/>
                <w:sz w:val="14"/>
                <w:szCs w:val="14"/>
                <w:color w:val="auto"/>
              </w:rPr>
              <w:t>Lowell-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4"/>
          </w:tcPr>
          <w:p>
            <w:pPr>
              <w:ind w:left="180"/>
              <w:spacing w:after="0" w:line="159" w:lineRule="exact"/>
              <w:rPr>
                <w:sz w:val="20"/>
                <w:szCs w:val="20"/>
                <w:color w:val="auto"/>
              </w:rPr>
            </w:pPr>
            <w:r>
              <w:rPr>
                <w:rFonts w:ascii="Arial" w:cs="Arial" w:eastAsia="Arial" w:hAnsi="Arial"/>
                <w:sz w:val="14"/>
                <w:szCs w:val="14"/>
                <w:color w:val="auto"/>
              </w:rPr>
              <w:t>Brockton, MA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Foodmaster</w:t>
            </w:r>
          </w:p>
        </w:tc>
        <w:tc>
          <w:tcPr>
            <w:tcW w:w="80" w:type="dxa"/>
            <w:vAlign w:val="bottom"/>
          </w:tcPr>
          <w:p>
            <w:pPr>
              <w:spacing w:after="0"/>
              <w:rPr>
                <w:sz w:val="14"/>
                <w:szCs w:val="14"/>
                <w:color w:val="auto"/>
              </w:rPr>
            </w:pPr>
          </w:p>
        </w:tc>
        <w:tc>
          <w:tcPr>
            <w:tcW w:w="2520" w:type="dxa"/>
            <w:vAlign w:val="bottom"/>
          </w:tcPr>
          <w:p>
            <w:pPr>
              <w:spacing w:after="0" w:line="15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Total New England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370,000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gridSpan w:val="4"/>
          </w:tcPr>
          <w:p>
            <w:pPr>
              <w:spacing w:after="0"/>
              <w:rPr>
                <w:sz w:val="20"/>
                <w:szCs w:val="20"/>
                <w:color w:val="auto"/>
              </w:rPr>
            </w:pPr>
            <w:r>
              <w:rPr>
                <w:rFonts w:ascii="Arial" w:cs="Arial" w:eastAsia="Arial" w:hAnsi="Arial"/>
                <w:sz w:val="14"/>
                <w:szCs w:val="14"/>
                <w:color w:val="auto"/>
              </w:rPr>
              <w:t>Grand Totals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206,122</w:t>
            </w:r>
          </w:p>
        </w:tc>
        <w:tc>
          <w:tcPr>
            <w:tcW w:w="1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57,533</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951,000</w:t>
            </w:r>
          </w:p>
        </w:tc>
        <w:tc>
          <w:tcPr>
            <w:tcW w:w="16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4"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is a non-GAAP measure that means net income or loss plus depreciation and amortization, net interest expense,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2011 and 2010 is as follows:</w:t>
      </w:r>
    </w:p>
    <w:p>
      <w:pPr>
        <w:spacing w:after="0" w:line="133"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right"/>
              <w:ind w:right="259"/>
              <w:spacing w:after="0" w:line="142"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$32,384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30,569</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760" w:type="dxa"/>
            <w:vAlign w:val="bottom"/>
            <w:gridSpan w:val="3"/>
          </w:tcPr>
          <w:p>
            <w:pPr>
              <w:jc w:val="right"/>
              <w:ind w:right="52"/>
              <w:spacing w:after="0"/>
              <w:rPr>
                <w:sz w:val="20"/>
                <w:szCs w:val="20"/>
                <w:color w:val="auto"/>
              </w:rPr>
            </w:pPr>
            <w:r>
              <w:rPr>
                <w:rFonts w:ascii="Arial" w:cs="Arial" w:eastAsia="Arial" w:hAnsi="Arial"/>
                <w:sz w:val="18"/>
                <w:szCs w:val="18"/>
                <w:color w:val="auto"/>
              </w:rPr>
              <w:t>(296)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87,686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88,067</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87,686</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88,067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3"/>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2"/>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emdash "/>
      <w:numFmt w:val="bullet"/>
      <w:start w:val="1"/>
    </w:lvl>
    <w:lvl w:ilvl="1">
      <w:lvlJc w:val="left"/>
      <w:lvlText w:val="(%2)"/>
      <w:numFmt w:val="decimal"/>
      <w:start w:val="5"/>
    </w:lvl>
  </w:abstractNum>
  <w:abstractNum w:abstractNumId="23">
    <w:nsid w:val="4353D0CD"/>
    <w:multiLevelType w:val="hybridMultilevel"/>
    <w:lvl w:ilvl="0">
      <w:lvlJc w:val="left"/>
      <w:lvlText w:val="%1"/>
      <w:numFmt w:val="decimal"/>
      <w:start w:val="247"/>
    </w:lvl>
    <w:lvl w:ilvl="1">
      <w:lvlJc w:val="left"/>
      <w:lvlText w:val="(%2)"/>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2019-12-09T23:44:13Z</dcterms:created>
  <dcterms:modified xsi:type="dcterms:W3CDTF">2019-12-09T23:44:13Z</dcterms:modified>
</cp:coreProperties>
</file>