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333-224701</w:t>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1.250% Notes due 2026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99.339%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$397,356,000</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8"/>
              </w:rPr>
              <w:t>$43,351.54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right="120" w:hanging="424"/>
        <w:spacing w:after="0" w:line="263"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fee is calculated in accordance with Rule 457(r) under the Securities Act of 1933, as amended (the “Securities Act”), and relates to the Registration Statement on Form S-3 (No. 333-224701) filed on May 7, 2018 (the “Registration Statement”). In accordance with Rules 456(b) and 457(r) under the Securities Act, the registrant deferred payment of the registration fee for the Registration Statement.</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MAY 7, 2018)</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79375</wp:posOffset>
            </wp:positionV>
            <wp:extent cx="192024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00B050"/>
        </w:rPr>
        <w:t>1.250%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are offering $400,000,000 aggregate principal amount of our 1.250% Notes due 2026. The notes will bear interest at the rate of 1.250% per year. Interest on the notes will be payable semi-annually in arears on February 15 and August 15 of each year, beginning on February 15, 2021. The notes will mature on February 15, 2026. We may redeem some or all of the notes at any time before maturity at the applicable redemption price discussed under the caption “Description of Notes — Optional Redemption.”</w:t>
      </w:r>
    </w:p>
    <w:p>
      <w:pPr>
        <w:spacing w:after="0" w:line="3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described under “Use of Proceeds,” we intend to allocate an amount equal to the net proceeds from this offering to the financing and refinancing of recently completed and future Eligible Green Projects, as defined herein, in the United States.</w:t>
      </w:r>
    </w:p>
    <w:p>
      <w:pPr>
        <w:spacing w:after="0" w:line="1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6" w:lineRule="exact"/>
        <w:rPr>
          <w:sz w:val="20"/>
          <w:szCs w:val="20"/>
          <w:color w:val="auto"/>
        </w:rPr>
      </w:pPr>
    </w:p>
    <w:p>
      <w:pPr>
        <w:ind w:left="120" w:right="36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1">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S-6 of this prospectus supplement, in our Annual Report on Form 10-K for the year ended December 31, 2019, filed with the Securities and Exchange Commission, or the SEC, on February 10, 2020, and in our Quarterly Report on Form 10-Q for the quarter ended June 30, 2020, filed with the SEC on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5"/>
                <w:szCs w:val="15"/>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(1)</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99.339%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397,356,000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2,400,000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98.739%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394,956,000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from October 13, 2020, if settlement occurs after that date.</w:t>
      </w:r>
    </w:p>
    <w:p>
      <w:pPr>
        <w:spacing w:after="0" w:line="7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in book-entry only form through the facilities of The Depository Trust Company on or about October 13, 2020.</w:t>
      </w:r>
    </w:p>
    <w:p>
      <w:pPr>
        <w:spacing w:after="0" w:line="23" w:lineRule="exact"/>
        <w:rPr>
          <w:sz w:val="20"/>
          <w:szCs w:val="20"/>
          <w:color w:val="auto"/>
        </w:rPr>
      </w:pPr>
    </w:p>
    <w:p>
      <w:pPr>
        <w:ind w:left="120" w:right="8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80645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1440" w:hanging="1332"/>
        <w:spacing w:after="0" w:line="328" w:lineRule="auto"/>
        <w:rPr>
          <w:sz w:val="20"/>
          <w:szCs w:val="20"/>
          <w:color w:val="auto"/>
        </w:rPr>
      </w:pPr>
      <w:r>
        <w:rPr>
          <w:rFonts w:ascii="Times New Roman" w:cs="Times New Roman" w:eastAsia="Times New Roman" w:hAnsi="Times New Roman"/>
          <w:sz w:val="28"/>
          <w:szCs w:val="28"/>
          <w:b w:val="1"/>
          <w:bCs w:val="1"/>
          <w:color w:val="auto"/>
        </w:rPr>
        <w:t>BofA Securities Citigroup</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9"/>
          <w:szCs w:val="29"/>
          <w:b w:val="1"/>
          <w:bCs w:val="1"/>
          <w:color w:val="auto"/>
        </w:rPr>
        <w:t>Deutsche Bank Securities</w:t>
      </w:r>
      <w:r>
        <w:rPr>
          <w:sz w:val="20"/>
          <w:szCs w:val="20"/>
          <w:color w:val="auto"/>
        </w:rPr>
        <w:tab/>
      </w:r>
      <w:r>
        <w:rPr>
          <w:rFonts w:ascii="Times New Roman" w:cs="Times New Roman" w:eastAsia="Times New Roman" w:hAnsi="Times New Roman"/>
          <w:sz w:val="28"/>
          <w:szCs w:val="28"/>
          <w:b w:val="1"/>
          <w:bCs w:val="1"/>
          <w:color w:val="auto"/>
        </w:rPr>
        <w:t>J.P. Morgan</w:t>
      </w:r>
    </w:p>
    <w:p>
      <w:pPr>
        <w:spacing w:after="0" w:line="11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Wells Fargo Securities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103" w:lineRule="exact"/>
        <w:rPr>
          <w:sz w:val="20"/>
          <w:szCs w:val="20"/>
          <w:color w:val="auto"/>
        </w:rPr>
      </w:pPr>
    </w:p>
    <w:p>
      <w:pPr>
        <w:sectPr>
          <w:pgSz w:w="11900" w:h="16838" w:orient="portrait"/>
          <w:cols w:equalWidth="0" w:num="3">
            <w:col w:w="2640" w:space="80"/>
            <w:col w:w="5140" w:space="520"/>
            <w:col w:w="276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Co-Managers</w:t>
      </w:r>
    </w:p>
    <w:p>
      <w:pPr>
        <w:sectPr>
          <w:pgSz w:w="11900" w:h="16838" w:orient="portrait"/>
          <w:cols w:equalWidth="0" w:num="1">
            <w:col w:w="11140"/>
          </w:cols>
          <w:pgMar w:left="320" w:top="455"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Regions Securities LLC</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Scotiabank</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TD Securities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Truist Securities</w:t>
      </w:r>
    </w:p>
    <w:p>
      <w:pPr>
        <w:spacing w:after="0" w:line="112" w:lineRule="exact"/>
        <w:rPr>
          <w:sz w:val="20"/>
          <w:szCs w:val="20"/>
          <w:color w:val="auto"/>
        </w:rPr>
      </w:pPr>
    </w:p>
    <w:p>
      <w:pPr>
        <w:sectPr>
          <w:pgSz w:w="11900" w:h="16838" w:orient="portrait"/>
          <w:cols w:equalWidth="0" w:num="4">
            <w:col w:w="3080" w:space="720"/>
            <w:col w:w="1880" w:space="720"/>
            <w:col w:w="2000" w:space="720"/>
            <w:col w:w="202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8, 2020.</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 Supplement</w:t>
              </w:r>
            </w:hyperlink>
          </w:p>
        </w:tc>
        <w:tc>
          <w:tcPr>
            <w:tcW w:w="5720" w:type="dxa"/>
            <w:vAlign w:val="bottom"/>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4840" w:type="dxa"/>
            <w:vAlign w:val="bottom"/>
            <w:vMerge w:val="continue"/>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Statement Concerning Forward-Looking Statements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Supplement Summary</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Use of Proceeds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Description of Notes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Additional Material Federal Income Tax Considerations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Underwriting (Conflicts of Interest)</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Experts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Legal Matters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648"/>
        </w:trPr>
        <w:tc>
          <w:tcPr>
            <w:tcW w:w="48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392"/>
        </w:trPr>
        <w:tc>
          <w:tcPr>
            <w:tcW w:w="48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About this Prospectus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4840" w:type="dxa"/>
            <w:vAlign w:val="bottom"/>
            <w:vMerge w:val="continue"/>
          </w:tcPr>
          <w:p>
            <w:pPr>
              <w:spacing w:after="0"/>
              <w:rPr>
                <w:sz w:val="19"/>
                <w:szCs w:val="19"/>
                <w:color w:val="auto"/>
              </w:rPr>
            </w:pPr>
          </w:p>
        </w:tc>
        <w:tc>
          <w:tcPr>
            <w:tcW w:w="5820" w:type="dxa"/>
            <w:vAlign w:val="bottom"/>
            <w:gridSpan w:val="2"/>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Forward-Looking Statements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Prospectus Summary</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Risk Factors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Use of Proceeds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Description of Shares of Beneficial Interest</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Material Federal Income Tax Considerations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Plan of Distribution</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Legal Matters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Experts</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Where You Can Find More Information</w:t>
              </w:r>
            </w:hyperlink>
          </w:p>
        </w:tc>
        <w:tc>
          <w:tcPr>
            <w:tcW w:w="6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Times New Roman" w:cs="Times New Roman" w:eastAsia="Times New Roman" w:hAnsi="Times New Roman"/>
                <w:sz w:val="18"/>
                <w:szCs w:val="18"/>
                <w:color w:val="auto"/>
                <w:w w:val="7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58"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10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beginning on page S-6 of this prospectus supplement, in our Annual Report on </w:t>
      </w:r>
      <w:hyperlink r:id="rId1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2019, filed with the SEC on February 10, 2020, and in our Quarterly Report on </w:t>
      </w:r>
      <w:hyperlink r:id="rId18">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 ended June 30, 2020, filed with the SEC on August 5, 2020,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2" w:lineRule="exact"/>
        <w:rPr>
          <w:sz w:val="20"/>
          <w:szCs w:val="20"/>
          <w:color w:val="auto"/>
        </w:rPr>
      </w:pPr>
    </w:p>
    <w:p>
      <w:pPr>
        <w:ind w:left="1080" w:right="10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307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8970" cy="7307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June 30, 2020, we owned or had a majority interest in community and neighborhood shopping centers and mixed-use properties which are operated as 104 predominantly retail real estate projects comprising approximately 24.0 million square feet. In total, the real estate projects were 93.0% leased and 90.8% occupied at June 30, 2020. We have paid quarterly dividends to our shareholders continuously since our founding in 1962 and have increased our dividends per common share for 53 consecutive years.</w:t>
      </w:r>
    </w:p>
    <w:p>
      <w:pPr>
        <w:spacing w:after="0" w:line="189"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909 Rose Ave., Suite 200, North Bethesda, MD 20852. Our telephone number is</w:t>
      </w:r>
    </w:p>
    <w:p>
      <w:pPr>
        <w:spacing w:after="0" w:line="1" w:lineRule="exact"/>
        <w:rPr>
          <w:sz w:val="20"/>
          <w:szCs w:val="20"/>
          <w:color w:val="auto"/>
        </w:rPr>
      </w:pPr>
    </w:p>
    <w:p>
      <w:pPr>
        <w:ind w:left="300" w:right="800" w:hanging="2"/>
        <w:spacing w:after="0" w:line="260"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supplement or the accompanying prospectus and is not incorporated herein or therein by reference.</w:t>
      </w:r>
    </w:p>
    <w:p>
      <w:pPr>
        <w:spacing w:after="0" w:line="3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COVID-19</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COVID-19 pandemic has adversely affected us and many of our tenants. As of October 1, 2020:</w:t>
      </w:r>
    </w:p>
    <w:p>
      <w:pPr>
        <w:spacing w:after="0" w:line="131" w:lineRule="exact"/>
        <w:rPr>
          <w:sz w:val="20"/>
          <w:szCs w:val="20"/>
          <w:color w:val="auto"/>
        </w:rPr>
      </w:pPr>
    </w:p>
    <w:p>
      <w:pPr>
        <w:ind w:left="1240" w:right="1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on the basis of annualized in place contractual base rent for all occupied spaces as of June 30, 2020, approximately 94% of our commercial tenants are open and operating on at least a modified basis.</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collected approximately 83% of total third quarter 2020 billed recurring rents (primarily composed of base rent and cost reimbursements).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deferral agreements for $30 million of rent related to second and third quarter 2020 recurring rents, including $5 million related to third quarter 2020. The weighted average pay back period of the deferral agreements is approximately 10 months. Revenue from almost 60% of tenants with deferral agreements is recognized on an accrual basis.</w:t>
      </w:r>
    </w:p>
    <w:p>
      <w:pPr>
        <w:spacing w:after="0" w:line="176"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Due to the uncertainty introduced by the COVID-19 pandemic, our third quarter collections may not be indicative of our future collections, which may exhibit significant variability. We have reached agreements with some tenants and continue to negotiate with other tenants to abate, defer and/or restructure portions of their rental obligations during the timeframe we anticipate COVID-19 will adversely impact their businesses. Those abatements, deferrals and restructures will adversely affect our rent collections in 2020 and into 2021, and we are expecting that our rent collections will continue to be significantly below our tenants’ contractual rent obligations for so long as governmental orders impose operating restrictions on our tenants’ businesses, which will adversely impact our results of operations. The extent of such impact will depend on future developments, which are highly uncertain and cannot be predicted. Depending upon the duration of limitations on tenants’ abilities to operate at full capacity and the overall economic downturn resulting from COVID-19, we may find that even deferred rents are difficult to collect, and we may experience higher vacancies. While the duration and severity of the economic impact resulting from COVID-19 is unknown, we seek to position the company to participate in any resulting economic recovery. Additionally, the pandemic could cause an increase in the number of our tenants experiencing financial distress and potentially bankruptcy. The pandemic is expected to adversely affect our operating cash flow and percentage rent. It is also possible that the pandemic could adversely affect our occupancy, increase our property-level expenses, and adversely affect our leasing efforts, and lead to potential impairments.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10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Shops at Sunset Place</w:t>
      </w:r>
    </w:p>
    <w:p>
      <w:pPr>
        <w:spacing w:after="0" w:line="121" w:lineRule="exact"/>
        <w:rPr>
          <w:sz w:val="20"/>
          <w:szCs w:val="20"/>
          <w:color w:val="auto"/>
        </w:rPr>
      </w:pPr>
    </w:p>
    <w:p>
      <w:pPr>
        <w:ind w:left="300" w:right="320"/>
        <w:spacing w:after="0" w:line="254" w:lineRule="auto"/>
        <w:rPr>
          <w:sz w:val="20"/>
          <w:szCs w:val="20"/>
          <w:color w:val="auto"/>
        </w:rPr>
      </w:pPr>
      <w:r>
        <w:rPr>
          <w:rFonts w:ascii="Times New Roman" w:cs="Times New Roman" w:eastAsia="Times New Roman" w:hAnsi="Times New Roman"/>
          <w:sz w:val="18"/>
          <w:szCs w:val="18"/>
          <w:color w:val="auto"/>
        </w:rPr>
        <w:t>On September 1, 2020, the non-recourse mortgage in the approximate amount of $61 million secured by The Shops at Sunset Place, located in South Miami, Florida and with a carrying amount of approximately $113.4 million (net of depreciation) as of June 30, 2020, matured. The partnership that owns this property, of which we own 90%, did not repay the mortgage and, as a result, the lender declared the loan in default. The partnership had been and continues to engage in negotiations with the lender. The default did not trigger a cross default with any of our other indebtedness. We are continuing to evaluate our long-term plans for the property, taking into account current market conditions and prospective development and redevelopment returns. We are also mindful of the impact of COVID-19 on the revenue prospects for the property, in light of its anchor system comprised primarily of entertainment and experiential tenants. That evaluation is currently in process. We are also reviewing the property for impairment. If we determine an impairment charge is necessary, this could have an adverse effect on our statement of comprehensive income in the period in which the charge is recognized.</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Federal Realty Investment Trust.</w:t>
            </w:r>
          </w:p>
        </w:tc>
      </w:tr>
      <w:tr>
        <w:trPr>
          <w:trHeight w:val="32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$400 million aggregate principal amount of 1.250% Notes due 2026.</w:t>
            </w:r>
          </w:p>
        </w:tc>
      </w:tr>
      <w:tr>
        <w:trPr>
          <w:trHeight w:val="32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Unless redeemed prior to maturity as described below, the notes will mature on February 15, 2026.</w:t>
            </w:r>
          </w:p>
        </w:tc>
      </w:tr>
      <w:tr>
        <w:trPr>
          <w:trHeight w:val="306"/>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 February 15 and August 15 of each year,</w:t>
            </w:r>
          </w:p>
        </w:tc>
      </w:tr>
      <w:tr>
        <w:trPr>
          <w:trHeight w:val="234"/>
        </w:trPr>
        <w:tc>
          <w:tcPr>
            <w:tcW w:w="248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beginning on February 15, 2021, and at maturity (or any earlier redemption date).</w:t>
            </w:r>
          </w:p>
        </w:tc>
      </w:tr>
      <w:tr>
        <w:trPr>
          <w:trHeight w:val="306"/>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unsecured and unsubordinated indebtedness. The notes will be effectively subordinated to the prior</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claims of each secured mortgage lender to any specific property that secures such lender’s mortgage and</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 all of the unsecured indebtedness of our subsidiaries. At June 30, 2020, we had outstanding</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approximately $553 million (excluding net unamortized premium and debt issuance costs) of</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consolidated secured indebtedness, which was issued by our subsidiaries and is collateralized by all or</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parts of 13 properties, and which will rank senior to the notes to the extent of the securing collateral and</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will also be structurally senior to the notes, approximately $4 million (excluding net unamortized debt</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issuance costs) of unsecured indebtedness issued by our subsidiaries, which will be structurally senior to</w:t>
            </w:r>
          </w:p>
        </w:tc>
      </w:tr>
      <w:tr>
        <w:trPr>
          <w:trHeight w:val="216"/>
        </w:trPr>
        <w:tc>
          <w:tcPr>
            <w:tcW w:w="248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notes, and approximately $3,919 million of unsecured indebtedness (excluding net unamortized</w:t>
            </w:r>
          </w:p>
        </w:tc>
      </w:tr>
      <w:tr>
        <w:trPr>
          <w:trHeight w:val="234"/>
        </w:trPr>
        <w:tc>
          <w:tcPr>
            <w:tcW w:w="248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discount or premium and debt issuance costs), which will rank equally with the notes.</w:t>
            </w:r>
          </w:p>
        </w:tc>
      </w:tr>
      <w:tr>
        <w:trPr>
          <w:trHeight w:val="240"/>
        </w:trPr>
        <w:tc>
          <w:tcPr>
            <w:tcW w:w="2480" w:type="dxa"/>
            <w:vAlign w:val="bottom"/>
            <w:tcBorders>
              <w:bottom w:val="single" w:sz="8" w:color="auto"/>
            </w:tcBorders>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p>
        </w:tc>
      </w:tr>
      <w:tr>
        <w:trPr>
          <w:trHeight w:val="604"/>
        </w:trPr>
        <w:tc>
          <w:tcPr>
            <w:tcW w:w="2480" w:type="dxa"/>
            <w:vAlign w:val="bottom"/>
          </w:tcPr>
          <w:p>
            <w:pPr>
              <w:spacing w:after="0"/>
              <w:rPr>
                <w:sz w:val="24"/>
                <w:szCs w:val="24"/>
                <w:color w:val="auto"/>
              </w:rPr>
            </w:pPr>
          </w:p>
        </w:tc>
        <w:tc>
          <w:tcPr>
            <w:tcW w:w="85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8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4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refinancing of recently completed and future Eligible Green Projects, as defined herein, in the United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States. Net proceeds allocated to previously incurred costs associated with Eligible Green Projects will be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available for repayment of indebtedness, which may include funding the redemptions, in whole or in part,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of our outstanding 2.55% Notes due 2021 and 3.00% Notes due 2022, or the repayment, in whole or in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part, of our unsecured term loan, or for general corporate purposes. Pending any such applications of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proceeds, we may invest the net proceeds in short-term income-producing investments or may use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proceeds to temporarily repay future amounts outstanding under our revolving credit facility. See</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“Use of Proceeds” on page S-9 of this prospectus supplement.</w:t>
            </w:r>
          </w:p>
        </w:tc>
      </w:tr>
      <w:tr>
        <w:trPr>
          <w:trHeight w:val="324"/>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Limitations on incurrence of debt</w:t>
            </w: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notes contain various covenants, including the following:</w:t>
            </w:r>
          </w:p>
        </w:tc>
      </w:tr>
      <w:tr>
        <w:trPr>
          <w:trHeight w:val="306"/>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 we will not, and will not permit any subsidiary to, incur any Debt if, immediately after giving effect to</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incurrence of such Debt and the application of the proceeds thereof, the aggregate principal amount of</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all of our and our subsidiaries’ outstanding Debt on a consolidated basis determined in accordance with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generally accepted accounting principles is greater than 60% of the sum of (without duplication) (a) Total</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Assets as of the end of the calendar quarter covered in our Annual Report on Form 10-K or Quarterly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Report on Form 10-Q, as the case may be, most recently filed with the SEC (or, if such filing is not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permitted under the Exchange Act, with U.S. Bank National Association, the trustee) prior to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incurrence of such additional Debt and (b) the purchase price of any real estate assets or mortgages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receivable acquired, and the amount of any securities offering proceeds received (to the extent such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proceeds were not used to acquire real estate assets or mortgages receivable or used to reduce Debt), by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us or any subsidiary since the end of such calendar quarter, including those proceeds obtained in</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connection with the incurrence of such additional Debt;</w:t>
            </w:r>
          </w:p>
        </w:tc>
      </w:tr>
      <w:tr>
        <w:trPr>
          <w:trHeight w:val="306"/>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 we will not, and will not permit any subsidiary to, incur any Debt secured by any mortgage, lien,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charge, pledge, encumbrance or security interest of any kind upon any of our or any of our subsidiaries’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property if, immediately after giving effect to the incurrence of such Debt and the application of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proceeds thereof, the aggregate principal amount of all of our and our subsidiaries’ outstanding Debt on a</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consolidated basis which is secured by any mortgage, lien, charge, pledge, encumbrance or security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on our or our subsidiaries’ property is greater than 40% of the sum of (without duplication)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 Total Assets as of the end of the calendar quarter covered in our Annual Report on Form 10-K or</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Quarterly Report on Form 10-Q, as the case may be, most recently filed with the SEC (or, if such filing is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 permitted under the Exchange Act, with the trustee) prior to the incurrence of such additional Debt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and (b) the purchase price of any real estate assets or mortgages receivable acquired, and the amount of</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any securities offering proceeds received (to the extent such proceeds were not used to acquire real estate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assets or mortgages receivable or used to reduce Debt), by us or any subsidiary since the end of such</w:t>
            </w:r>
          </w:p>
        </w:tc>
      </w:tr>
      <w:tr>
        <w:trPr>
          <w:trHeight w:val="214"/>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calendar quarter, including those proceeds obtained in connection with the incurrence of such additional</w:t>
            </w:r>
          </w:p>
        </w:tc>
      </w:tr>
      <w:tr>
        <w:trPr>
          <w:trHeight w:val="218"/>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 a liability on our consolidated balance sheet shall be deducted from Debt and from Total Assets;</w:t>
            </w:r>
          </w:p>
        </w:tc>
      </w:tr>
      <w:tr>
        <w:trPr>
          <w:trHeight w:val="240"/>
        </w:trPr>
        <w:tc>
          <w:tcPr>
            <w:tcW w:w="2880" w:type="dxa"/>
            <w:vAlign w:val="bottom"/>
            <w:tcBorders>
              <w:left w:val="single" w:sz="8" w:color="auto"/>
              <w:bottom w:val="single" w:sz="8" w:color="auto"/>
            </w:tcBorders>
          </w:tcPr>
          <w:p>
            <w:pPr>
              <w:spacing w:after="0"/>
              <w:rPr>
                <w:sz w:val="20"/>
                <w:szCs w:val="20"/>
                <w:color w:val="auto"/>
              </w:rPr>
            </w:pPr>
          </w:p>
        </w:tc>
        <w:tc>
          <w:tcPr>
            <w:tcW w:w="8140" w:type="dxa"/>
            <w:vAlign w:val="bottom"/>
            <w:tcBorders>
              <w:bottom w:val="single" w:sz="8" w:color="auto"/>
              <w:right w:val="single" w:sz="8" w:color="auto"/>
            </w:tcBorders>
          </w:tcPr>
          <w:p>
            <w:pPr>
              <w:spacing w:after="0"/>
              <w:rPr>
                <w:sz w:val="20"/>
                <w:szCs w:val="20"/>
                <w:color w:val="auto"/>
              </w:rPr>
            </w:pPr>
          </w:p>
        </w:tc>
      </w:tr>
      <w:tr>
        <w:trPr>
          <w:trHeight w:val="604"/>
        </w:trPr>
        <w:tc>
          <w:tcPr>
            <w:tcW w:w="2880" w:type="dxa"/>
            <w:vAlign w:val="bottom"/>
          </w:tcPr>
          <w:p>
            <w:pPr>
              <w:spacing w:after="0"/>
              <w:rPr>
                <w:sz w:val="24"/>
                <w:szCs w:val="24"/>
                <w:color w:val="auto"/>
              </w:rPr>
            </w:pPr>
          </w:p>
        </w:tc>
        <w:tc>
          <w:tcPr>
            <w:tcW w:w="81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68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 we will not, and will not permit any subsidiary to, incur any Debt if the ratio of Consolidated Income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Available for Debt Service to the Annual Debt Service Charge for the four consecutive fiscal quarters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most recently ended prior to the date on which such additional Debt is to be incurred shall have been less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than 1.5 to 1, on an unaudited pro forma basis after giving effect thereto and to the application of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proceeds therefrom and calculated on the assumption that: (a) such Debt and any other Debt incurred by</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us and our subsidiaries since the first day of such four-quarter period and the application of the proceeds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therefrom, including to refinance other Debt, had occurred at the beginning of such period; (b)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repayment or retirement of any other Debt by us and our subsidiaries since the first day of such four-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quarter period had been repaid or retired at the beginning of such period (except that, in making such</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computation, the amount of Debt under any revolving credit facility shall be computed based upon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average daily balance of such Debt during such period); (c) in the case of Acquired Debt or Debt incurred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connection with any acquisition since the first day of such four-quarter period, the related acquisition</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had occurred as of the first day of such period, with the appropriate adjustments with respect to such</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acquisition being included in such unaudited pro forma calculation; and (d) in the case of any acquisition</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 disposition by us or our subsidiaries of any asset or group of assets since the first day of such four-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quarter period, whether by merger, stock purchase or sale, or asset purchase or sale, such acquisition or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disposition or any related repayment of Debt had occurred as of the first day of such period, with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appropriate adjustments with respect to such acquisition or disposition being included in such unaudited</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 forma calculation; and</w:t>
            </w:r>
          </w:p>
        </w:tc>
      </w:tr>
      <w:tr>
        <w:trPr>
          <w:trHeight w:val="306"/>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 we, together with our subsidiaries, will maintain an Unencumbered Total Asset Value in an amount</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 less than 150% of the aggregate outstanding principal amount of all of our and our subsidiaries’</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unsecured Debt, taken as a whole.</w:t>
            </w:r>
          </w:p>
        </w:tc>
      </w:tr>
      <w:tr>
        <w:trPr>
          <w:trHeight w:val="306"/>
        </w:trPr>
        <w:tc>
          <w:tcPr>
            <w:tcW w:w="2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notes will be redeemable at any time at our option, in whole or in part. If the notes are redeemed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before January 15, 2026 (one month prior to the stated maturity date), the redemption price will be equal</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 the sum of (1) 100% of the principal amount of the notes being redeemed plus accrued and unpaid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interest thereon up to, but excluding, the redemption date, and (2) the Make-Whole Amount, as defined</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herein, if any, with respect to such notes.</w:t>
            </w:r>
          </w:p>
        </w:tc>
      </w:tr>
      <w:tr>
        <w:trPr>
          <w:trHeight w:val="31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the notes are redeemed on or after January 15, 2026 (one month prior to the maturity date),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redemption price will be equal to 100% of the principal amount of the notes being redeemed plus accrued</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unpaid interest thereon to, but excluding, the redemption date.</w:t>
            </w:r>
          </w:p>
        </w:tc>
      </w:tr>
      <w:tr>
        <w:trPr>
          <w:trHeight w:val="338"/>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See “Description of Notes — Optional Redemption” for more information.</w:t>
            </w:r>
          </w:p>
        </w:tc>
      </w:tr>
      <w:tr>
        <w:trPr>
          <w:trHeight w:val="306"/>
        </w:trPr>
        <w:tc>
          <w:tcPr>
            <w:tcW w:w="2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Material federal income tax</w:t>
            </w: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For a description of the material U.S. federal income tax considerations of an investment in the notes,</w:t>
            </w:r>
          </w:p>
        </w:tc>
      </w:tr>
      <w:tr>
        <w:trPr>
          <w:trHeight w:val="216"/>
        </w:trPr>
        <w:tc>
          <w:tcPr>
            <w:tcW w:w="2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considerations</w:t>
            </w: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please review the disclosure in this prospectus supplement under “Additional Material Federal Income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Tax Considerations” and in the accompanying prospectus under “Material Federal Income Tax</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240"/>
        </w:trPr>
        <w:tc>
          <w:tcPr>
            <w:tcW w:w="2680" w:type="dxa"/>
            <w:vAlign w:val="bottom"/>
            <w:tcBorders>
              <w:left w:val="single" w:sz="8" w:color="auto"/>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r>
      <w:tr>
        <w:trPr>
          <w:trHeight w:val="604"/>
        </w:trPr>
        <w:tc>
          <w:tcPr>
            <w:tcW w:w="2680" w:type="dxa"/>
            <w:vAlign w:val="bottom"/>
          </w:tcPr>
          <w:p>
            <w:pPr>
              <w:spacing w:after="0"/>
              <w:rPr>
                <w:sz w:val="24"/>
                <w:szCs w:val="24"/>
                <w:color w:val="auto"/>
              </w:rPr>
            </w:pPr>
          </w:p>
        </w:tc>
        <w:tc>
          <w:tcPr>
            <w:tcW w:w="83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1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92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Investing in the notes involves risks. Please review the risk factors discussed beginning on page S-6 of</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this prospectus supplement, in our Annual Report on Form 10-K for the year ended December 31, 2019,</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filed with the SEC on February 10, 2020, and in our Quarterly Report on Form 10-Q for the quarter ended</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June 30, 2020, filed with the SEC on August 5, 2020, and the other information contained or incorporated</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by reference in this prospectus supplement and the accompanying prospectus for a discussion of factors</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you should consider before deciding to invest in the notes. You may obtain a copy of our Annual Report</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on Form 10-K and the other documents incorporated by reference in this prospectus supplement and the</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accompanying prospectus by following the procedures described under “Where You Can Find More</w:t>
            </w:r>
          </w:p>
        </w:tc>
      </w:tr>
      <w:tr>
        <w:trPr>
          <w:trHeight w:val="234"/>
        </w:trPr>
        <w:tc>
          <w:tcPr>
            <w:tcW w:w="210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Information” on page 51 of the accompanying prospectus.</w:t>
            </w:r>
          </w:p>
        </w:tc>
      </w:tr>
      <w:tr>
        <w:trPr>
          <w:trHeight w:val="240"/>
        </w:trPr>
        <w:tc>
          <w:tcPr>
            <w:tcW w:w="2100" w:type="dxa"/>
            <w:vAlign w:val="bottom"/>
            <w:tcBorders>
              <w:left w:val="single" w:sz="8" w:color="auto"/>
              <w:bottom w:val="single" w:sz="8" w:color="auto"/>
            </w:tcBorders>
          </w:tcPr>
          <w:p>
            <w:pPr>
              <w:spacing w:after="0"/>
              <w:rPr>
                <w:sz w:val="20"/>
                <w:szCs w:val="20"/>
                <w:color w:val="auto"/>
              </w:rPr>
            </w:pPr>
          </w:p>
        </w:tc>
        <w:tc>
          <w:tcPr>
            <w:tcW w:w="8920" w:type="dxa"/>
            <w:vAlign w:val="bottom"/>
            <w:tcBorders>
              <w:bottom w:val="single" w:sz="8" w:color="auto"/>
              <w:right w:val="single" w:sz="8" w:color="auto"/>
            </w:tcBorders>
          </w:tcPr>
          <w:p>
            <w:pPr>
              <w:spacing w:after="0"/>
              <w:rPr>
                <w:sz w:val="20"/>
                <w:szCs w:val="20"/>
                <w:color w:val="auto"/>
              </w:rPr>
            </w:pPr>
          </w:p>
        </w:tc>
      </w:tr>
      <w:tr>
        <w:trPr>
          <w:trHeight w:val="604"/>
        </w:trPr>
        <w:tc>
          <w:tcPr>
            <w:tcW w:w="2100" w:type="dxa"/>
            <w:vAlign w:val="bottom"/>
          </w:tcPr>
          <w:p>
            <w:pPr>
              <w:spacing w:after="0"/>
              <w:rPr>
                <w:sz w:val="24"/>
                <w:szCs w:val="24"/>
                <w:color w:val="auto"/>
              </w:rPr>
            </w:pPr>
          </w:p>
        </w:tc>
        <w:tc>
          <w:tcPr>
            <w:tcW w:w="89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 investment in the notes involves a significant degree of risk. You should carefully consider the following risk factors, together with all of the other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contained in or incorporated by reference in this prospectus supplement, including the risk factors included in our Annual Report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10-K for the year ended December 31, 2019, filed with the SEC on February 10, 2020, and in our Quarterly Report on Form 10-Q for the quarter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ended June 30, 2020, filed with the SEC on August 5, 2020, before you decide to purchase the notes. The risks and uncertainties described below and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incorporated Annual Report for the year ended December 31, 2019 and Quarterly Report for the quarter ended June 30, 2020 are not the only risks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may confront. Additional risks and uncertainties not currently known to us or that we currently deem immaterial also may impair our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operations. If any of those risks actually occur, our financial condition, operating results, liquidity and prospects could be materially adversely affected.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This section contains forward-looking statements.</w:t>
      </w:r>
    </w:p>
    <w:p>
      <w:pPr>
        <w:spacing w:after="0" w:line="31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COVID-19 pandemic and measures instituted by governments, businesses and households to limit its spread could have a material adverse effect on our business, results of operations, cash flows, liquidity, financial condition and growth prospects, which could adversely affect our ability to service our debt, including the notes.</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novel coronavirus disease (“COVID-19”) as a pandemic. The spread of COVID-19 and measures instituted by governments as well as personal choices intended to prevent its spread, including stay-at-home orders, mandatory business closures and continued limitations on business operations, could inhibit global, national and local economic activity; adversely affect trading activity in securities markets, which could negatively impact the trading prices of our common shares and debt securities, including the notes,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including the notes; temporarily or permanently reduce the demand for retail and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We expect these and other factors to have an adverse effect on our business, results of operations, cash flows, liquidity, financial condition and growth prospects, but the full extent is highly uncertain and will ultimately depend on future developments, none of which can be predicted with any certainty. Any such adverse effects may make it more difficult for us to meet our obligations under the notes. For more information, see “Impacts of COVID-19 Pandemic” under Part I, Item 2 – Management’s Discussion and Analysis of Financial Condition and Results of Operations” – in our Quarterly Report on Form 10-Q for the quarter ended June 30, 2020, which is incorporated by reference into this prospectus supplement.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2020, our consolidated subsidiaries had approximately $557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2020, we had approximately $553 million (excluding net unamortized premium and debt issuance costs) of consolidated secured debt outstanding, all of which was effectively senior to the notes to the extent of the value of the securing collateral.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26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are not contractually committed to allocate the net proceeds from this offering to Eligible Green Projects, and our failure to do so could adversely impact the value of the notes.</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market price of the notes may also be impacted by any failure by us to allocate the net proceeds from this offering to Eligible Green Projects, as defined herein, or to meet or continue to meet the investment requirements of certain environmentally focused investors with respect to the notes. Although we intend to allocate all of the net proceeds from this offering to Eligible Green Projects as described herein under “Use of Proceeds,” it will not be an event of default under the indenture governing the notes if we fail to do 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color w:val="auto"/>
        </w:rPr>
        <w:t>We may use or allocate the net proceeds from this offering in ways with which you may not agree, and the notes may not be a suitable investment for all investors seeking exposure to green assets.</w:t>
      </w:r>
    </w:p>
    <w:p>
      <w:pPr>
        <w:spacing w:after="0" w:line="51"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We intend to allocate an amount equal to the net proceeds from this offering to the financing and refinancing of recently completed and future Eligible Green Projects, as defined herein, in the United States. Pending such allocation, we may invest the net proceeds in short-term income-producing investments or may use the net proceeds to temporarily repay future amounts outstanding under our revolving credit facility. Net proceeds allocated to previously incurred costs associated with Eligible Green Projects will be available for repayment of debt or other uses. We will retain broad discretion over the use or allocation of the net proceeds from this offering and you may not agree with the ultimate use or allocation of these net proceeds.</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cannot assure you that the projects funded with the net proceeds from this offering will satisfy investor criteria and expectations regarding environmental impact and sustainability performance. In particular, no assurance is given that the use or allocation of such proceeds for any Eligible Green Projects will satisfy, in whole or in part, any present or future investor expectations or requirements regarding any investment criteria or guidelines with which such investor or its investments are required to comply, whether by any present or future applicable laws or regulations or by its own bylaws or other governing rules or investment portfolio mandates (in particular with regard to any direct or indirect environmental, sustainability or social impact of any projects or uses). Adverse environmental or social impacts may occur during the design, construction and operation of the applicable projects, or the projects may become controversial or criticized by activist groups or other stakeholders. In addition, although we intend to limit the use or allocation of the net proceeds from this offering to Eligible Green Projects, there can be no assurance that one or more development, redevelopment or tenant improvement projects that we expect will receive a LEED certification will actually receive such certification.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net proceeds to us from the issuance and sale of the notes are estimated to be approximately $394.2 million after deducting the underwriting discount and other estimated expenses of this offering payable by us. We intend to allocate an amount equal to the net proceeds from this offering to the financing and refinancing of recently completed and future Eligible Green Projects, as defined herein, in the United States. Net proceeds allocated to previously incurred costs associated with Eligible Green Projects will be available for repayment of indebtedness, which may include funding the redemption, in whole or in part, of our outstanding 2.55% Notes due 2021 and 3.00% Notes due 2022, or the repayment, in whole or in part, of our unsecured term loan, or for general corporate purposes. Pending any such applications of the net proceeds, we may invest the net proceeds in short-term income-producing investments or may use the net proceeds to temporarily repay future amounts outstanding under our revolving credit facility.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“Eligible Green Projects”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“Eligible Green Projects” means: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Silver, Gold or Platinum certification (or environmentally equivalent successor standards).</w:t>
      </w:r>
    </w:p>
    <w:p>
      <w:pPr>
        <w:spacing w:after="0" w:line="176" w:lineRule="exact"/>
        <w:rPr>
          <w:sz w:val="20"/>
          <w:szCs w:val="20"/>
          <w:color w:val="auto"/>
        </w:rPr>
      </w:pPr>
    </w:p>
    <w:p>
      <w:pPr>
        <w:ind w:left="120" w:right="300"/>
        <w:spacing w:after="0" w:line="272" w:lineRule="auto"/>
        <w:rPr>
          <w:sz w:val="20"/>
          <w:szCs w:val="20"/>
          <w:color w:val="auto"/>
        </w:rPr>
      </w:pPr>
      <w:r>
        <w:rPr>
          <w:rFonts w:ascii="Times New Roman" w:cs="Times New Roman" w:eastAsia="Times New Roman" w:hAnsi="Times New Roman"/>
          <w:sz w:val="17"/>
          <w:szCs w:val="17"/>
          <w:color w:val="auto"/>
        </w:rPr>
        <w:t>Leadership in Energy and Environmental Design (“LEED”) is a voluntary, third-party building certification process developed by the U.S. Green Building Council (“USGBC”), a non-profit organization. The USGBC developed the LEED certification process to (i) evaluate the environmental performance from a whole-building perspective over a building’s life cycle, (ii) provide a definitive standard for what constitutes a “green building,”</w:t>
      </w:r>
    </w:p>
    <w:p>
      <w:pPr>
        <w:spacing w:after="0" w:line="2" w:lineRule="exact"/>
        <w:rPr>
          <w:sz w:val="20"/>
          <w:szCs w:val="20"/>
          <w:color w:val="auto"/>
        </w:rPr>
      </w:pPr>
    </w:p>
    <w:p>
      <w:pPr>
        <w:ind w:left="120" w:right="160" w:hanging="4"/>
        <w:spacing w:after="0" w:line="255"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 environmental awareness among architects and building contractors and (iv) encourage the design and construction of energy-efficient, water-conserving buildings that use sustainable or green resources and materials. (Please see </w:t>
      </w:r>
      <w:r>
        <w:rPr>
          <w:rFonts w:ascii="Times New Roman" w:cs="Times New Roman" w:eastAsia="Times New Roman" w:hAnsi="Times New Roman"/>
          <w:sz w:val="18"/>
          <w:szCs w:val="18"/>
          <w:u w:val="single" w:color="auto"/>
          <w:color w:val="auto"/>
        </w:rPr>
        <w:t>www.usgbc.org</w:t>
      </w:r>
      <w:r>
        <w:rPr>
          <w:rFonts w:ascii="Times New Roman" w:cs="Times New Roman" w:eastAsia="Times New Roman" w:hAnsi="Times New Roman"/>
          <w:sz w:val="18"/>
          <w:szCs w:val="18"/>
          <w:color w:val="auto"/>
        </w:rPr>
        <w:t xml:space="preserve"> for more information; the contents of this website are not incorporated by reference herein or otherwise a part of this prospectus supplement).</w:t>
      </w:r>
    </w:p>
    <w:p>
      <w:pPr>
        <w:spacing w:after="0" w:line="18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Including amounts that we currently expect to invest on buildings in progress, we estimate that our approximate investment in buildings that have received, or are expected to receive upon completion, LEED certification since 2018 is between $1.4 billion and $1.6 billion.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Project Evaluation and Selection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To determine the allocation of net proceeds from this offering to Eligible Green Projects, our sustainability department will make recommendations to our Chief Financial Officer, and our Chief Financial Officer will make the final determination as to which Eligible Green Projects will be allocated a portion of the net proceeds from this offering and the portion of the net proceeds to be allocated to each Eligible Green Project selected. We intend to prioritize allocation to LEED Gold or higher certified investments; however, we reserve the right to allocate to LEED Silver certified investments.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 of the Notes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and refinancing of recently completed and future Eligible Green Projects. As long as the notes are outstanding, our internal records will show the allocation of the portion of the amount equal to the net proceeds from this offering to Eligible Green Projects.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Pending such allocation, we may invest the net proceeds in short-term income-producing investments or may use the net proceeds to temporarily repay future amounts outstanding under our revolving credit facility. Net proceeds allocated to previously incurred costs associated with Eligible Green Projects will be available for repayment of debt or other uses.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Payment of principal of and interest on the notes will be made from our general funds and will not be directly linked to the performance of any Eligible Green Projects.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During the term of the notes, until such time as an amount equal to the net proceeds from this offering have been fully allocated to Eligible Green Projects, we will publish annual updates in a report on our website detailing, at a minimum, the allocation of the net proceeds from this offering to specific Eligible Green Projects, together with the total square footage achieving each level of LEED certification. Our updates will be accompanied by</w:t>
      </w:r>
    </w:p>
    <w:p>
      <w:pPr>
        <w:spacing w:after="0" w:line="2" w:lineRule="exact"/>
        <w:rPr>
          <w:sz w:val="20"/>
          <w:szCs w:val="20"/>
          <w:color w:val="auto"/>
        </w:rPr>
      </w:pPr>
    </w:p>
    <w:p>
      <w:pPr>
        <w:ind w:left="120" w:right="200" w:hanging="4"/>
        <w:spacing w:after="0" w:line="271" w:lineRule="auto"/>
        <w:tabs>
          <w:tab w:leader="none" w:pos="3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assertion by management that the net proceeds from this offering were invested in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 Please note that the information and materials found on our website, except for our Securities and Exchange Commission filings expressly described under “Where You Can Find More Information” in the accompanying prospectus, are not part of this prospectus supplement or the accompanying prospectus and are not incorporated by reference herein or therein.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2.55% Notes due 2021</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September 30, 2020, 2.55% Notes due 2021 with an aggregate principal amount of $250 million were outstanding. The 2.55% Notes due 2021 are scheduled to mature on January 15,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3.00% Notes due 2022</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of September 30, 2020, 3.00% Notes due 2022 with an aggregate principal amount of $250 million were outstanding. The 3.00% Notes due 2022 are scheduled to mature on August 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Unsecured Term Loan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$400 million unsecured term loan is governed by a term loan agreement entered into as of May 6, 2020 and matures on May 6, 2021, subject to one 12-month extension at our option. As of September 30, 2020, our unsecured term loan accrued interest at a rate of LIBOR plus 1.35%. The proceeds of the unsecured term loan were used to reduce amounts outstanding under our revolving credit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Revolving Credit Facility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June 30, 2020 and October 7, 2020, there was no outstanding balance under our revolving credit facility.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Affiliates of certain of the underwriters are lenders under our revolving credit facility and unsecured term loan and/or may be beneficial owners of some of our 2.55% Notes due 2021 and/or 3.00% Notes due 2022. Any such affiliates will receive a pro rata portion of the net proceeds used to repay amounts outstanding under our revolving credit facility and unsecured term loan and/or to redeem our 2.55% Notes due 2021 and 3.00% Notes due 2022. See “Underwriting (Conflicts of Interest) — Conflicts of Interest.”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are offering $400 million of our 1.250% notes maturing on February 15, 2026, which may be redeemed prior to such date in accordance with their terms.</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will pay interest on the notes semi-annually in arrears at an annual rate of 1.250% on February 15 and August 15 of each year, beginning February 15, 2021, to the registered holders of the notes on the preceding February 1 and August 1. Interest will be computed and paid on the basis of</w:t>
      </w:r>
    </w:p>
    <w:p>
      <w:pPr>
        <w:ind w:left="120"/>
        <w:spacing w:after="0" w:line="255" w:lineRule="auto"/>
        <w:rPr>
          <w:sz w:val="20"/>
          <w:szCs w:val="20"/>
          <w:color w:val="auto"/>
        </w:rPr>
      </w:pPr>
      <w:r>
        <w:rPr>
          <w:rFonts w:ascii="Times New Roman" w:cs="Times New Roman" w:eastAsia="Times New Roman" w:hAnsi="Times New Roman"/>
          <w:sz w:val="18"/>
          <w:szCs w:val="18"/>
          <w:color w:val="auto"/>
        </w:rPr>
        <w:t>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defeasance and covenant defeasance provisions of the indenture apply to the notes. The notes will not be entitled to the benefit of any sinking fund.</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notes will be our senior unsecured obligations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June 30, 2020, we had outstanding approximately $553 million (excluding net unamortized premium and debt issuance costs) of consolidated secured indebtedness, which was issued by our subsidiaries and is collateralized by all or parts of 13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$3,919 million of unsecured indebtedness (excluding net unamortized premium or discount and debt issuance costs), which will rank equally with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notes will be redeemable at any time at our option, in whole or in part. If the notes are redeemed before January 15, 2026 (one month prior to the stated maturity date) (the “Par Call Date”), the redemption price will be equal to the sum of (1) 100% of the principal amount of the notes being redeemed plus accrued and unpaid interest thereon up to, but excluding, the redemption date, and (2) the Make-Whole Amount, if any, with respect to such notes. If the notes are redeemed on or after the Par Call Date, the redemption price will be equal to 100% of the principal amount of the notes being redeemed plus accrued and unpaid interest thereon to, but excluding, the redemption date.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Amount</w:t>
      </w:r>
      <w:r>
        <w:rPr>
          <w:rFonts w:ascii="Times New Roman" w:cs="Times New Roman" w:eastAsia="Times New Roman" w:hAnsi="Times New Roman"/>
          <w:sz w:val="18"/>
          <w:szCs w:val="18"/>
          <w:color w:val="auto"/>
        </w:rPr>
        <w:t>” means, in connection with any optional redemption of the notes, the excess, if any, of:</w:t>
      </w:r>
    </w:p>
    <w:p>
      <w:pPr>
        <w:spacing w:after="0" w:line="133" w:lineRule="exact"/>
        <w:rPr>
          <w:sz w:val="20"/>
          <w:szCs w:val="20"/>
          <w:color w:val="auto"/>
        </w:rPr>
      </w:pPr>
    </w:p>
    <w:p>
      <w:pPr>
        <w:ind w:left="1080" w:right="14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present value as of the redemption date of each dollar of principal being redeemed and the amount of interest, calculated by us, excluding interest accrued to the redemption date, that would have been payable in respect of such dollar if such redemption had been made on the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Par Call Date, over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being redeemed.</w:t>
      </w:r>
    </w:p>
    <w:p>
      <w:pPr>
        <w:spacing w:after="0" w:line="22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Reinvestment Rate</w:t>
      </w:r>
      <w:r>
        <w:rPr>
          <w:rFonts w:ascii="Times New Roman" w:cs="Times New Roman" w:eastAsia="Times New Roman" w:hAnsi="Times New Roman"/>
          <w:sz w:val="18"/>
          <w:szCs w:val="18"/>
          <w:color w:val="auto"/>
        </w:rPr>
        <w:t>” means a rate per annum equal to the sum of twenty basis points (0.20%)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we reasonably determine.</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Statistical Release</w:t>
      </w:r>
      <w:r>
        <w:rPr>
          <w:rFonts w:ascii="Times New Roman" w:cs="Times New Roman" w:eastAsia="Times New Roman" w:hAnsi="Times New Roman"/>
          <w:sz w:val="18"/>
          <w:szCs w:val="18"/>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shall be designated by us.</w:t>
      </w:r>
    </w:p>
    <w:p>
      <w:pPr>
        <w:spacing w:after="0" w:line="18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Limitations on Incurrence of Debt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notes will provide that we will not, and will not permit any subsidiary to, incur any Debt if, immediately after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w:t>
      </w:r>
    </w:p>
    <w:p>
      <w:pPr>
        <w:jc w:val="both"/>
        <w:ind w:left="120"/>
        <w:spacing w:after="0" w:line="273" w:lineRule="auto"/>
        <w:rPr>
          <w:sz w:val="20"/>
          <w:szCs w:val="20"/>
          <w:color w:val="auto"/>
        </w:rPr>
      </w:pPr>
      <w:r>
        <w:rPr>
          <w:rFonts w:ascii="Times New Roman" w:cs="Times New Roman" w:eastAsia="Times New Roman" w:hAnsi="Times New Roman"/>
          <w:sz w:val="17"/>
          <w:szCs w:val="17"/>
          <w:color w:val="auto"/>
        </w:rPr>
        <w:t>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3"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of Unencumbered Total Asset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together with our subsidiaries, will at all times maintain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Unencumbered Total Asset Value in an amount not less than 150% of the aggregate outstanding principal amount of all our and our subsidiaries’ unsecured Debt, taken as a whole.</w:t>
      </w:r>
    </w:p>
    <w:p>
      <w:pPr>
        <w:spacing w:after="0" w:line="171" w:lineRule="exact"/>
        <w:rPr>
          <w:sz w:val="20"/>
          <w:szCs w:val="20"/>
          <w:color w:val="auto"/>
        </w:rPr>
      </w:pPr>
    </w:p>
    <w:p>
      <w:pPr>
        <w:ind w:left="120" w:right="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notes will provide that we will, and will cause each of our subsidiaries to, maintain insurance with financially sound and reputable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amended and restated credit agreement dated as of July 25, 2019,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0"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58"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1" w:lineRule="exact"/>
        <w:rPr>
          <w:sz w:val="20"/>
          <w:szCs w:val="20"/>
          <w:color w:val="auto"/>
        </w:rPr>
      </w:pPr>
    </w:p>
    <w:p>
      <w:pPr>
        <w:ind w:left="120" w:hanging="4"/>
        <w:spacing w:after="0" w:line="268" w:lineRule="auto"/>
        <w:tabs>
          <w:tab w:leader="none" w:pos="3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5"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Disqualified Stock</w:t>
      </w:r>
      <w:r>
        <w:rPr>
          <w:rFonts w:ascii="Times New Roman" w:cs="Times New Roman" w:eastAsia="Times New Roman" w:hAnsi="Times New Roman"/>
          <w:sz w:val="17"/>
          <w:szCs w:val="17"/>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64"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58" w:lineRule="exact"/>
        <w:rPr>
          <w:sz w:val="20"/>
          <w:szCs w:val="20"/>
          <w:color w:val="auto"/>
        </w:rPr>
      </w:pPr>
    </w:p>
    <w:p>
      <w:pPr>
        <w:ind w:left="120"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58"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73"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“Unencumbered Total Asset Value” </w:t>
      </w:r>
      <w:r>
        <w:rPr>
          <w:rFonts w:ascii="Times New Roman" w:cs="Times New Roman" w:eastAsia="Times New Roman" w:hAnsi="Times New Roman"/>
          <w:sz w:val="17"/>
          <w:szCs w:val="17"/>
          <w:color w:val="auto"/>
        </w:rPr>
        <w:t>as of any date means the sum of (a) those Undepreciated Real Estate Assets not encumbered by any mortgage, lien,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“Description of Debt Securities — Certain Covenants” in the accompanying prospectus for a description of additional covenants applicable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subject to the following events of default:</w:t>
      </w:r>
    </w:p>
    <w:p>
      <w:pPr>
        <w:spacing w:after="0" w:line="117" w:lineRule="exact"/>
        <w:rPr>
          <w:sz w:val="20"/>
          <w:szCs w:val="20"/>
          <w:color w:val="auto"/>
        </w:rPr>
      </w:pPr>
    </w:p>
    <w:p>
      <w:pPr>
        <w:ind w:left="120" w:right="240" w:hanging="4"/>
        <w:spacing w:after="0" w:line="282" w:lineRule="auto"/>
        <w:tabs>
          <w:tab w:leader="none" w:pos="2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3" w:lineRule="exact"/>
        <w:rPr>
          <w:rFonts w:ascii="Times New Roman" w:cs="Times New Roman" w:eastAsia="Times New Roman" w:hAnsi="Times New Roman"/>
          <w:sz w:val="18"/>
          <w:szCs w:val="18"/>
          <w:color w:val="auto"/>
        </w:rPr>
      </w:pPr>
    </w:p>
    <w:p>
      <w:pPr>
        <w:ind w:left="120" w:right="360" w:hanging="4"/>
        <w:spacing w:after="0" w:line="282"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117" w:lineRule="exact"/>
        <w:rPr>
          <w:rFonts w:ascii="Times New Roman" w:cs="Times New Roman" w:eastAsia="Times New Roman" w:hAnsi="Times New Roman"/>
          <w:sz w:val="18"/>
          <w:szCs w:val="18"/>
          <w:color w:val="auto"/>
        </w:rPr>
      </w:pPr>
    </w:p>
    <w:p>
      <w:pPr>
        <w:ind w:left="120" w:hanging="4"/>
        <w:spacing w:after="0" w:line="26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68" w:lineRule="exact"/>
        <w:rPr>
          <w:sz w:val="20"/>
          <w:szCs w:val="20"/>
          <w:color w:val="auto"/>
        </w:rPr>
      </w:pPr>
    </w:p>
    <w:p>
      <w:pPr>
        <w:ind w:left="360" w:hanging="2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120" w:right="40" w:hanging="4"/>
        <w:spacing w:after="0" w:line="254" w:lineRule="auto"/>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8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117" w:lineRule="exact"/>
        <w:rPr>
          <w:sz w:val="20"/>
          <w:szCs w:val="20"/>
          <w:color w:val="auto"/>
        </w:rPr>
      </w:pPr>
    </w:p>
    <w:p>
      <w:pPr>
        <w:ind w:left="120" w:right="240" w:hanging="4"/>
        <w:spacing w:after="0" w:line="282"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53"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11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88"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3" w:lineRule="exact"/>
        <w:rPr>
          <w:sz w:val="20"/>
          <w:szCs w:val="20"/>
          <w:color w:val="auto"/>
        </w:rPr>
      </w:pPr>
    </w:p>
    <w:p>
      <w:pPr>
        <w:ind w:left="120" w:right="60" w:hanging="4"/>
        <w:spacing w:after="0" w:line="253"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62"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United States persons within the meaning of Section 7701(a)(30) of the Code (“United States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95" w:lineRule="exact"/>
        <w:rPr>
          <w:sz w:val="20"/>
          <w:szCs w:val="20"/>
          <w:color w:val="auto"/>
        </w:rPr>
      </w:pPr>
    </w:p>
    <w:p>
      <w:pPr>
        <w:ind w:left="120" w:right="640"/>
        <w:spacing w:after="0" w:line="317"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Proposed and Enacted Legislation and IRS Guidance Affecting Taxation of Our Company</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 </w:t>
      </w:r>
      <w:r>
        <w:rPr>
          <w:rFonts w:ascii="Times New Roman" w:cs="Times New Roman" w:eastAsia="Times New Roman" w:hAnsi="Times New Roman"/>
          <w:sz w:val="18"/>
          <w:szCs w:val="18"/>
          <w:color w:val="auto"/>
        </w:rPr>
        <w:t>We may satisfy the 90% distribution requirement with taxable distributions of our stock or debt securities. The IRS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stockholder, are paid partly in cash and partly in stock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On May 4, 2020, the IRS issued another revenue procedure, which temporarily reduces (through the end of 2020) the minimum amount of the distribution that must be available in cash to 10%. We have no current intention to make such an elective cash/stock distribution or a distribution of debt securities, but in the event of an elective cash/stock distribution we expect to structure it so as to comply with the applicable revenue procedures. If we were to choose to make a cash/stock distribution, stockholders may be required to pay tax in excess of the cash that they receive or may be subject to withholding taxes, including with respect to all or a portion of such dividend that is payable in stock.</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stockholders. Revisions to tax laws and interpretations of these laws could adversely affect our ability to qualify and be taxed as a REIT, as well as the tax or other consequences of an investment in our common or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“Non-U.S. Holder” means any beneficial owner of a note that is neither a U.S. Holder nor an entity or arrangement treated as a partnership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Stated 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stated interest payable on the notes as ordinary income when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accrued in accordance with the U.S. Holder’s regular method of tax accounting to the extent such interest is “qualified stated interest.” In general, stated interest is qualified stated interest if it is unconditionally payable in cash at least annually at a single fixed rate or one or more qualified floating rates. The stated interest on the notes will be qualified stated interest.</w:t>
      </w:r>
    </w:p>
    <w:p>
      <w:pPr>
        <w:spacing w:after="0" w:line="176" w:lineRule="exact"/>
        <w:rPr>
          <w:sz w:val="20"/>
          <w:szCs w:val="20"/>
          <w:color w:val="auto"/>
        </w:rPr>
      </w:pPr>
    </w:p>
    <w:p>
      <w:pPr>
        <w:ind w:left="12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OID and Issue Price of the Notes. </w:t>
      </w:r>
      <w:r>
        <w:rPr>
          <w:rFonts w:ascii="Times New Roman" w:cs="Times New Roman" w:eastAsia="Times New Roman" w:hAnsi="Times New Roman"/>
          <w:sz w:val="18"/>
          <w:szCs w:val="18"/>
          <w:color w:val="auto"/>
        </w:rPr>
        <w:t>A debt instrument generally has original issue discount, or OID, if its “stated redemption price at maturity”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its “issue price” by an amount that is equal to or greater than a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It is expected, and this discussion assumes, that the issue price of the notes will not be less than the stated principal amount of the notes by an amount that is equal to or greater than the statutory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U.S. Holders should consult their tax advisors regarding the determination of the issue price of the notes and the possible application of the OID rules.</w:t>
      </w:r>
    </w:p>
    <w:p>
      <w:pPr>
        <w:spacing w:after="0" w:line="17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Unless a non-recognition provision applies, upon the sale,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Unearned Income Medicare Contribution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U.S. Holders that are individuals, estates or trusts are subject to a 3.8% Medicare tax on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76" w:lineRule="exact"/>
        <w:rPr>
          <w:sz w:val="20"/>
          <w:szCs w:val="20"/>
          <w:color w:val="auto"/>
        </w:rPr>
      </w:pPr>
    </w:p>
    <w:p>
      <w:pPr>
        <w:ind w:left="12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Holders Holding Notes Through Foreign Accounts or Intermediaries. </w:t>
      </w:r>
      <w:r>
        <w:rPr>
          <w:rFonts w:ascii="Times New Roman" w:cs="Times New Roman" w:eastAsia="Times New Roman" w:hAnsi="Times New Roman"/>
          <w:sz w:val="18"/>
          <w:szCs w:val="18"/>
          <w:color w:val="auto"/>
        </w:rPr>
        <w:t>U.S. Holders holding their notes through foreign accounts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intermediaries should refer to “— Non-U.S. Holders — FATCA Regime” below.</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will apply to a U.S. Holder (other than an “exempt recipient,”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corporation and certain other persons who, when required, demonstrate their exempt status) with respect to:</w:t>
      </w:r>
    </w:p>
    <w:p>
      <w:pPr>
        <w:spacing w:after="0" w:line="6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of principal of, premium, if any, and interest on,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proceeds of a sale or other disposition of the notes.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72" w:lineRule="exact"/>
        <w:rPr>
          <w:sz w:val="20"/>
          <w:szCs w:val="20"/>
          <w:color w:val="auto"/>
        </w:rPr>
      </w:pPr>
    </w:p>
    <w:p>
      <w:pPr>
        <w:ind w:left="120"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on the Notes. </w:t>
      </w:r>
      <w:r>
        <w:rPr>
          <w:rFonts w:ascii="Times New Roman" w:cs="Times New Roman" w:eastAsia="Times New Roman" w:hAnsi="Times New Roman"/>
          <w:sz w:val="17"/>
          <w:szCs w:val="17"/>
          <w:color w:val="auto"/>
        </w:rPr>
        <w:t>Subject to the rules described below under “— Information Reporting and Backup Withholding” and “— FATCA Regime,”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Non-U.S. Holder generally will not be subject to U.S. federal income or withholding tax on payments of interest on a note, provided that:</w:t>
      </w:r>
    </w:p>
    <w:p>
      <w:pPr>
        <w:spacing w:after="0" w:line="4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indirect or constructive owner of 10% or more of our voting stock;</w:t>
      </w:r>
    </w:p>
    <w:p>
      <w:pPr>
        <w:spacing w:after="0" w:line="130" w:lineRule="exact"/>
        <w:rPr>
          <w:rFonts w:ascii="Times New Roman" w:cs="Times New Roman" w:eastAsia="Times New Roman" w:hAnsi="Times New Roman"/>
          <w:sz w:val="18"/>
          <w:szCs w:val="18"/>
          <w:color w:val="auto"/>
        </w:rPr>
      </w:pPr>
    </w:p>
    <w:p>
      <w:pPr>
        <w:ind w:left="5460" w:right="4280" w:hanging="4251"/>
        <w:spacing w:after="0" w:line="454" w:lineRule="auto"/>
        <w:tabs>
          <w:tab w:leader="none" w:pos="153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to us through stock ownership; or 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whose receipt of interest on a note is pursuant to a loan agreement entered into in the ordinary course of business;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 Non-U.S. Holder that is not exempt from tax under these rules generally will be subject to U.S. federal income tax withholding at a rate of 30%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entitled to the benefits of an applicable income tax treaty, which provides for a lower rate of, or exemption from, withholding tax.</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federal income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8"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Redemption, or Other Taxable Disposition of the Notes. </w:t>
      </w:r>
      <w:r>
        <w:rPr>
          <w:rFonts w:ascii="Times New Roman" w:cs="Times New Roman" w:eastAsia="Times New Roman" w:hAnsi="Times New Roman"/>
          <w:sz w:val="18"/>
          <w:szCs w:val="18"/>
          <w:color w:val="auto"/>
        </w:rPr>
        <w:t>Subject to the rules described below under “— Information Reporting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0" w:lineRule="exact"/>
        <w:rPr>
          <w:sz w:val="20"/>
          <w:szCs w:val="20"/>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Payments to a Non-U.S. Holder of interest on a note generally will be reported to the IRS and to</w:t>
      </w:r>
    </w:p>
    <w:p>
      <w:pPr>
        <w:spacing w:after="0" w:line="3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United States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United States person or that the conditions of any other exemption are not, in fact, satisfied.</w:t>
      </w:r>
    </w:p>
    <w:p>
      <w:pPr>
        <w:spacing w:after="0" w:line="19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federal income tax purposes;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if at any time during its tax year more than 50% of its income or capital interest are held by United States persons or if it is engaged in the conduct of a trade or business in the United States;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branch of a foreign bank or insurance company that is treated as a United States person;</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FATCA Regime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sections 1471 through 1474 of the Code, Treasury regulations and related guidance (commonly referred to as “FATCA”), a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Proposed Treasury regulations would, when finalized, eliminate FATCA withholding on the gross proceeds from a sale or other disposition of instruments, such as the notes, that produce U.S. source interest.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provides the withholding agent with a certification as to its FATCA status and, in certain cases, identifies any “substantial” U.S. owner (generally, any specified United States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for whom BofA Securities, Inc., Deutsche Bank Securities Inc., J.P. Morgan Securities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6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operating performance and financial condition, general economic conditions and other factors.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the expenses of this offering payable by us, excluding the underwriting discount, will be approximately $750,000.</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0.350% of the principal amount of the notes. The underwriters may allow, and the dealers may reallow, a discount not in excess of 0.250% of the principal amount of the notes on sales to other dealers. After the initial offering, the public offering price and concession to dealers may be changed.</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a percentage of the principal amount of the notes).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8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Paid by Us</w:t>
            </w:r>
          </w:p>
        </w:tc>
        <w:tc>
          <w:tcPr>
            <w:tcW w:w="200" w:type="dxa"/>
            <w:vAlign w:val="bottom"/>
            <w:tcBorders>
              <w:bottom w:val="single" w:sz="8" w:color="CCEEFF"/>
            </w:tcBorders>
          </w:tcPr>
          <w:p>
            <w:pPr>
              <w:spacing w:after="0"/>
              <w:rPr>
                <w:sz w:val="15"/>
                <w:szCs w:val="15"/>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4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r>
        <w:trPr>
          <w:trHeight w:val="364"/>
        </w:trPr>
        <w:tc>
          <w:tcPr>
            <w:tcW w:w="2080" w:type="dxa"/>
            <w:vAlign w:val="bottom"/>
          </w:tcPr>
          <w:p>
            <w:pPr>
              <w:spacing w:after="0"/>
              <w:rPr>
                <w:sz w:val="24"/>
                <w:szCs w:val="24"/>
                <w:color w:val="auto"/>
              </w:rPr>
            </w:pPr>
          </w:p>
        </w:tc>
        <w:tc>
          <w:tcPr>
            <w:tcW w:w="54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S-24</w:t>
            </w:r>
          </w:p>
        </w:tc>
      </w:tr>
    </w:tbl>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connection with this offering, the representatives, on behalf of the underwriters, may purchase and sell notes in the open market. These transactions may include short sales and purchases on the open market to cover positions created by short sales. Short sales involve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w:t>
      </w:r>
    </w:p>
    <w:p>
      <w:pPr>
        <w:spacing w:after="0" w:line="16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notes or preventing or retarding a decline in the market price of the notes. They may also cause the price of the notes to be higher than the price that otherwise would exist in the open market in the absence of these transactions.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Affiliates of certain of the underwriters are lenders under our revolving credit facility and unsecured term loan and/or may be beneficial owners of some of our 2.55% Notes due 2021 and/or 3.00% Notes due 2022. Any such affiliates will receive a pro rata portion of the net proceeds used to repay amounts outstanding under our revolving credit facility and unsecured term loan and/or to redeem our 2.55% Notes due 2021 and 3.00% Notes due 2022.</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540"/>
        <w:spacing w:after="0" w:line="272" w:lineRule="auto"/>
        <w:rPr>
          <w:sz w:val="20"/>
          <w:szCs w:val="20"/>
          <w:color w:val="auto"/>
        </w:rPr>
      </w:pPr>
      <w:r>
        <w:rPr>
          <w:rFonts w:ascii="Times New Roman" w:cs="Times New Roman" w:eastAsia="Times New Roman" w:hAnsi="Times New Roman"/>
          <w:sz w:val="17"/>
          <w:szCs w:val="17"/>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93"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 and the United Kingdom</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or in the United Kingdom (each, a “Relevant State”) will only be made to a legal entity which is a qualified investor under the Prospectus Regulation (“Qualified Investors”). Accordingly any person making or intending to make an offer in that Relevant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90"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Prohibition of Sales to EEA and United Kingdom Retail Investors </w:t>
      </w:r>
      <w:r>
        <w:rPr>
          <w:rFonts w:ascii="Times New Roman" w:cs="Times New Roman" w:eastAsia="Times New Roman" w:hAnsi="Times New Roman"/>
          <w:sz w:val="17"/>
          <w:szCs w:val="17"/>
          <w:color w:val="auto"/>
        </w:rPr>
        <w:t>– The notes are not intended to be offered, sold or otherwise made available to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should not be offered, sold or otherwise made available to any retail investor in the EEA or the United Kingdom. For these purposes: (1) a retail investor means a person who is one (or more) of: (a) a retail client as defined in point (11) of Article 4(1) of Directive 2014/65/EU, as amended (“MiFID II”); or</w:t>
      </w:r>
    </w:p>
    <w:p>
      <w:pPr>
        <w:spacing w:after="0" w:line="1" w:lineRule="exact"/>
        <w:rPr>
          <w:sz w:val="20"/>
          <w:szCs w:val="20"/>
          <w:color w:val="auto"/>
        </w:rPr>
      </w:pPr>
    </w:p>
    <w:p>
      <w:pPr>
        <w:ind w:left="120" w:hanging="4"/>
        <w:spacing w:after="0" w:line="252" w:lineRule="auto"/>
        <w:tabs>
          <w:tab w:leader="none" w:pos="3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Autorite des Marches Financiers or of the competent authority of another member state of the European Economic Area and notified to the Autorite des Marches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100" w:right="3300" w:hanging="444"/>
        <w:spacing w:after="0" w:line="446" w:lineRule="auto"/>
        <w:tabs>
          <w:tab w:leader="none" w:pos="10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 Such offers, sales and distributions will be made in France only:</w:t>
      </w:r>
    </w:p>
    <w:p>
      <w:pPr>
        <w:ind w:left="1080" w:right="1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monetaire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monetaire et financier and article 211-2 of the General Regulations (Reglement General) of the Autorite des Marches Financiers, does not constitute a public offer (appelpublic dl’epargne).</w:t>
      </w:r>
    </w:p>
    <w:p>
      <w:pPr>
        <w:spacing w:after="0" w:line="176"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Germany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offer or solicitation of the notes within Germany must be in full compliance with the German Securities Prospectus Act Wertpapierprospektgesetz —WpPG. The offer and solicitation of the notes to the public in Germany requires the publication of a prospectus that has to be filed with and approved by the German Federal Financial Services Supervisory Authority Bundesanstalt fur Finanzdienstleistungsaufsicht—BaFin. This prospectus supplement has not been and will not be submitted for filing and approval to the BaFin and consequently will not be published. Therefore, this prospectus supplement does not constitute a public offer under the German Securities Prospectus Act Wertpapierprospektgesetz. This prospectus supplement and any other document relating to the notes as well as any information contained therein must therefore not be supplied to the public in Germany or used in connection with any offer for subscription of the notes to the public in Germany, any public marketing of the notes or any public solicitation for offers to subscribe for or otherwise acquire the notes. This prospectus supplement and other offering materials relating to the offer of the notes are strictly confidential and may not be distributed to any person or entity other than the designated recipients hereof.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notes is directed only at (i) a limited number of persons in accordance with the Securities Law and (ii) investors listed in the first addendum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Norway</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offer of the notes and the related materials do not constitute a prospectus under Norwegian law and have not been filed with or approved by the Norwegian Financial Supervisory Authority, the Oslo Stock Exchange or the Norwegian Registry of Business Enterprises, as the offer of the notes and the related materials have not been prepared in the context of a public offering of securities in Norway within the meaning of the Norwegian Securities Trading Act or any Regulations issued pursuant thereto. The offer of the notes will only be directed to qualified investors as defined in the Norwegian Securities Regulation section 7-1 or in accordance with other relevant exceptions from the prospectus requirements. Accordingly, the offer of the notes and the related materials may not be made available to the public in Norway nor may the offer of the notes otherwise be marketed and offered to the public in Norway.</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908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2459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or preferred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0"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risks. See “</w:t>
      </w:r>
      <w:hyperlink w:anchor="page3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7, 2018.</w:t>
      </w:r>
    </w:p>
    <w:p>
      <w:pPr>
        <w:sectPr>
          <w:pgSz w:w="11900" w:h="16838" w:orient="portrait"/>
          <w:cols w:equalWidth="0" w:num="1">
            <w:col w:w="11060"/>
          </w:cols>
          <w:pgMar w:left="320" w:top="455" w:right="5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10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38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About this Prospectus</w:t>
              </w:r>
            </w:hyperlink>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3880" w:type="dxa"/>
            <w:vAlign w:val="bottom"/>
            <w:vMerge w:val="continue"/>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Forward-Looking Statements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Prospectus Summary</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Risk Factors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Use of Proceeds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Description of Shares of Beneficial Interest</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Material Federal Income Tax Considerations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Plan of Distribution</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Legal Matters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Experts</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Where You Can Find More Information</w:t>
              </w:r>
            </w:hyperlink>
          </w:p>
        </w:tc>
        <w:tc>
          <w:tcPr>
            <w:tcW w:w="7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64"/>
        </w:trPr>
        <w:tc>
          <w:tcPr>
            <w:tcW w:w="3880" w:type="dxa"/>
            <w:vAlign w:val="bottom"/>
          </w:tcPr>
          <w:p>
            <w:pPr>
              <w:spacing w:after="0"/>
              <w:rPr>
                <w:sz w:val="24"/>
                <w:szCs w:val="24"/>
                <w:color w:val="auto"/>
              </w:rPr>
            </w:pPr>
          </w:p>
        </w:tc>
        <w:tc>
          <w:tcPr>
            <w:tcW w:w="710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color w:val="auto"/>
                <w:w w:val="7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13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8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62" w:lineRule="exact"/>
        <w:rPr>
          <w:sz w:val="20"/>
          <w:szCs w:val="20"/>
          <w:color w:val="auto"/>
        </w:rPr>
      </w:pPr>
    </w:p>
    <w:p>
      <w:pPr>
        <w:ind w:left="300" w:right="140" w:firstLine="426"/>
        <w:spacing w:after="0" w:line="276" w:lineRule="auto"/>
        <w:rPr>
          <w:sz w:val="20"/>
          <w:szCs w:val="20"/>
          <w:color w:val="auto"/>
        </w:rPr>
      </w:pPr>
      <w:r>
        <w:rPr>
          <w:rFonts w:ascii="Times New Roman" w:cs="Times New Roman" w:eastAsia="Times New Roman" w:hAnsi="Times New Roman"/>
          <w:sz w:val="17"/>
          <w:szCs w:val="17"/>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spacing w:after="0" w:line="1" w:lineRule="exact"/>
        <w:rPr>
          <w:sz w:val="20"/>
          <w:szCs w:val="20"/>
          <w:color w:val="auto"/>
        </w:rPr>
      </w:pPr>
    </w:p>
    <w:p>
      <w:pPr>
        <w:ind w:left="300" w:right="40" w:hanging="2"/>
        <w:spacing w:after="0" w:line="260" w:lineRule="auto"/>
        <w:tabs>
          <w:tab w:leader="none" w:pos="7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historical ratios of earnings to fixed charges and combined Fixed Charges and preferred share dividends for the periods indicated: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226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5"/>
                <w:szCs w:val="15"/>
                <w:color w:val="auto"/>
              </w:rPr>
            </w:pPr>
          </w:p>
        </w:tc>
        <w:tc>
          <w:tcPr>
            <w:tcW w:w="226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w:t>
      </w:r>
    </w:p>
    <w:p>
      <w:pPr>
        <w:spacing w:after="0" w:line="27" w:lineRule="exact"/>
        <w:rPr>
          <w:sz w:val="20"/>
          <w:szCs w:val="20"/>
          <w:color w:val="auto"/>
        </w:rPr>
      </w:pPr>
    </w:p>
    <w:p>
      <w:pPr>
        <w:ind w:left="300" w:hanging="2"/>
        <w:spacing w:after="0" w:line="253" w:lineRule="auto"/>
        <w:tabs>
          <w:tab w:leader="none" w:pos="5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89"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6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7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532"/>
        <w:spacing w:after="0" w:line="26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35" w:lineRule="exact"/>
        <w:rPr>
          <w:rFonts w:ascii="Times New Roman" w:cs="Times New Roman" w:eastAsia="Times New Roman" w:hAnsi="Times New Roman"/>
          <w:sz w:val="18"/>
          <w:szCs w:val="18"/>
          <w:color w:val="auto"/>
        </w:rPr>
      </w:pPr>
    </w:p>
    <w:p>
      <w:pPr>
        <w:ind w:left="1080" w:right="180" w:hanging="532"/>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6" w:lineRule="auto"/>
        <w:rPr>
          <w:sz w:val="20"/>
          <w:szCs w:val="20"/>
          <w:color w:val="auto"/>
        </w:rPr>
      </w:pPr>
      <w:r>
        <w:rPr>
          <w:rFonts w:ascii="Times New Roman" w:cs="Times New Roman" w:eastAsia="Times New Roman" w:hAnsi="Times New Roman"/>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8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16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payable and the manner in which, or the person to whom, any interest on any bearer securities of the series will be payable.</w:t>
      </w:r>
    </w:p>
    <w:p>
      <w:pPr>
        <w:spacing w:after="0" w:line="6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applicable indenture, including, without limitation, the definition of “unrestricted subsidiary” to be used for such series.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line="26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20" w:hanging="532"/>
        <w:spacing w:after="0" w:line="291"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Conversion. </w:t>
      </w:r>
      <w:r>
        <w:rPr>
          <w:rFonts w:ascii="Times New Roman" w:cs="Times New Roman" w:eastAsia="Times New Roman" w:hAnsi="Times New Roman"/>
          <w:sz w:val="17"/>
          <w:szCs w:val="17"/>
          <w:color w:val="auto"/>
        </w:rPr>
        <w:t>The terms, if any, upon which the offered debt securities may be converted or exchanged into or for our common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8"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series.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6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p>
    <w:p>
      <w:pPr>
        <w:spacing w:after="0" w:line="30" w:lineRule="exact"/>
        <w:rPr>
          <w:sz w:val="20"/>
          <w:szCs w:val="20"/>
          <w:color w:val="auto"/>
        </w:rPr>
      </w:pPr>
    </w:p>
    <w:p>
      <w:pPr>
        <w:jc w:val="both"/>
        <w:ind w:left="120" w:right="140"/>
        <w:spacing w:after="0" w:line="291" w:lineRule="auto"/>
        <w:rPr>
          <w:sz w:val="20"/>
          <w:szCs w:val="20"/>
          <w:color w:val="auto"/>
        </w:rPr>
      </w:pPr>
      <w:r>
        <w:rPr>
          <w:rFonts w:ascii="Times New Roman" w:cs="Times New Roman" w:eastAsia="Times New Roman" w:hAnsi="Times New Roman"/>
          <w:sz w:val="17"/>
          <w:szCs w:val="17"/>
          <w:color w:val="auto"/>
        </w:rPr>
        <w:t>amounts on the debt securities is U.S. Bank National Association, 214 North Tryon Street, 27</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62"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series of debt securities;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1"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15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right="6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left="120" w:right="360" w:firstLine="436"/>
        <w:spacing w:after="0" w:line="282" w:lineRule="auto"/>
        <w:tabs>
          <w:tab w:leader="none" w:pos="7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7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61" w:lineRule="exact"/>
        <w:rPr>
          <w:rFonts w:ascii="Times New Roman" w:cs="Times New Roman" w:eastAsia="Times New Roman" w:hAnsi="Times New Roman"/>
          <w:sz w:val="18"/>
          <w:szCs w:val="18"/>
          <w:color w:val="auto"/>
        </w:rPr>
      </w:pPr>
    </w:p>
    <w:p>
      <w:pPr>
        <w:ind w:left="720" w:hanging="164"/>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7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800" w:hanging="244"/>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left="120" w:right="160" w:firstLine="436"/>
        <w:spacing w:after="0" w:line="254" w:lineRule="auto"/>
        <w:tabs>
          <w:tab w:leader="none" w:pos="7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series.</w:t>
      </w:r>
    </w:p>
    <w:p>
      <w:pPr>
        <w:spacing w:after="0" w:line="22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waive any past default except for:</w:t>
      </w:r>
    </w:p>
    <w:p>
      <w:pPr>
        <w:spacing w:after="0" w:line="64"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8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series and any related coupons,</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20" w:hanging="439"/>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1" w:lineRule="exact"/>
        <w:rPr>
          <w:sz w:val="20"/>
          <w:szCs w:val="20"/>
          <w:color w:val="auto"/>
        </w:rPr>
      </w:pPr>
    </w:p>
    <w:p>
      <w:pPr>
        <w:ind w:left="1080" w:right="4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series:</w:t>
      </w:r>
    </w:p>
    <w:p>
      <w:pPr>
        <w:spacing w:after="0" w:line="67" w:lineRule="exact"/>
        <w:rPr>
          <w:sz w:val="20"/>
          <w:szCs w:val="20"/>
          <w:color w:val="auto"/>
        </w:rPr>
      </w:pPr>
    </w:p>
    <w:p>
      <w:pPr>
        <w:ind w:left="108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1"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ind w:left="1080" w:hanging="532"/>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85"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532"/>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79"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you or any shareholder:</w:t>
      </w:r>
    </w:p>
    <w:p>
      <w:pPr>
        <w:spacing w:after="0" w:line="64" w:lineRule="exact"/>
        <w:rPr>
          <w:sz w:val="20"/>
          <w:szCs w:val="20"/>
          <w:color w:val="auto"/>
        </w:rPr>
      </w:pPr>
    </w:p>
    <w:p>
      <w:pPr>
        <w:ind w:left="1080" w:right="62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Voting Rights. </w:t>
      </w:r>
      <w:r>
        <w:rPr>
          <w:rFonts w:ascii="Times New Roman" w:cs="Times New Roman" w:eastAsia="Times New Roman" w:hAnsi="Times New Roman"/>
          <w:sz w:val="17"/>
          <w:szCs w:val="17"/>
          <w:color w:val="auto"/>
        </w:rPr>
        <w:t>Each outstanding common share owned by a shareholder entitles that holder to one vote on all matters submitted to a vote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80" w:hanging="532"/>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61"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pasu with the Series C preferred shares and senior to the common shares with respect to the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3"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Subject to other applicable provisions within the articles supplementary for the Series 1 preferred shares,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C preferred shares rank pari pasu with the Series 1 preferred shares and senior to the common shares with respect to the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15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Trust. </w:t>
      </w:r>
      <w:r>
        <w:rPr>
          <w:rFonts w:ascii="Times New Roman" w:cs="Times New Roman" w:eastAsia="Times New Roman" w:hAnsi="Times New Roman"/>
          <w:sz w:val="18"/>
          <w:szCs w:val="18"/>
          <w:color w:val="auto"/>
        </w:rPr>
        <w:t>The Series C preferred shares may be redeemed for cash, in whole or from time to time in part, on any date on or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29, 2022 at the option of the Trust at a price per share equal to $25,000.00 plus accrued and unpaid dividends thereon, if any, to, but excluding, the redemption date.</w:t>
      </w:r>
    </w:p>
    <w:p>
      <w:pPr>
        <w:spacing w:after="0" w:line="17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Depositary Shares. </w:t>
      </w:r>
      <w:r>
        <w:rPr>
          <w:rFonts w:ascii="Times New Roman" w:cs="Times New Roman" w:eastAsia="Times New Roman" w:hAnsi="Times New Roman"/>
          <w:sz w:val="17"/>
          <w:szCs w:val="17"/>
          <w:color w:val="auto"/>
        </w:rPr>
        <w:t>Interests in the Series C preferred shares are represented by depositary shares, which we refer to as the Series C depositary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“FRTPRC.”</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C preferred shares is American Stock Transfer &amp;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New York, New York.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6"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1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6"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8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5"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0"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532"/>
        <w:spacing w:after="0" w:line="254"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 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20" w:hanging="532"/>
        <w:spacing w:after="0" w:line="25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2"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3"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88" w:lineRule="exact"/>
        <w:rPr>
          <w:sz w:val="20"/>
          <w:szCs w:val="20"/>
          <w:color w:val="auto"/>
        </w:rPr>
      </w:pPr>
    </w:p>
    <w:p>
      <w:pPr>
        <w:ind w:left="120" w:right="1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foreclosure 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532"/>
        <w:spacing w:after="0" w:line="312"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3" w:lineRule="exact"/>
        <w:rPr>
          <w:sz w:val="20"/>
          <w:szCs w:val="20"/>
          <w:color w:val="auto"/>
        </w:rPr>
      </w:pPr>
    </w:p>
    <w:p>
      <w:pPr>
        <w:ind w:left="120" w:right="60" w:hanging="4"/>
        <w:spacing w:after="0" w:line="251" w:lineRule="auto"/>
        <w:tabs>
          <w:tab w:leader="none" w:pos="4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58"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439"/>
        <w:spacing w:after="0" w:line="261"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3"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Times New Roman" w:cs="Times New Roman" w:eastAsia="Times New Roman" w:hAnsi="Times New Roman"/>
          <w:sz w:val="18"/>
          <w:szCs w:val="18"/>
          <w:color w:val="auto"/>
        </w:rPr>
      </w:pPr>
    </w:p>
    <w:p>
      <w:pPr>
        <w:ind w:left="1080" w:right="120" w:firstLine="8"/>
        <w:spacing w:after="0" w:line="250" w:lineRule="auto"/>
        <w:tabs>
          <w:tab w:leader="none" w:pos="134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ind w:left="1080" w:right="20" w:firstLine="8"/>
        <w:spacing w:after="0" w:line="253" w:lineRule="auto"/>
        <w:tabs>
          <w:tab w:leader="none" w:pos="133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4"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79" w:lineRule="exact"/>
        <w:rPr>
          <w:sz w:val="20"/>
          <w:szCs w:val="20"/>
          <w:color w:val="auto"/>
        </w:rPr>
      </w:pPr>
    </w:p>
    <w:p>
      <w:pPr>
        <w:ind w:left="120" w:right="38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8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stock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4"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7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7"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Sale of Shares</w:t>
      </w:r>
      <w:r>
        <w:rPr>
          <w:rFonts w:ascii="Times New Roman" w:cs="Times New Roman" w:eastAsia="Times New Roman" w:hAnsi="Times New Roman"/>
          <w:sz w:val="17"/>
          <w:szCs w:val="17"/>
          <w:color w:val="auto"/>
        </w:rPr>
        <w:t>. A non-U.S. shareholder generally will not incur tax under FIRPTA on gain from the sale of its common or preferred shares as long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w:t>
      </w:r>
    </w:p>
    <w:p>
      <w:pPr>
        <w:spacing w:after="0" w:line="1"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93"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58"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4"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to Tax Laws and Regulations. </w:t>
      </w:r>
      <w:r>
        <w:rPr>
          <w:rFonts w:ascii="Times New Roman" w:cs="Times New Roman" w:eastAsia="Times New Roman" w:hAnsi="Times New Roman"/>
          <w:sz w:val="17"/>
          <w:szCs w:val="17"/>
          <w:color w:val="auto"/>
        </w:rPr>
        <w:t>The rules dealing with federal income taxation are subject to revision by the U.S. Congress, the IRS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9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94" w:lineRule="exact"/>
        <w:rPr>
          <w:sz w:val="20"/>
          <w:szCs w:val="20"/>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2017, filed with the SEC on February 13, 2018;</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10">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2018 Annual Meeting of Shareholders, filed with the SEC on March 23, 2018;</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1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2018, filed with the SEC on May 2, 2018;</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4, 2018;</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our common shares contained in the Registration Statement on </w:t>
      </w:r>
      <w:hyperlink r:id="rId113">
        <w:r>
          <w:rPr>
            <w:rFonts w:ascii="Times New Roman" w:cs="Times New Roman" w:eastAsia="Times New Roman" w:hAnsi="Times New Roman"/>
            <w:sz w:val="18"/>
            <w:szCs w:val="18"/>
            <w:u w:val="single" w:color="auto"/>
            <w:color w:val="0000EE"/>
          </w:rPr>
          <w:t>Form 8-A/A</w:t>
        </w:r>
      </w:hyperlink>
      <w:r>
        <w:rPr>
          <w:rFonts w:ascii="Times New Roman" w:cs="Times New Roman" w:eastAsia="Times New Roman" w:hAnsi="Times New Roman"/>
          <w:sz w:val="18"/>
          <w:szCs w:val="18"/>
          <w:color w:val="auto"/>
        </w:rPr>
        <w:t>, filed with the SEC on June 6, 2002; and</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our Series C preferred shares contained in the Registration Statement on </w:t>
      </w:r>
      <w:hyperlink r:id="rId11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September 29, 2017.</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344170</wp:posOffset>
            </wp:positionV>
            <wp:extent cx="1920240" cy="5746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00B050"/>
        </w:rPr>
        <w:t>1.250%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Deutsche Bank Securities</w:t>
      </w:r>
    </w:p>
    <w:p>
      <w:pPr>
        <w:spacing w:after="0" w:line="1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US Bancorp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Regions Securities LLC</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Scotiabank</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TD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October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decimal"/>
      <w:start w:val="30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lowerRoman"/>
      <w:start w:val="3"/>
    </w:lvl>
  </w:abstractNum>
  <w:abstractNum w:abstractNumId="8">
    <w:nsid w:val="39386575"/>
    <w:multiLevelType w:val="hybridMultilevel"/>
    <w:lvl w:ilvl="0">
      <w:lvlJc w:val="left"/>
      <w:lvlText w:val="(%1)"/>
      <w:numFmt w:val="lowerRoman"/>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4"/>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1)"/>
      <w:numFmt w:val="lowerLetter"/>
      <w:start w:val="1"/>
    </w:lvl>
  </w:abstractNum>
  <w:abstractNum w:abstractNumId="13">
    <w:nsid w:val="354FE9F9"/>
    <w:multiLevelType w:val="hybridMultilevel"/>
    <w:lvl w:ilvl="0">
      <w:lvlJc w:val="left"/>
      <w:lvlText w:val="%1."/>
      <w:numFmt w:val="decimal"/>
      <w:start w:val="5"/>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decimal"/>
      <w:start w:val="2"/>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lvl w:ilvl="1">
      <w:lvlJc w:val="left"/>
      <w:lvlText w:val="•"/>
      <w:numFmt w:val="bullet"/>
      <w:start w:val="1"/>
    </w:lvl>
  </w:abstractNum>
  <w:abstractNum w:abstractNumId="21">
    <w:nsid w:val="77AE35EB"/>
    <w:multiLevelType w:val="hybridMultilevel"/>
    <w:lvl w:ilvl="0">
      <w:lvlJc w:val="left"/>
      <w:lvlText w:val="•"/>
      <w:numFmt w:val="bullet"/>
      <w:start w:val="1"/>
    </w:lvl>
    <w:lvl w:ilvl="1">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decimal"/>
      <w:start w:val="30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lvl w:ilvl="1">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lvl w:ilvl="1">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decimal"/>
      <w:start w:val="5"/>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lvl w:ilvl="1">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lvl w:ilvl="1">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lvl w:ilvl="1">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lvl w:ilvl="1">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lowerRoman"/>
      <w:start w:val="3"/>
    </w:lvl>
  </w:abstractNum>
  <w:abstractNum w:abstractNumId="94">
    <w:nsid w:val="6FC75AF8"/>
    <w:multiLevelType w:val="hybridMultilevel"/>
    <w:lvl w:ilvl="0">
      <w:lvlJc w:val="left"/>
      <w:lvlText w:val="•"/>
      <w:numFmt w:val="bullet"/>
      <w:start w:val="1"/>
    </w:lvl>
    <w:lvl w:ilvl="1">
      <w:lvlJc w:val="left"/>
      <w:lvlText w:val="•"/>
      <w:numFmt w:val="bullet"/>
      <w:start w:val="1"/>
    </w:lvl>
  </w:abstractNum>
  <w:abstractNum w:abstractNumId="95">
    <w:nsid w:val="6A5F7029"/>
    <w:multiLevelType w:val="hybridMultilevel"/>
    <w:lvl w:ilvl="0">
      <w:lvlJc w:val="left"/>
      <w:lvlText w:val="•"/>
      <w:numFmt w:val="bullet"/>
      <w:start w:val="1"/>
    </w:lvl>
    <w:lvl w:ilvl="1">
      <w:lvlJc w:val="left"/>
      <w:lvlText w:val="(%2)"/>
      <w:numFmt w:val="lowerRoman"/>
      <w:start w:val="2"/>
    </w:lvl>
  </w:abstractNum>
  <w:abstractNum w:abstractNumId="96">
    <w:nsid w:val="7D5E18F8"/>
    <w:multiLevelType w:val="hybridMultilevel"/>
    <w:lvl w:ilvl="0">
      <w:lvlJc w:val="left"/>
      <w:lvlText w:val="•"/>
      <w:numFmt w:val="bullet"/>
      <w:start w:val="1"/>
    </w:lvl>
    <w:lvl w:ilvl="1">
      <w:lvlJc w:val="left"/>
      <w:lvlText w:val="(%2)"/>
      <w:numFmt w:val="lowerRoman"/>
      <w:start w:val="5"/>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2"/>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jpe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7" Type="http://schemas.openxmlformats.org/officeDocument/2006/relationships/hyperlink" Target="http://www.sec.gov/ix?doc=/Archives/edgar/data/34903/000003490320000008/frt-1231201910k.htm" TargetMode="External"/><Relationship Id="rId18" Type="http://schemas.openxmlformats.org/officeDocument/2006/relationships/hyperlink" Target="http://www.sec.gov/ix?doc=/Archives/edgar/data/34903/000003490320000031/frt-06302020x10q.htm" TargetMode="External"/><Relationship Id="rId109" Type="http://schemas.openxmlformats.org/officeDocument/2006/relationships/hyperlink" Target="http://www.sec.gov/Archives/edgar/data/34903/000003490318000009/frt-1231201710k.htm" TargetMode="External"/><Relationship Id="rId110" Type="http://schemas.openxmlformats.org/officeDocument/2006/relationships/hyperlink" Target="http://www.sec.gov/Archives/edgar/data/34903/000119312518093016/d501572ddef14a.htm" TargetMode="External"/><Relationship Id="rId111" Type="http://schemas.openxmlformats.org/officeDocument/2006/relationships/hyperlink" Target="http://www.sec.gov/Archives/edgar/data/34903/000003490318000016/frt-03312018x10q.htm" TargetMode="External"/><Relationship Id="rId112" Type="http://schemas.openxmlformats.org/officeDocument/2006/relationships/hyperlink" Target="http://www.sec.gov/Archives/edgar/data/34903/000003490318000018/frt-050420188kdocument.htm" TargetMode="External"/><Relationship Id="rId113" Type="http://schemas.openxmlformats.org/officeDocument/2006/relationships/hyperlink" Target="http://www.sec.gov/Archives/edgar/data/34903/000092838502002234/d8a12ba.txt" TargetMode="External"/><Relationship Id="rId114"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2020-10-09T15:48:11Z</dcterms:created>
  <dcterms:modified xsi:type="dcterms:W3CDTF">2020-10-09T15:48:11Z</dcterms:modified>
</cp:coreProperties>
</file>