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424(b)(5)</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333-100819</w:t>
      </w:r>
    </w:p>
    <w:p>
      <w:pPr>
        <w:spacing w:after="0" w:line="4"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FFFFFF"/>
        </w:rPr>
        <w:t>P R O S P E C T U S  S U P P L E M E N 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2178050" cy="94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78050" cy="946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32406B"/>
        </w:rPr>
        <w:t>(To Prospectus Dated May 9, 2003)</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32406B"/>
        </w:rPr>
        <w:t>$125,000,000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349885</wp:posOffset>
            </wp:positionV>
            <wp:extent cx="2143760" cy="814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32406B"/>
        </w:rPr>
        <w:t>5.65% Notes due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80" w:firstLine="571"/>
        <w:spacing w:after="0" w:line="259" w:lineRule="auto"/>
        <w:rPr>
          <w:sz w:val="20"/>
          <w:szCs w:val="20"/>
          <w:color w:val="auto"/>
        </w:rPr>
      </w:pPr>
      <w:r>
        <w:rPr>
          <w:rFonts w:ascii="Arial" w:cs="Arial" w:eastAsia="Arial" w:hAnsi="Arial"/>
          <w:sz w:val="18"/>
          <w:szCs w:val="18"/>
          <w:color w:val="32406B"/>
        </w:rPr>
        <w:t>The notes will bear interest at the rate of 5.65% per year. Interest on the notes is payable on June 1 and December 1 of each year, beginning on June 1, 2006. The notes will mature on June 1, 2016. We may redeem some or all of the notes at any time before maturity. The redemption prices are discussed under the caption “Description of Notes — Optional Redemption.”</w:t>
      </w:r>
    </w:p>
    <w:p>
      <w:pPr>
        <w:spacing w:after="0" w:line="127" w:lineRule="exact"/>
        <w:rPr>
          <w:sz w:val="24"/>
          <w:szCs w:val="24"/>
          <w:color w:val="auto"/>
        </w:rPr>
      </w:pPr>
    </w:p>
    <w:p>
      <w:pPr>
        <w:ind w:left="580"/>
        <w:spacing w:after="0"/>
        <w:rPr>
          <w:sz w:val="20"/>
          <w:szCs w:val="20"/>
          <w:color w:val="auto"/>
        </w:rPr>
      </w:pPr>
      <w:r>
        <w:rPr>
          <w:rFonts w:ascii="Arial" w:cs="Arial" w:eastAsia="Arial" w:hAnsi="Arial"/>
          <w:sz w:val="18"/>
          <w:szCs w:val="18"/>
          <w:color w:val="32406B"/>
        </w:rPr>
        <w:t>The notes will be unsecured senior obligations of our company and will rank equally with all of our other unsecured senior indebtedness.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ind w:right="160"/>
        <w:spacing w:after="0" w:line="281" w:lineRule="auto"/>
        <w:rPr>
          <w:sz w:val="20"/>
          <w:szCs w:val="20"/>
          <w:color w:val="auto"/>
        </w:rPr>
      </w:pPr>
      <w:r>
        <w:rPr>
          <w:rFonts w:ascii="Arial" w:cs="Arial" w:eastAsia="Arial" w:hAnsi="Arial"/>
          <w:sz w:val="24"/>
          <w:szCs w:val="24"/>
          <w:b w:val="1"/>
          <w:bCs w:val="1"/>
          <w:color w:val="32406B"/>
        </w:rPr>
        <w:t>Investing in the notes involves risks. See “Risk Factors” beginning on page S-5 of this prospectus supplement and in our Current Report on Form 8-K filed with the SEC on March 2, 2005.</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9440" w:type="dxa"/>
            <w:vAlign w:val="bottom"/>
          </w:tcPr>
          <w:p>
            <w:pPr>
              <w:spacing w:after="0"/>
              <w:rPr>
                <w:sz w:val="15"/>
                <w:szCs w:val="15"/>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32406B"/>
                <w:w w:val="86"/>
              </w:rPr>
              <w:t>Per Note</w:t>
            </w:r>
          </w:p>
        </w:tc>
        <w:tc>
          <w:tcPr>
            <w:tcW w:w="100" w:type="dxa"/>
            <w:vAlign w:val="bottom"/>
          </w:tcPr>
          <w:p>
            <w:pPr>
              <w:spacing w:after="0"/>
              <w:rPr>
                <w:sz w:val="15"/>
                <w:szCs w:val="15"/>
                <w:color w:val="auto"/>
              </w:rPr>
            </w:pPr>
          </w:p>
        </w:tc>
        <w:tc>
          <w:tcPr>
            <w:tcW w:w="880" w:type="dxa"/>
            <w:vAlign w:val="bottom"/>
          </w:tcPr>
          <w:p>
            <w:pPr>
              <w:jc w:val="right"/>
              <w:ind w:right="257"/>
              <w:spacing w:after="0"/>
              <w:rPr>
                <w:sz w:val="20"/>
                <w:szCs w:val="20"/>
                <w:color w:val="auto"/>
              </w:rPr>
            </w:pPr>
            <w:r>
              <w:rPr>
                <w:rFonts w:ascii="Arial" w:cs="Arial" w:eastAsia="Arial" w:hAnsi="Arial"/>
                <w:sz w:val="14"/>
                <w:szCs w:val="14"/>
                <w:b w:val="1"/>
                <w:bCs w:val="1"/>
                <w:color w:val="32406B"/>
              </w:rPr>
              <w:t>Total</w:t>
            </w:r>
          </w:p>
        </w:tc>
      </w:tr>
      <w:tr>
        <w:trPr>
          <w:trHeight w:val="95"/>
        </w:trPr>
        <w:tc>
          <w:tcPr>
            <w:tcW w:w="9440" w:type="dxa"/>
            <w:vAlign w:val="bottom"/>
          </w:tcPr>
          <w:p>
            <w:pPr>
              <w:spacing w:after="0"/>
              <w:rPr>
                <w:sz w:val="8"/>
                <w:szCs w:val="8"/>
                <w:color w:val="auto"/>
              </w:rPr>
            </w:pPr>
          </w:p>
        </w:tc>
        <w:tc>
          <w:tcPr>
            <w:tcW w:w="520" w:type="dxa"/>
            <w:vAlign w:val="bottom"/>
            <w:tcBorders>
              <w:bottom w:val="single" w:sz="8" w:color="32406B"/>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32406B"/>
            </w:tcBorders>
          </w:tcPr>
          <w:p>
            <w:pPr>
              <w:spacing w:after="0"/>
              <w:rPr>
                <w:sz w:val="8"/>
                <w:szCs w:val="8"/>
                <w:color w:val="auto"/>
              </w:rPr>
            </w:pPr>
          </w:p>
        </w:tc>
        <w:tc>
          <w:tcPr>
            <w:tcW w:w="880" w:type="dxa"/>
            <w:vAlign w:val="bottom"/>
            <w:tcBorders>
              <w:bottom w:val="single" w:sz="8" w:color="32406B"/>
            </w:tcBorders>
          </w:tcPr>
          <w:p>
            <w:pPr>
              <w:spacing w:after="0"/>
              <w:rPr>
                <w:sz w:val="8"/>
                <w:szCs w:val="8"/>
                <w:color w:val="auto"/>
              </w:rPr>
            </w:pPr>
          </w:p>
        </w:tc>
      </w:tr>
      <w:tr>
        <w:trPr>
          <w:trHeight w:val="309"/>
        </w:trPr>
        <w:tc>
          <w:tcPr>
            <w:tcW w:w="9440" w:type="dxa"/>
            <w:vAlign w:val="bottom"/>
          </w:tcPr>
          <w:p>
            <w:pPr>
              <w:spacing w:after="0"/>
              <w:rPr>
                <w:sz w:val="20"/>
                <w:szCs w:val="20"/>
                <w:color w:val="auto"/>
              </w:rPr>
            </w:pPr>
            <w:r>
              <w:rPr>
                <w:rFonts w:ascii="Arial" w:cs="Arial" w:eastAsia="Arial" w:hAnsi="Arial"/>
                <w:sz w:val="18"/>
                <w:szCs w:val="18"/>
                <w:color w:val="32406B"/>
              </w:rPr>
              <w:t>Public Offering Price</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32406B"/>
                <w:w w:val="90"/>
              </w:rPr>
              <w:t>100.00%</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880" w:type="dxa"/>
            <w:vAlign w:val="bottom"/>
          </w:tcPr>
          <w:p>
            <w:pPr>
              <w:jc w:val="right"/>
              <w:spacing w:after="0"/>
              <w:rPr>
                <w:sz w:val="20"/>
                <w:szCs w:val="20"/>
                <w:color w:val="auto"/>
              </w:rPr>
            </w:pPr>
            <w:r>
              <w:rPr>
                <w:rFonts w:ascii="Arial" w:cs="Arial" w:eastAsia="Arial" w:hAnsi="Arial"/>
                <w:sz w:val="18"/>
                <w:szCs w:val="18"/>
                <w:color w:val="32406B"/>
                <w:w w:val="85"/>
              </w:rPr>
              <w:t>125,000,000</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32406B"/>
              </w:rPr>
              <w:t>Underwriting Discount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32406B"/>
              </w:rPr>
              <w:t>0.65%</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880" w:type="dxa"/>
            <w:vAlign w:val="bottom"/>
          </w:tcPr>
          <w:p>
            <w:pPr>
              <w:jc w:val="right"/>
              <w:spacing w:after="0"/>
              <w:rPr>
                <w:sz w:val="20"/>
                <w:szCs w:val="20"/>
                <w:color w:val="auto"/>
              </w:rPr>
            </w:pPr>
            <w:r>
              <w:rPr>
                <w:rFonts w:ascii="Arial" w:cs="Arial" w:eastAsia="Arial" w:hAnsi="Arial"/>
                <w:sz w:val="18"/>
                <w:szCs w:val="18"/>
                <w:color w:val="32406B"/>
              </w:rPr>
              <w:t>812,500</w:t>
            </w:r>
          </w:p>
        </w:tc>
      </w:tr>
      <w:tr>
        <w:trPr>
          <w:trHeight w:val="222"/>
        </w:trPr>
        <w:tc>
          <w:tcPr>
            <w:tcW w:w="9440" w:type="dxa"/>
            <w:vAlign w:val="bottom"/>
          </w:tcPr>
          <w:p>
            <w:pPr>
              <w:spacing w:after="0"/>
              <w:rPr>
                <w:sz w:val="20"/>
                <w:szCs w:val="20"/>
                <w:color w:val="auto"/>
              </w:rPr>
            </w:pPr>
            <w:r>
              <w:rPr>
                <w:rFonts w:ascii="Arial" w:cs="Arial" w:eastAsia="Arial" w:hAnsi="Arial"/>
                <w:sz w:val="18"/>
                <w:szCs w:val="18"/>
                <w:color w:val="32406B"/>
              </w:rPr>
              <w:t>Proceeds to Federal Realty (before expenses)</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32406B"/>
              </w:rPr>
              <w:t>99.35%</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880" w:type="dxa"/>
            <w:vAlign w:val="bottom"/>
          </w:tcPr>
          <w:p>
            <w:pPr>
              <w:jc w:val="right"/>
              <w:spacing w:after="0"/>
              <w:rPr>
                <w:sz w:val="20"/>
                <w:szCs w:val="20"/>
                <w:color w:val="auto"/>
              </w:rPr>
            </w:pPr>
            <w:r>
              <w:rPr>
                <w:rFonts w:ascii="Arial" w:cs="Arial" w:eastAsia="Arial" w:hAnsi="Arial"/>
                <w:sz w:val="18"/>
                <w:szCs w:val="18"/>
                <w:color w:val="32406B"/>
                <w:w w:val="85"/>
              </w:rPr>
              <w:t>124,187,500</w:t>
            </w:r>
          </w:p>
        </w:tc>
      </w:tr>
    </w:tbl>
    <w:p>
      <w:pPr>
        <w:spacing w:after="0" w:line="142" w:lineRule="exact"/>
        <w:rPr>
          <w:sz w:val="24"/>
          <w:szCs w:val="24"/>
          <w:color w:val="auto"/>
        </w:rPr>
      </w:pPr>
    </w:p>
    <w:p>
      <w:pPr>
        <w:spacing w:after="0"/>
        <w:rPr>
          <w:sz w:val="20"/>
          <w:szCs w:val="20"/>
          <w:color w:val="auto"/>
        </w:rPr>
      </w:pPr>
      <w:r>
        <w:rPr>
          <w:rFonts w:ascii="Arial" w:cs="Arial" w:eastAsia="Arial" w:hAnsi="Arial"/>
          <w:sz w:val="18"/>
          <w:szCs w:val="18"/>
          <w:color w:val="32406B"/>
        </w:rPr>
        <w:t>Interest on the notes will accrue from December 2, 2005.</w:t>
      </w:r>
    </w:p>
    <w:p>
      <w:pPr>
        <w:spacing w:after="0" w:line="158" w:lineRule="exact"/>
        <w:rPr>
          <w:sz w:val="24"/>
          <w:szCs w:val="24"/>
          <w:color w:val="auto"/>
        </w:rPr>
      </w:pPr>
    </w:p>
    <w:p>
      <w:pPr>
        <w:ind w:right="240" w:firstLine="571"/>
        <w:spacing w:after="0" w:line="268" w:lineRule="auto"/>
        <w:rPr>
          <w:sz w:val="20"/>
          <w:szCs w:val="20"/>
          <w:color w:val="auto"/>
        </w:rPr>
      </w:pPr>
      <w:r>
        <w:rPr>
          <w:rFonts w:ascii="Arial" w:cs="Arial" w:eastAsia="Arial" w:hAnsi="Arial"/>
          <w:sz w:val="18"/>
          <w:szCs w:val="18"/>
          <w:color w:val="32406B"/>
        </w:rPr>
        <w:t>The underwriters expect to deliver the notes to purchasers in book-entry only form through the facilities of The Depository Trust Company on or about December 2, 2005.</w:t>
      </w:r>
    </w:p>
    <w:p>
      <w:pPr>
        <w:spacing w:after="0" w:line="112" w:lineRule="exact"/>
        <w:rPr>
          <w:sz w:val="24"/>
          <w:szCs w:val="24"/>
          <w:color w:val="auto"/>
        </w:rPr>
      </w:pPr>
    </w:p>
    <w:p>
      <w:pPr>
        <w:ind w:right="460" w:firstLine="571"/>
        <w:spacing w:after="0" w:line="262" w:lineRule="auto"/>
        <w:rPr>
          <w:sz w:val="20"/>
          <w:szCs w:val="20"/>
          <w:color w:val="auto"/>
        </w:rPr>
      </w:pPr>
      <w:r>
        <w:rPr>
          <w:rFonts w:ascii="Arial" w:cs="Arial" w:eastAsia="Arial" w:hAnsi="Arial"/>
          <w:sz w:val="18"/>
          <w:szCs w:val="18"/>
          <w:b w:val="1"/>
          <w:bCs w:val="1"/>
          <w:color w:val="32406B"/>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32406B"/>
        </w:rPr>
        <w:t>Joint Book-Running Managers</w:t>
      </w:r>
    </w:p>
    <w:p>
      <w:pPr>
        <w:spacing w:after="0" w:line="111" w:lineRule="exact"/>
        <w:rPr>
          <w:sz w:val="24"/>
          <w:szCs w:val="24"/>
          <w:color w:val="auto"/>
        </w:rPr>
      </w:pPr>
    </w:p>
    <w:p>
      <w:pPr>
        <w:spacing w:after="0"/>
        <w:tabs>
          <w:tab w:leader="none" w:pos="10060" w:val="left"/>
        </w:tabs>
        <w:rPr>
          <w:sz w:val="20"/>
          <w:szCs w:val="20"/>
          <w:color w:val="auto"/>
        </w:rPr>
      </w:pPr>
      <w:r>
        <w:rPr>
          <w:rFonts w:ascii="Arial" w:cs="Arial" w:eastAsia="Arial" w:hAnsi="Arial"/>
          <w:sz w:val="32"/>
          <w:szCs w:val="32"/>
          <w:b w:val="1"/>
          <w:bCs w:val="1"/>
          <w:color w:val="32406B"/>
        </w:rPr>
        <w:t>Wachovia Securities</w:t>
      </w:r>
      <w:r>
        <w:rPr>
          <w:sz w:val="20"/>
          <w:szCs w:val="20"/>
          <w:color w:val="auto"/>
        </w:rPr>
        <w:tab/>
      </w:r>
      <w:r>
        <w:rPr>
          <w:rFonts w:ascii="Arial" w:cs="Arial" w:eastAsia="Arial" w:hAnsi="Arial"/>
          <w:sz w:val="30"/>
          <w:szCs w:val="30"/>
          <w:b w:val="1"/>
          <w:bCs w:val="1"/>
          <w:color w:val="32406B"/>
        </w:rPr>
        <w:t>Citigroup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135255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1" w:lineRule="exact"/>
        <w:rPr>
          <w:sz w:val="24"/>
          <w:szCs w:val="24"/>
          <w:color w:val="auto"/>
        </w:rPr>
      </w:pPr>
    </w:p>
    <w:p>
      <w:pPr>
        <w:spacing w:after="0"/>
        <w:rPr>
          <w:sz w:val="20"/>
          <w:szCs w:val="20"/>
          <w:color w:val="auto"/>
        </w:rPr>
      </w:pPr>
      <w:r>
        <w:rPr>
          <w:rFonts w:ascii="Arial" w:cs="Arial" w:eastAsia="Arial" w:hAnsi="Arial"/>
          <w:sz w:val="32"/>
          <w:szCs w:val="32"/>
          <w:b w:val="1"/>
          <w:bCs w:val="1"/>
          <w:color w:val="32406B"/>
        </w:rPr>
        <w:t>Bear, Stearns &amp; Co. Inc.</w:t>
      </w:r>
    </w:p>
    <w:p>
      <w:pPr>
        <w:spacing w:after="0" w:line="64" w:lineRule="exact"/>
        <w:rPr>
          <w:sz w:val="24"/>
          <w:szCs w:val="24"/>
          <w:color w:val="auto"/>
        </w:rPr>
      </w:pPr>
    </w:p>
    <w:p>
      <w:pPr>
        <w:ind w:left="1940"/>
        <w:spacing w:after="0"/>
        <w:rPr>
          <w:sz w:val="20"/>
          <w:szCs w:val="20"/>
          <w:color w:val="auto"/>
        </w:rPr>
      </w:pPr>
      <w:r>
        <w:rPr>
          <w:rFonts w:ascii="Arial" w:cs="Arial" w:eastAsia="Arial" w:hAnsi="Arial"/>
          <w:sz w:val="32"/>
          <w:szCs w:val="32"/>
          <w:b w:val="1"/>
          <w:bCs w:val="1"/>
          <w:color w:val="32406B"/>
        </w:rPr>
        <w:t>Merrill Lynch &amp; Co.</w:t>
      </w:r>
    </w:p>
    <w:p>
      <w:pPr>
        <w:spacing w:after="0" w:line="64" w:lineRule="exact"/>
        <w:rPr>
          <w:sz w:val="24"/>
          <w:szCs w:val="24"/>
          <w:color w:val="auto"/>
        </w:rPr>
      </w:pPr>
    </w:p>
    <w:p>
      <w:pPr>
        <w:ind w:left="4000"/>
        <w:spacing w:after="0"/>
        <w:rPr>
          <w:sz w:val="20"/>
          <w:szCs w:val="20"/>
          <w:color w:val="auto"/>
        </w:rPr>
      </w:pPr>
      <w:r>
        <w:rPr>
          <w:rFonts w:ascii="Arial" w:cs="Arial" w:eastAsia="Arial" w:hAnsi="Arial"/>
          <w:sz w:val="32"/>
          <w:szCs w:val="32"/>
          <w:b w:val="1"/>
          <w:bCs w:val="1"/>
          <w:color w:val="32406B"/>
        </w:rPr>
        <w:t>Commerzbank Corporates and Markets</w:t>
      </w:r>
    </w:p>
    <w:p>
      <w:pPr>
        <w:spacing w:after="0" w:line="64" w:lineRule="exact"/>
        <w:rPr>
          <w:sz w:val="24"/>
          <w:szCs w:val="24"/>
          <w:color w:val="auto"/>
        </w:rPr>
      </w:pPr>
    </w:p>
    <w:p>
      <w:pPr>
        <w:ind w:left="5940"/>
        <w:spacing w:after="0"/>
        <w:rPr>
          <w:sz w:val="20"/>
          <w:szCs w:val="20"/>
          <w:color w:val="auto"/>
        </w:rPr>
      </w:pPr>
      <w:r>
        <w:rPr>
          <w:rFonts w:ascii="Arial" w:cs="Arial" w:eastAsia="Arial" w:hAnsi="Arial"/>
          <w:sz w:val="32"/>
          <w:szCs w:val="32"/>
          <w:b w:val="1"/>
          <w:bCs w:val="1"/>
          <w:color w:val="32406B"/>
        </w:rPr>
        <w:t>JPMorgan</w:t>
      </w:r>
    </w:p>
    <w:p>
      <w:pPr>
        <w:spacing w:after="0" w:line="64" w:lineRule="exact"/>
        <w:rPr>
          <w:sz w:val="24"/>
          <w:szCs w:val="24"/>
          <w:color w:val="auto"/>
        </w:rPr>
      </w:pPr>
    </w:p>
    <w:p>
      <w:pPr>
        <w:ind w:left="7700"/>
        <w:spacing w:after="0"/>
        <w:rPr>
          <w:sz w:val="20"/>
          <w:szCs w:val="20"/>
          <w:color w:val="auto"/>
        </w:rPr>
      </w:pPr>
      <w:r>
        <w:rPr>
          <w:rFonts w:ascii="Arial" w:cs="Arial" w:eastAsia="Arial" w:hAnsi="Arial"/>
          <w:sz w:val="30"/>
          <w:szCs w:val="30"/>
          <w:b w:val="1"/>
          <w:bCs w:val="1"/>
          <w:color w:val="32406B"/>
        </w:rPr>
        <w:t>PNC Capital Markets, Inc.</w:t>
      </w:r>
    </w:p>
    <w:p>
      <w:pPr>
        <w:sectPr>
          <w:pgSz w:w="11900" w:h="16838" w:orient="portrait"/>
          <w:cols w:equalWidth="0" w:num="1">
            <w:col w:w="11420"/>
          </w:cols>
          <w:pgMar w:left="240" w:top="230" w:right="239" w:bottom="1440" w:gutter="0" w:footer="0" w:header="0"/>
        </w:sectPr>
      </w:pP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32406B"/>
        </w:rPr>
        <w:t>The date of this prospectus supplement is November 29, 2005.</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571"/>
        <w:spacing w:after="0" w:line="296"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and the accompanying prospectus. We have not, and the underwriters have not, authorized anyone to provide you with different information. We are not making an offer of these securities in any state where the offer is not permitted. You should assume that the information contained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137795</wp:posOffset>
            </wp:positionV>
            <wp:extent cx="1397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110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Cautionary Statement Concerning Forward-Looking Statements</w:t>
              </w:r>
            </w:hyperlink>
          </w:p>
        </w:tc>
        <w:tc>
          <w:tcPr>
            <w:tcW w:w="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96"/>
        </w:trPr>
        <w:tc>
          <w:tcPr>
            <w:tcW w:w="2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6"/>
          </w:tcPr>
          <w:p>
            <w:pPr>
              <w:spacing w:after="0"/>
              <w:rPr>
                <w:sz w:val="17"/>
                <w:szCs w:val="17"/>
                <w:color w:val="auto"/>
              </w:rPr>
            </w:pPr>
          </w:p>
        </w:tc>
        <w:tc>
          <w:tcPr>
            <w:tcW w:w="65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2"/>
              </w:rPr>
              <w:t>S-1</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10160" w:type="dxa"/>
            <w:vAlign w:val="bottom"/>
            <w:gridSpan w:val="16"/>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2"/>
              </w:rPr>
              <w:t>S-5</w:t>
            </w: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2"/>
              </w:rPr>
              <w:t>S-7</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Ratios of Earnings to Fixed Charges</w:t>
              </w:r>
            </w:hyperlink>
          </w:p>
        </w:tc>
        <w:tc>
          <w:tcPr>
            <w:tcW w:w="850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2"/>
              </w:rPr>
              <w:t>S-7</w:t>
            </w:r>
          </w:p>
        </w:tc>
      </w:tr>
      <w:tr>
        <w:trPr>
          <w:trHeight w:val="196"/>
        </w:trPr>
        <w:tc>
          <w:tcPr>
            <w:tcW w:w="14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Description of Notes</w:t>
              </w:r>
            </w:hyperlink>
          </w:p>
        </w:tc>
        <w:tc>
          <w:tcPr>
            <w:tcW w:w="9580" w:type="dxa"/>
            <w:vAlign w:val="bottom"/>
            <w:gridSpan w:val="11"/>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2"/>
              </w:rPr>
              <w:t>S-8</w:t>
            </w:r>
          </w:p>
        </w:tc>
      </w:tr>
      <w:tr>
        <w:trPr>
          <w:trHeight w:val="196"/>
        </w:trPr>
        <w:tc>
          <w:tcPr>
            <w:tcW w:w="308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7"/>
              </w:rPr>
              <w:t>Certain Federal Income Tax Considerations</w:t>
            </w:r>
          </w:p>
        </w:tc>
        <w:tc>
          <w:tcPr>
            <w:tcW w:w="7980" w:type="dxa"/>
            <w:vAlign w:val="bottom"/>
            <w:gridSpan w:val="3"/>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9"/>
              </w:rPr>
              <w:t>S-14</w:t>
            </w:r>
          </w:p>
        </w:tc>
      </w:tr>
      <w:tr>
        <w:trPr>
          <w:trHeight w:val="196"/>
        </w:trPr>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2">
              <w:r>
                <w:rPr>
                  <w:rFonts w:ascii="Arial" w:cs="Arial" w:eastAsia="Arial" w:hAnsi="Arial"/>
                  <w:sz w:val="18"/>
                  <w:szCs w:val="18"/>
                  <w:color w:val="0000EE"/>
                  <w:w w:val="93"/>
                </w:rPr>
                <w:t>Underwriting</w:t>
              </w:r>
            </w:hyperlink>
          </w:p>
        </w:tc>
        <w:tc>
          <w:tcPr>
            <w:tcW w:w="10100" w:type="dxa"/>
            <w:vAlign w:val="bottom"/>
            <w:gridSpan w:val="15"/>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9"/>
              </w:rPr>
              <w:t>S-19</w:t>
            </w: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Experts</w:t>
              </w:r>
            </w:hyperlink>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9"/>
              </w:rPr>
              <w:t>S-20</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Legal Matters</w:t>
              </w:r>
            </w:hyperlink>
          </w:p>
        </w:tc>
        <w:tc>
          <w:tcPr>
            <w:tcW w:w="10060" w:type="dxa"/>
            <w:vAlign w:val="bottom"/>
            <w:gridSpan w:val="14"/>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9"/>
              </w:rPr>
              <w:t>S-20</w:t>
            </w: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Where You Can Find More Information</w:t>
              </w:r>
            </w:hyperlink>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9"/>
              </w:rPr>
              <w:t>S-21</w:t>
            </w:r>
          </w:p>
        </w:tc>
      </w:tr>
      <w:tr>
        <w:trPr>
          <w:trHeight w:val="383"/>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560" w:type="dxa"/>
            <w:vAlign w:val="bottom"/>
            <w:gridSpan w:val="2"/>
          </w:tcPr>
          <w:p>
            <w:pPr>
              <w:ind w:left="800"/>
              <w:spacing w:after="0"/>
              <w:rPr>
                <w:sz w:val="20"/>
                <w:szCs w:val="20"/>
                <w:color w:val="auto"/>
              </w:rPr>
            </w:pPr>
            <w:r>
              <w:rPr>
                <w:rFonts w:ascii="Arial" w:cs="Arial" w:eastAsia="Arial" w:hAnsi="Arial"/>
                <w:sz w:val="18"/>
                <w:szCs w:val="18"/>
                <w:b w:val="1"/>
                <w:bCs w:val="1"/>
                <w:color w:val="auto"/>
              </w:rPr>
              <w:t>Prospectus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2"/>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11060" w:type="dxa"/>
            <w:vAlign w:val="bottom"/>
            <w:gridSpan w:val="18"/>
          </w:tcPr>
          <w:p>
            <w:pPr>
              <w:spacing w:after="0"/>
              <w:rPr>
                <w:sz w:val="20"/>
                <w:szCs w:val="20"/>
                <w:color w:val="auto"/>
              </w:rPr>
            </w:pPr>
            <w:r>
              <w:rPr>
                <w:rFonts w:ascii="Arial" w:cs="Arial" w:eastAsia="Arial" w:hAnsi="Arial"/>
                <w:sz w:val="18"/>
                <w:szCs w:val="18"/>
                <w:color w:val="0000EE"/>
              </w:rPr>
              <w:t>About this Prospectus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2"/>
              </w:rPr>
              <w:t>Forward-Looking Information</w:t>
            </w:r>
          </w:p>
        </w:tc>
        <w:tc>
          <w:tcPr>
            <w:tcW w:w="8920" w:type="dxa"/>
            <w:vAlign w:val="bottom"/>
            <w:gridSpan w:val="9"/>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1060" w:type="dxa"/>
            <w:vAlign w:val="bottom"/>
            <w:gridSpan w:val="18"/>
          </w:tcPr>
          <w:p>
            <w:pPr>
              <w:spacing w:after="0" w:line="196" w:lineRule="exact"/>
              <w:rPr>
                <w:sz w:val="20"/>
                <w:szCs w:val="20"/>
                <w:color w:val="auto"/>
              </w:rPr>
            </w:pPr>
            <w:r>
              <w:rPr>
                <w:rFonts w:ascii="Arial" w:cs="Arial" w:eastAsia="Arial" w:hAnsi="Arial"/>
                <w:sz w:val="18"/>
                <w:szCs w:val="18"/>
                <w:color w:val="0000EE"/>
              </w:rPr>
              <w:t>The Company</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11060" w:type="dxa"/>
            <w:vAlign w:val="bottom"/>
            <w:gridSpan w:val="18"/>
          </w:tcPr>
          <w:p>
            <w:pPr>
              <w:spacing w:after="0" w:line="196" w:lineRule="exact"/>
              <w:rPr>
                <w:sz w:val="20"/>
                <w:szCs w:val="20"/>
                <w:color w:val="auto"/>
              </w:rPr>
            </w:pPr>
            <w:r>
              <w:rPr>
                <w:rFonts w:ascii="Arial" w:cs="Arial" w:eastAsia="Arial" w:hAnsi="Arial"/>
                <w:sz w:val="18"/>
                <w:szCs w:val="18"/>
                <w:color w:val="0000EE"/>
              </w:rPr>
              <w:t>Use of Proceeds</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554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87"/>
              </w:rPr>
              <w:t>Ratios of Earnings to Combined Fixed Charges and Preferred Share Dividends</w:t>
            </w:r>
          </w:p>
        </w:tc>
        <w:tc>
          <w:tcPr>
            <w:tcW w:w="552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14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9"/>
              </w:rPr>
              <w:t>Description of Debt Securities</w:t>
            </w:r>
          </w:p>
        </w:tc>
        <w:tc>
          <w:tcPr>
            <w:tcW w:w="8920" w:type="dxa"/>
            <w:vAlign w:val="bottom"/>
            <w:gridSpan w:val="9"/>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06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9"/>
              </w:rPr>
              <w:t>Description of Shares of Beneficial Interest</w:t>
            </w:r>
          </w:p>
        </w:tc>
        <w:tc>
          <w:tcPr>
            <w:tcW w:w="8000" w:type="dxa"/>
            <w:vAlign w:val="bottom"/>
            <w:gridSpan w:val="4"/>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46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5"/>
              </w:rPr>
              <w:t>Federal Income Tax Consequences</w:t>
            </w:r>
          </w:p>
        </w:tc>
        <w:tc>
          <w:tcPr>
            <w:tcW w:w="8600" w:type="dxa"/>
            <w:vAlign w:val="bottom"/>
            <w:gridSpan w:val="7"/>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1060" w:type="dxa"/>
            <w:vAlign w:val="bottom"/>
            <w:gridSpan w:val="18"/>
          </w:tcPr>
          <w:p>
            <w:pPr>
              <w:spacing w:after="0" w:line="196" w:lineRule="exact"/>
              <w:rPr>
                <w:sz w:val="20"/>
                <w:szCs w:val="20"/>
                <w:color w:val="auto"/>
              </w:rPr>
            </w:pPr>
            <w:r>
              <w:rPr>
                <w:rFonts w:ascii="Arial" w:cs="Arial" w:eastAsia="Arial" w:hAnsi="Arial"/>
                <w:sz w:val="18"/>
                <w:szCs w:val="18"/>
                <w:color w:val="0000EE"/>
              </w:rPr>
              <w:t>Plan of Distribution</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4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Legal Matters</w:t>
            </w:r>
          </w:p>
        </w:tc>
        <w:tc>
          <w:tcPr>
            <w:tcW w:w="9660" w:type="dxa"/>
            <w:vAlign w:val="bottom"/>
            <w:gridSpan w:val="12"/>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Experts</w:t>
            </w:r>
          </w:p>
        </w:tc>
        <w:tc>
          <w:tcPr>
            <w:tcW w:w="10060" w:type="dxa"/>
            <w:vAlign w:val="bottom"/>
            <w:gridSpan w:val="14"/>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826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11060" w:type="dxa"/>
            <w:vAlign w:val="bottom"/>
            <w:gridSpan w:val="18"/>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64"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This prospectus supplement, the accompanying prospectus and documents that we “incorporate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similar words. These statements constitute forward-looking statements within the meaning of Section 27A of the Securities Act of 1933, Section 21E of the Securities Exchange Act of 1934 and the Private Securities Litigation Reform Act of 1995. In particular, the risk factors included or incorporated by reference in this prospectus supplement and the accompanying prospectus describe forward-looking information. The risk factors, including those contained in our Current Report on Form 8-K filed with the Securities and Exchange Commission, or the SEC, on March 2, 2005,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24" w:lineRule="exact"/>
        <w:rPr>
          <w:sz w:val="20"/>
          <w:szCs w:val="20"/>
          <w:color w:val="auto"/>
        </w:rPr>
      </w:pPr>
    </w:p>
    <w:p>
      <w:pPr>
        <w:ind w:left="800" w:hanging="225"/>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103" w:lineRule="exact"/>
        <w:rPr>
          <w:rFonts w:ascii="Arial" w:cs="Arial" w:eastAsia="Arial" w:hAnsi="Arial"/>
          <w:sz w:val="18"/>
          <w:szCs w:val="18"/>
          <w:color w:val="auto"/>
        </w:rPr>
      </w:pPr>
    </w:p>
    <w:p>
      <w:pPr>
        <w:ind w:left="800" w:right="140" w:hanging="225"/>
        <w:spacing w:after="0" w:line="268"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37" w:lineRule="exact"/>
        <w:rPr>
          <w:rFonts w:ascii="Arial" w:cs="Arial" w:eastAsia="Arial" w:hAnsi="Arial"/>
          <w:sz w:val="18"/>
          <w:szCs w:val="18"/>
          <w:color w:val="auto"/>
        </w:rPr>
      </w:pPr>
    </w:p>
    <w:p>
      <w:pPr>
        <w:ind w:left="800" w:right="120" w:hanging="225"/>
        <w:spacing w:after="0" w:line="268"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5" w:lineRule="exact"/>
        <w:rPr>
          <w:rFonts w:ascii="Arial" w:cs="Arial" w:eastAsia="Arial" w:hAnsi="Arial"/>
          <w:sz w:val="18"/>
          <w:szCs w:val="18"/>
          <w:color w:val="auto"/>
        </w:rPr>
      </w:pPr>
    </w:p>
    <w:p>
      <w:pPr>
        <w:ind w:left="1260" w:hanging="455"/>
        <w:spacing w:after="0"/>
        <w:tabs>
          <w:tab w:leader="none" w:pos="1260" w:val="left"/>
        </w:tabs>
        <w:numPr>
          <w:ilvl w:val="1"/>
          <w:numId w:val="1"/>
        </w:numPr>
        <w:rPr>
          <w:rFonts w:ascii="Arial" w:cs="Arial" w:eastAsia="Arial" w:hAnsi="Arial"/>
          <w:sz w:val="27"/>
          <w:szCs w:val="27"/>
          <w:color w:val="auto"/>
          <w:vertAlign w:val="superscript"/>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02" w:lineRule="exact"/>
        <w:rPr>
          <w:rFonts w:ascii="Arial" w:cs="Arial" w:eastAsia="Arial" w:hAnsi="Arial"/>
          <w:sz w:val="27"/>
          <w:szCs w:val="27"/>
          <w:color w:val="auto"/>
          <w:vertAlign w:val="superscript"/>
        </w:rPr>
      </w:pPr>
    </w:p>
    <w:p>
      <w:pPr>
        <w:ind w:left="1260" w:right="140" w:hanging="455"/>
        <w:spacing w:after="0" w:line="196" w:lineRule="auto"/>
        <w:tabs>
          <w:tab w:leader="none" w:pos="1260" w:val="left"/>
        </w:tabs>
        <w:numPr>
          <w:ilvl w:val="1"/>
          <w:numId w:val="1"/>
        </w:numPr>
        <w:rPr>
          <w:rFonts w:ascii="Arial" w:cs="Arial" w:eastAsia="Arial" w:hAnsi="Arial"/>
          <w:sz w:val="27"/>
          <w:szCs w:val="27"/>
          <w:color w:val="auto"/>
          <w:vertAlign w:val="superscript"/>
        </w:rPr>
      </w:pPr>
      <w:r>
        <w:rPr>
          <w:rFonts w:ascii="Arial" w:cs="Arial" w:eastAsia="Arial" w:hAnsi="Arial"/>
          <w:sz w:val="18"/>
          <w:szCs w:val="18"/>
          <w:color w:val="auto"/>
        </w:rPr>
        <w:t>completion of anticipated or ongoing property redevelopments or renovations may cost more, take more time to complete, or fail to perform as expected,</w:t>
      </w:r>
    </w:p>
    <w:p>
      <w:pPr>
        <w:spacing w:after="0" w:line="1" w:lineRule="exact"/>
        <w:rPr>
          <w:rFonts w:ascii="Arial" w:cs="Arial" w:eastAsia="Arial" w:hAnsi="Arial"/>
          <w:sz w:val="27"/>
          <w:szCs w:val="27"/>
          <w:color w:val="auto"/>
          <w:vertAlign w:val="superscript"/>
        </w:rPr>
      </w:pPr>
    </w:p>
    <w:p>
      <w:pPr>
        <w:ind w:left="1260" w:hanging="455"/>
        <w:spacing w:after="0" w:line="219" w:lineRule="auto"/>
        <w:tabs>
          <w:tab w:leader="none" w:pos="1260" w:val="left"/>
        </w:tabs>
        <w:numPr>
          <w:ilvl w:val="1"/>
          <w:numId w:val="1"/>
        </w:numPr>
        <w:rPr>
          <w:rFonts w:ascii="Arial" w:cs="Arial" w:eastAsia="Arial" w:hAnsi="Arial"/>
          <w:sz w:val="27"/>
          <w:szCs w:val="27"/>
          <w:color w:val="auto"/>
          <w:vertAlign w:val="superscript"/>
        </w:rPr>
      </w:pPr>
      <w:r>
        <w:rPr>
          <w:rFonts w:ascii="Arial" w:cs="Arial" w:eastAsia="Arial" w:hAnsi="Arial"/>
          <w:sz w:val="18"/>
          <w:szCs w:val="18"/>
          <w:color w:val="auto"/>
        </w:rPr>
        <w:t>new acquisitions may fail to perform as expected,</w:t>
      </w:r>
    </w:p>
    <w:p>
      <w:pPr>
        <w:spacing w:after="0" w:line="102" w:lineRule="exact"/>
        <w:rPr>
          <w:rFonts w:ascii="Arial" w:cs="Arial" w:eastAsia="Arial" w:hAnsi="Arial"/>
          <w:sz w:val="27"/>
          <w:szCs w:val="27"/>
          <w:color w:val="auto"/>
          <w:vertAlign w:val="superscript"/>
        </w:rPr>
      </w:pPr>
    </w:p>
    <w:p>
      <w:pPr>
        <w:ind w:left="1260" w:hanging="455"/>
        <w:spacing w:after="0" w:line="181" w:lineRule="auto"/>
        <w:tabs>
          <w:tab w:leader="none" w:pos="1260" w:val="left"/>
        </w:tabs>
        <w:numPr>
          <w:ilvl w:val="1"/>
          <w:numId w:val="1"/>
        </w:numPr>
        <w:rPr>
          <w:rFonts w:ascii="Arial" w:cs="Arial" w:eastAsia="Arial" w:hAnsi="Arial"/>
          <w:sz w:val="24"/>
          <w:szCs w:val="24"/>
          <w:color w:val="auto"/>
          <w:vertAlign w:val="superscript"/>
        </w:rPr>
      </w:pPr>
      <w:r>
        <w:rPr>
          <w:rFonts w:ascii="Arial" w:cs="Arial" w:eastAsia="Arial" w:hAnsi="Arial"/>
          <w:sz w:val="16"/>
          <w:szCs w:val="16"/>
          <w:color w:val="auto"/>
        </w:rPr>
        <w:t>competition for acquisitions could result in increased prices for acquisitions,</w:t>
      </w:r>
    </w:p>
    <w:p>
      <w:pPr>
        <w:spacing w:after="0" w:line="102" w:lineRule="exact"/>
        <w:rPr>
          <w:rFonts w:ascii="Arial" w:cs="Arial" w:eastAsia="Arial" w:hAnsi="Arial"/>
          <w:sz w:val="24"/>
          <w:szCs w:val="24"/>
          <w:color w:val="auto"/>
          <w:vertAlign w:val="superscript"/>
        </w:rPr>
      </w:pPr>
    </w:p>
    <w:p>
      <w:pPr>
        <w:ind w:left="1260" w:hanging="455"/>
        <w:spacing w:after="0" w:line="181" w:lineRule="auto"/>
        <w:tabs>
          <w:tab w:leader="none" w:pos="1260" w:val="left"/>
        </w:tabs>
        <w:numPr>
          <w:ilvl w:val="1"/>
          <w:numId w:val="1"/>
        </w:numPr>
        <w:rPr>
          <w:rFonts w:ascii="Arial" w:cs="Arial" w:eastAsia="Arial" w:hAnsi="Arial"/>
          <w:sz w:val="24"/>
          <w:szCs w:val="24"/>
          <w:color w:val="auto"/>
          <w:vertAlign w:val="superscript"/>
        </w:rPr>
      </w:pPr>
      <w:r>
        <w:rPr>
          <w:rFonts w:ascii="Arial" w:cs="Arial" w:eastAsia="Arial" w:hAnsi="Arial"/>
          <w:sz w:val="16"/>
          <w:szCs w:val="16"/>
          <w:color w:val="auto"/>
        </w:rPr>
        <w:t>environmental issues may develop at our properties and result in unanticipated costs, and</w:t>
      </w:r>
    </w:p>
    <w:p>
      <w:pPr>
        <w:spacing w:after="0" w:line="102" w:lineRule="exact"/>
        <w:rPr>
          <w:rFonts w:ascii="Arial" w:cs="Arial" w:eastAsia="Arial" w:hAnsi="Arial"/>
          <w:sz w:val="24"/>
          <w:szCs w:val="24"/>
          <w:color w:val="auto"/>
          <w:vertAlign w:val="superscript"/>
        </w:rPr>
      </w:pPr>
    </w:p>
    <w:p>
      <w:pPr>
        <w:ind w:left="1260" w:hanging="455"/>
        <w:spacing w:after="0" w:line="181" w:lineRule="auto"/>
        <w:tabs>
          <w:tab w:leader="none" w:pos="1260" w:val="left"/>
        </w:tabs>
        <w:numPr>
          <w:ilvl w:val="1"/>
          <w:numId w:val="1"/>
        </w:numPr>
        <w:rPr>
          <w:rFonts w:ascii="Arial" w:cs="Arial" w:eastAsia="Arial" w:hAnsi="Arial"/>
          <w:sz w:val="24"/>
          <w:szCs w:val="24"/>
          <w:color w:val="auto"/>
          <w:vertAlign w:val="superscript"/>
        </w:rPr>
      </w:pPr>
      <w:r>
        <w:rPr>
          <w:rFonts w:ascii="Arial" w:cs="Arial" w:eastAsia="Arial" w:hAnsi="Arial"/>
          <w:sz w:val="16"/>
          <w:szCs w:val="16"/>
          <w:color w:val="auto"/>
        </w:rPr>
        <w:t>because real estate is illiquid, we may not be able to sell properties when appropriate;</w:t>
      </w:r>
    </w:p>
    <w:p>
      <w:pPr>
        <w:spacing w:after="0" w:line="102" w:lineRule="exact"/>
        <w:rPr>
          <w:rFonts w:ascii="Arial" w:cs="Arial" w:eastAsia="Arial" w:hAnsi="Arial"/>
          <w:sz w:val="24"/>
          <w:szCs w:val="24"/>
          <w:color w:val="auto"/>
          <w:vertAlign w:val="superscript"/>
        </w:rPr>
      </w:pPr>
    </w:p>
    <w:p>
      <w:pPr>
        <w:ind w:left="800" w:hanging="225"/>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89" w:lineRule="exact"/>
        <w:rPr>
          <w:rFonts w:ascii="Arial" w:cs="Arial" w:eastAsia="Arial" w:hAnsi="Arial"/>
          <w:sz w:val="18"/>
          <w:szCs w:val="18"/>
          <w:color w:val="auto"/>
        </w:rPr>
      </w:pPr>
    </w:p>
    <w:p>
      <w:pPr>
        <w:ind w:left="800" w:right="240" w:hanging="225"/>
        <w:spacing w:after="0" w:line="259"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color w:val="auto"/>
        </w:rPr>
      </w:pPr>
    </w:p>
    <w:p>
      <w:pPr>
        <w:ind w:left="800" w:right="240" w:hanging="225"/>
        <w:spacing w:after="0" w:line="259"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incorporated by reference into this prospectus supplement and the accompanying prospectus. Except as may be required by law, we make no promise to update any of the forward-looking statements whether as a result of new information, future events or otherwise.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SUPPLEMENT SUMMARY</w:t>
      </w:r>
    </w:p>
    <w:p>
      <w:pPr>
        <w:spacing w:after="0" w:line="164" w:lineRule="exact"/>
        <w:rPr>
          <w:sz w:val="20"/>
          <w:szCs w:val="20"/>
          <w:color w:val="auto"/>
        </w:rPr>
      </w:pPr>
    </w:p>
    <w:p>
      <w:pPr>
        <w:ind w:left="240" w:right="60"/>
        <w:spacing w:after="0" w:line="370" w:lineRule="auto"/>
        <w:rPr>
          <w:sz w:val="20"/>
          <w:szCs w:val="20"/>
          <w:color w:val="auto"/>
        </w:rPr>
      </w:pPr>
      <w:r>
        <w:rPr>
          <w:rFonts w:ascii="Arial" w:cs="Arial" w:eastAsia="Arial" w:hAnsi="Arial"/>
          <w:sz w:val="15"/>
          <w:szCs w:val="15"/>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Trust</w:t>
      </w:r>
    </w:p>
    <w:p>
      <w:pPr>
        <w:spacing w:after="0" w:line="164"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 quality retail assets. As of September 30, 2005, we owned or had an interest in 102 community and neighborhood shopping centers, and retail mixed-use properties containing approximately 17.3 million square feet, and one apartment complex, located primarily in densely populated and affluent communities throughout the Northeast and Mid-Atlantic United States as well as California. A joint venture in which we own a 30% interest owned four neighborhood shopping centers totaling approximately 0.5 million square feet as of September 30, 2005.</w:t>
      </w:r>
    </w:p>
    <w:p>
      <w:pPr>
        <w:spacing w:after="0" w:line="102"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We operate in a manner intended to qualify as a real estate investment trust for tax purposes pursuant to provisions of the Internal Revenue Code. Our offices are located at 1626 East Jefferson Street, Rockville, Maryland 20852. Our telephone number is (301) 998-8100 or (800) 658-8980. Our website address is www.federalrealty.com. The information contained on our website is not a part of this prospectus supplement.</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jc w:val="both"/>
        <w:ind w:right="160" w:firstLine="571"/>
        <w:spacing w:after="0" w:line="259" w:lineRule="auto"/>
        <w:rPr>
          <w:sz w:val="20"/>
          <w:szCs w:val="20"/>
          <w:color w:val="auto"/>
        </w:rPr>
      </w:pPr>
      <w:r>
        <w:rPr>
          <w:rFonts w:ascii="Arial" w:cs="Arial" w:eastAsia="Arial" w:hAnsi="Arial"/>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ectPr>
          <w:pgSz w:w="11900" w:h="16838" w:orient="portrait"/>
          <w:cols w:equalWidth="0" w:num="1">
            <w:col w:w="11400"/>
          </w:cols>
          <w:pgMar w:left="240" w:top="459" w:right="25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$125,000,000 aggregate principal amount of 5.65% Notes due 2016.</w:t>
      </w:r>
    </w:p>
    <w:p>
      <w:pPr>
        <w:spacing w:after="0" w:line="152"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Unless redeemed prior to maturity as described below, the notes will mature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 June 1, 2016.</w:t>
      </w:r>
    </w:p>
    <w:p>
      <w:pPr>
        <w:spacing w:after="0" w:line="111"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ind w:right="60"/>
        <w:spacing w:after="0" w:line="332" w:lineRule="auto"/>
        <w:rPr>
          <w:sz w:val="20"/>
          <w:szCs w:val="20"/>
          <w:color w:val="auto"/>
        </w:rPr>
      </w:pPr>
      <w:r>
        <w:rPr>
          <w:rFonts w:ascii="Arial" w:cs="Arial" w:eastAsia="Arial" w:hAnsi="Arial"/>
          <w:sz w:val="16"/>
          <w:szCs w:val="16"/>
          <w:color w:val="auto"/>
        </w:rPr>
        <w:t>Interest on the notes will be payable semi-annually in arrears on June 1 and December 1, commencing June 1, 2006, and at maturity.</w:t>
      </w:r>
    </w:p>
    <w:p>
      <w:pPr>
        <w:spacing w:after="0" w:line="31"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The notes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unsubordinated indebtedness, and the notes will be effectively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subordinated to the prior claims of each secured mortgage lender to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specific property which secures such lender’s mortgage and to all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unsecured indebtedness issued by our subsidiaries. After giving effect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offering and to the use of proceeds from this offering, we will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approximately $249 million of secured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collateralized by all or parts of 12 properties, approximately $11 million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unsecured indebtedness issued by our subsidiaries and approximately $817</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million of other unsecured indebtedness ranking equally with the notes.</w:t>
      </w:r>
    </w:p>
    <w:p>
      <w:pPr>
        <w:spacing w:after="0" w:line="174"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5"/>
          <w:szCs w:val="15"/>
          <w:color w:val="auto"/>
        </w:rPr>
        <w:t>S-1</w:t>
      </w:r>
    </w:p>
    <w:p>
      <w:pPr>
        <w:sectPr>
          <w:pgSz w:w="11900" w:h="16838" w:orient="portrait"/>
          <w:cols w:equalWidth="0" w:num="1">
            <w:col w:w="11400"/>
          </w:cols>
          <w:pgMar w:left="240" w:top="459" w:right="259" w:bottom="1440" w:gutter="0" w:footer="0" w:header="0"/>
          <w:type w:val="continuous"/>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net proceeds from this offering are estimated to be $123.9 million after deducting the underwriting discount and other estimated expenses of this offering. We expect to use these net proceeds to reduce amounts outstanding under our revolving credit facility, including amounts drawn to repay our $40 million of 6.625% Notes due December 2005, to fund our redevelopment pipeline, and for general corporate purposes. See “Use of Proceeds” on page S-7 for more information.</w:t>
      </w:r>
    </w:p>
    <w:p>
      <w:pPr>
        <w:spacing w:after="0" w:line="64"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Limitations on Incurrence of Debt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notes contain various covenants, including the following:</w:t>
      </w:r>
    </w:p>
    <w:p>
      <w:pPr>
        <w:spacing w:after="0" w:line="100"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(1) we will not, and will not permit any subsidiary to, incur any Debt if,</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immediately after giving effect to the incurrence of such Debt and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application of the proceeds thereof, the aggregate principal amount of all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our outstanding Debt and our subsidiaries on a consolidated basis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determined in accordance with generally accepted accounting principles is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greater than 60% of the sum of (without duplication) (a) Total Assets as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end of the calendar quarter covered in our Annual Report on Form 10-K</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or Quarterly Report on Form 10-Q, as the case may be, most recently filed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with the SEC (or, if such filing is not permitted under the Exchange Act,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with the Trustee) prior to the incurrence of such additional Debt and (b)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purchase price of any real estate assets or mortgages receivable acquired,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and the amount of any securities offering proceeds received (to the extent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such proceeds were not used to acquire real estate assets or mortgages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receivable or used to reduce Debt), by us or any subsidiary since the end of</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such calendar quarter, including those proceeds obtained in connection with</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incurrence of such additional Debt;</w:t>
      </w:r>
    </w:p>
    <w:p>
      <w:pPr>
        <w:spacing w:after="0" w:line="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(2) we will not, and will not permit any subsidiary to, incur any Debt</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secured by any mortgage, lien, charge, pledge, encumbrance or security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interest of any kind upon any of our or any of our subsidiaries’ property if,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immediately after giving effect to the incurrence of such Debt and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application of the proceeds thereof, the aggregate principal amount of all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our and our subsidiaries’ outstanding Debt on a consolidated basis which is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secured by any mortgage, lien, charge, pledge, encumbrance or security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interest on our or our subsidiaries’ property is greater than 40% of the sum</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of (without duplication) (a) Total Assets as of the end of the calendar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quarter covered in our Annual Report on Form 10-K or Quarterly Report 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Form 10-Q, as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w:t>
      </w:r>
    </w:p>
    <w:p>
      <w:pPr>
        <w:sectPr>
          <w:pgSz w:w="11900" w:h="16838" w:orient="portrait"/>
          <w:cols w:equalWidth="0" w:num="1">
            <w:col w:w="11400"/>
          </w:cols>
          <w:pgMar w:left="240" w:top="459" w:right="2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case may be, most recently filed with the SEC (or, if such filing is not</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permitted under the Exchange Act, with the Trustee) prior to the incurrence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of such additional Debt and (b) the purchase price of any real estate assets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or mortgages receivable acquired, and the amount of any securities offering</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proceeds received (to the extent such proceeds were not used to acquire real</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estate assets or mortgages receivable or used to reduce Debt), by us or any</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subsidiary since the end of such calendar quarter, including those proceeds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obtained in connection with the incurrence of such additional Debt;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provided that for purposes of this limitation, the amount of obligations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under capital leases shown as a liability on our consolidated balance sheet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shall be deducted from Debt and from Total Assets;</w:t>
      </w:r>
    </w:p>
    <w:p>
      <w:pPr>
        <w:spacing w:after="0" w:line="7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(3) we will not, and will not permit any subsidiary to, incur any Debt if the</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ratio of Consolidated Income Available for Debt Service to the Annual Debt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Service Charge for the four consecutive fiscal quarters most recently ended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prior to the date on which such additional Debt is to be incurred shall have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been less than 1.5 to 1, on an unaudited pro forma basis after giving effect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thereto and to the application of the proceeds therefrom and calculated 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assumption that (a) such Debt and any other Debt incurred by us and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our subsidiaries since the first day of such four-quarter period and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application of the proceeds therefrom, including to refinance other Debt,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had occurred at the beginning of such period; (b) the repayment 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retirement of any other Debt by us and our subsidiaries since the first day of</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such four-quarter period had been repaid or retired at the beginning of such</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period (except that, in making such computation, the amount of Debt under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any revolving credit facility shall be computed based upon the average daily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balance of such Debt during such period); (c) in the case of Acquired Debt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or Debt incurred in connection with any acquisition since the first day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such four-quarter period, the related acquisition had occurred as of the first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day of such period, with the appropriate adjustments with respect to such</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acquisition being included in such unaudited pro forma calculation; and (d)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 the case of any acquisition or disposition by us or our subsidiaries of any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asset or group of assets since the first day of such four-quarter period,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whether by merger, stock</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purchase or sale, or asset purchase or sale, such acquisition or disposition or</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any related repayment of Debt had occurred as of the first day of such</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period, with the appropriate adjustments with respect to such acquisition or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disposition being included in such unaudited pro forma calculation; and</w:t>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(4) we, together with our subsidiaries, will maintain an Unencumbered</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Total Asset Value in an amount not less than 150% of the aggregate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outstanding principal amount of all of our and our subsidiaries’ unsecured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Debt.</w:t>
      </w:r>
    </w:p>
    <w:p>
      <w:pPr>
        <w:sectPr>
          <w:pgSz w:w="11900" w:h="16838" w:orient="portrait"/>
          <w:cols w:equalWidth="0" w:num="1">
            <w:col w:w="11420"/>
          </w:cols>
          <w:pgMar w:left="240" w:top="459" w:right="2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notes are redeemable at any time at our option, in whole or in part, at a redemption price equal to the greater of (1) 100% of the principal amount of the notes being redeemed, or (2) the sum of the present values of the remaining scheduled payments of principal and interest thereon, discounted to the redemption date on a semi-annual basis at the Adjusted Treasury Rate plus 20 basis points, plus, in each case, accrued interest thereon to the redemption date. A detailed description is in “Description of Notes — Optional Redemption.”</w:t>
      </w:r>
    </w:p>
    <w:p>
      <w:pPr>
        <w:spacing w:after="0" w:line="105"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i w:val="1"/>
          <w:iCs w:val="1"/>
          <w:color w:val="auto"/>
        </w:rPr>
        <w:t>An investment in the notes involves a significant degree of risk. You should carefully consider the following risk factors, together with all of the other information included or incorporated by reference in this prospectus supplement, including the additional risk factors included in our Current Report on Form 8-K filed with the SEC on March 2, 2005, before you decide to purchase the notes. The risks and uncertainties described below and in the referenced Form 8-K are not the only ones we may confront. Additional risks and uncertainties not currently known to us or that we currently deem immaterial also may impair our business operations. If any of those risks actually occur, our financial condition, operating results and prospects could be materially adversely affected. This section contains forward-looking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83"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necessary funds from these sources on acceptable terms or at all.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structurally subordinated to the claims of our subsidiaries’ creditors and the subsidiaries’ preferred equity holders.</w:t>
      </w:r>
    </w:p>
    <w:p>
      <w:pPr>
        <w:spacing w:after="0" w:line="83"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Because the notes are not guaranteed by our subsidiaries, the notes effectively will be subordinated in right of payment to all of their existing and future liabilities. As a result, in the event of a bankruptcy, liquidation, dissolution, reorganization or similar proceeding with respect to any of the subsidiaries, the holders of any indebtedness of that subsidiary will be entitled to obtain payment of that indebtedness from the assets of that subsidiary before the holders of any of our general unsecured obligations, including the notes. At September 30, 2005, after giving effect to this offering and the application of the net proceeds, our subsidiaries had approximately $73 million of debt outstanding,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unsecured and are effectively subordinated to our secured indebtedness.</w:t>
      </w:r>
    </w:p>
    <w:p>
      <w:pPr>
        <w:spacing w:after="0" w:line="83"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Because the notes will be unsecured, they will be effectively subordinated to any of our secured indebtedness to the extent of the value of the assets securing the indebtedness. The indenture permits us and our subsidiaries to incur additional secured indebtedness, provided that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September 30, 2005, after giving effect to this offering and the application of the net proceeds, we had approximately $249 million of secured debt outstanding, all of which was effectively senior to the notes to the extent of the value of the securing assets.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83"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notes will be a new issue of securities for which there is currently no market. We do not intend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77" w:lineRule="exact"/>
        <w:rPr>
          <w:sz w:val="20"/>
          <w:szCs w:val="20"/>
          <w:color w:val="auto"/>
        </w:rPr>
      </w:pPr>
    </w:p>
    <w:p>
      <w:pPr>
        <w:ind w:left="800" w:hanging="22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185" w:lineRule="exact"/>
        <w:rPr>
          <w:sz w:val="20"/>
          <w:szCs w:val="20"/>
          <w:color w:val="auto"/>
        </w:rPr>
      </w:pPr>
    </w:p>
    <w:p>
      <w:pPr>
        <w:ind w:right="140" w:firstLine="571"/>
        <w:spacing w:after="0" w:line="332" w:lineRule="auto"/>
        <w:rPr>
          <w:sz w:val="20"/>
          <w:szCs w:val="20"/>
          <w:color w:val="auto"/>
        </w:rPr>
      </w:pPr>
      <w:r>
        <w:rPr>
          <w:rFonts w:ascii="Arial" w:cs="Arial" w:eastAsia="Arial" w:hAnsi="Arial"/>
          <w:sz w:val="16"/>
          <w:szCs w:val="16"/>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The net proceeds to us from the sale of the notes offered by this prospectus supplement are estimated to be $123.9 million, after deducting the underwriting discount and other estimated expenses of this offering payable by us. We intend to use these net proceeds to reduce borrowings under our revolving credit facility, including amounts drawn down to repay our $40 million of 6.625% Notes due December 2005, to fund our redevelopment pipeline, and for general corporate purposes. As of November 21, 2005, we had approximately $120 million of debt outstanding on our revolving credit facility bearing interest at a weighted average annual rate of 4.46%. Our revolving credit facility matures in October 2006 subject to a one-year extension at our option. The borrowings under our credit facility were used for general corporate purposes, including working capital, property acquisitions and redevelopments. Affiliates of Wachovia Capital Markets, LLC, Citigroup Global Markets Inc., Commerzbank Capital Markets Corp., J.P. Morgan Securities Inc. and PNC Capital Markets, Inc. are lenders under our revolving credit facility and will receive a pro rata portion of any proceeds used to reduce amounts outstanding under the credit facility.</w:t>
      </w:r>
    </w:p>
    <w:p>
      <w:pPr>
        <w:spacing w:after="0" w:line="9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RATIOS OF EARNINGS TO FIXED CHARGES</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our consolidated ratios of earnings to fixed charges for the periods shown: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gridSpan w:val="3"/>
          </w:tcPr>
          <w:p>
            <w:pPr>
              <w:jc w:val="center"/>
              <w:ind w:left="387"/>
              <w:spacing w:after="0"/>
              <w:rPr>
                <w:sz w:val="20"/>
                <w:szCs w:val="20"/>
                <w:color w:val="auto"/>
              </w:rPr>
            </w:pPr>
            <w:r>
              <w:rPr>
                <w:rFonts w:ascii="Arial" w:cs="Arial" w:eastAsia="Arial" w:hAnsi="Arial"/>
                <w:sz w:val="14"/>
                <w:szCs w:val="14"/>
                <w:b w:val="1"/>
                <w:bCs w:val="1"/>
                <w:color w:val="auto"/>
                <w:w w:val="85"/>
              </w:rPr>
              <w:t>September 30,</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60" w:type="dxa"/>
            <w:vAlign w:val="bottom"/>
          </w:tcPr>
          <w:p>
            <w:pPr>
              <w:spacing w:after="0"/>
              <w:rPr>
                <w:sz w:val="22"/>
                <w:szCs w:val="22"/>
                <w:color w:val="auto"/>
              </w:rPr>
            </w:pPr>
          </w:p>
        </w:tc>
        <w:tc>
          <w:tcPr>
            <w:tcW w:w="380" w:type="dxa"/>
            <w:vAlign w:val="bottom"/>
          </w:tcPr>
          <w:p>
            <w:pPr>
              <w:ind w:left="60"/>
              <w:spacing w:after="0"/>
              <w:rPr>
                <w:sz w:val="20"/>
                <w:szCs w:val="20"/>
                <w:color w:val="auto"/>
              </w:rPr>
            </w:pPr>
            <w:r>
              <w:rPr>
                <w:rFonts w:ascii="Arial" w:cs="Arial" w:eastAsia="Arial" w:hAnsi="Arial"/>
                <w:sz w:val="14"/>
                <w:szCs w:val="14"/>
                <w:b w:val="1"/>
                <w:bCs w:val="1"/>
                <w:color w:val="auto"/>
                <w:w w:val="96"/>
              </w:rPr>
              <w:t>2000</w:t>
            </w:r>
          </w:p>
        </w:tc>
        <w:tc>
          <w:tcPr>
            <w:tcW w:w="600" w:type="dxa"/>
            <w:vAlign w:val="bottom"/>
            <w:gridSpan w:val="2"/>
          </w:tcPr>
          <w:p>
            <w:pPr>
              <w:ind w:left="280"/>
              <w:spacing w:after="0"/>
              <w:rPr>
                <w:sz w:val="20"/>
                <w:szCs w:val="20"/>
                <w:color w:val="auto"/>
              </w:rPr>
            </w:pPr>
            <w:r>
              <w:rPr>
                <w:rFonts w:ascii="Arial" w:cs="Arial" w:eastAsia="Arial" w:hAnsi="Arial"/>
                <w:sz w:val="14"/>
                <w:szCs w:val="14"/>
                <w:b w:val="1"/>
                <w:bCs w:val="1"/>
                <w:color w:val="auto"/>
                <w:w w:val="96"/>
              </w:rPr>
              <w:t>2001</w:t>
            </w:r>
          </w:p>
        </w:tc>
        <w:tc>
          <w:tcPr>
            <w:tcW w:w="58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89"/>
              </w:rPr>
              <w:t>2002</w:t>
            </w:r>
          </w:p>
        </w:tc>
        <w:tc>
          <w:tcPr>
            <w:tcW w:w="2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22"/>
                <w:szCs w:val="22"/>
                <w:color w:val="auto"/>
              </w:rPr>
            </w:pPr>
          </w:p>
        </w:tc>
        <w:tc>
          <w:tcPr>
            <w:tcW w:w="660" w:type="dxa"/>
            <w:vAlign w:val="bottom"/>
          </w:tcPr>
          <w:p>
            <w:pPr>
              <w:jc w:val="right"/>
              <w:ind w:right="127"/>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jc w:val="right"/>
              <w:ind w:right="142"/>
              <w:spacing w:after="0"/>
              <w:rPr>
                <w:sz w:val="20"/>
                <w:szCs w:val="20"/>
                <w:color w:val="auto"/>
              </w:rPr>
            </w:pPr>
            <w:r>
              <w:rPr>
                <w:rFonts w:ascii="Arial" w:cs="Arial" w:eastAsia="Arial" w:hAnsi="Arial"/>
                <w:sz w:val="14"/>
                <w:szCs w:val="14"/>
                <w:b w:val="1"/>
                <w:bCs w:val="1"/>
                <w:color w:val="auto"/>
                <w:w w:val="76"/>
              </w:rPr>
              <w:t>2005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1.4x</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1.4x</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1.2x</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1.6x</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1.7x</w:t>
            </w:r>
          </w:p>
        </w:tc>
        <w:tc>
          <w:tcPr>
            <w:tcW w:w="1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1.7x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The ratios of earnings to fixed charges were computed by dividing earnings by fixed charges. In computing the ratio of earnings to fixed charges: (a) earnings have been based on income from continuing operations before fixed charges (exclusive of interest capitalized); and (b) fixed charges consist of interest and amortization of debt discount and expense (including amounts capitalized) and the estimated interest portion of rents.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164" w:lineRule="exact"/>
        <w:rPr>
          <w:sz w:val="20"/>
          <w:szCs w:val="20"/>
          <w:color w:val="auto"/>
        </w:rPr>
      </w:pPr>
    </w:p>
    <w:p>
      <w:pPr>
        <w:jc w:val="both"/>
        <w:ind w:right="400" w:firstLine="571"/>
        <w:spacing w:after="0" w:line="259" w:lineRule="auto"/>
        <w:rPr>
          <w:sz w:val="20"/>
          <w:szCs w:val="20"/>
          <w:color w:val="auto"/>
        </w:rPr>
      </w:pPr>
      <w:r>
        <w:rPr>
          <w:rFonts w:ascii="Arial" w:cs="Arial" w:eastAsia="Arial" w:hAnsi="Arial"/>
          <w:sz w:val="18"/>
          <w:szCs w:val="18"/>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are offering $125,000,000 of our 5.65% notes maturing on June 1, 2016, which may be redeemed prior to that date in accordance with their terms.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notes are to be issued as a separate series of debt securities under the senior indenture, which is more fully described in the accompanying prospectus.</w:t>
      </w:r>
    </w:p>
    <w:p>
      <w:pPr>
        <w:spacing w:after="0" w:line="174"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We will pay interest on the notes semi-annually in arrears on June 1 and December 1 of each year, commencing June 1, 2006, to the registered holders of the notes on the preceding May 15 and November 15.</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defeasance and covenant defeasance provisions of the senior indenture apply to the notes. The notes will not be entitled to the benefit of any sinking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151" w:lineRule="exact"/>
        <w:rPr>
          <w:sz w:val="20"/>
          <w:szCs w:val="20"/>
          <w:color w:val="auto"/>
        </w:rPr>
      </w:pPr>
    </w:p>
    <w:p>
      <w:pPr>
        <w:ind w:right="100" w:firstLine="571"/>
        <w:spacing w:after="0" w:line="306" w:lineRule="auto"/>
        <w:rPr>
          <w:sz w:val="20"/>
          <w:szCs w:val="20"/>
          <w:color w:val="auto"/>
        </w:rPr>
      </w:pPr>
      <w:r>
        <w:rPr>
          <w:rFonts w:ascii="Arial" w:cs="Arial" w:eastAsia="Arial" w:hAnsi="Arial"/>
          <w:sz w:val="16"/>
          <w:szCs w:val="16"/>
          <w:color w:val="auto"/>
        </w:rPr>
        <w:t>We may, without the consent of the holders of the notes, create and issue additional notes in the future having the same terms other than the date of original issuance, the issue price and the date on which interest begins to accrue so as to form a single series with the notes. We also may issue from time to time other series of debt securities under the senior indenture consisting of notes or other unsecured evidences of indebtedness.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8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 xml:space="preserve">The notes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 and unsubordinated indebtedness, and the notes will be effectively subordinated to the prior claims of each secured mortgage lender to any specific property which secures such lender’s mortgage and to all of the unsecured indebtedness issued by our subsidiaries. After giving effect to this offering and to the use of proceeds from this offering, we will have outstanding approximately $249 million of secured indebtedness collateralized by all or parts of 12 properties, approximately $11 million of unsecured indebtedness issued by our subsidiaries and approximately $817 million of other unsecured indebtedness ranking equally with the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We may redeem the notes at any time in whole or from time to time in part at a redemption price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20 basis points plus, in each case, accrued interest thereon to the redemption date.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158" w:lineRule="exact"/>
        <w:rPr>
          <w:sz w:val="20"/>
          <w:szCs w:val="20"/>
          <w:color w:val="auto"/>
        </w:rPr>
      </w:pPr>
    </w:p>
    <w:p>
      <w:pPr>
        <w:ind w:right="360" w:firstLine="5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27" w:lineRule="exact"/>
        <w:rPr>
          <w:sz w:val="20"/>
          <w:szCs w:val="20"/>
          <w:color w:val="auto"/>
        </w:rPr>
      </w:pPr>
    </w:p>
    <w:p>
      <w:pPr>
        <w:ind w:right="280" w:firstLine="5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such Reference Treasury Dealer Quotations, or (2) if the Trustee obtains fewer than three such Reference Treasury Dealer Quotations, the average of all such Quotations.</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158" w:lineRule="exact"/>
        <w:rPr>
          <w:sz w:val="20"/>
          <w:szCs w:val="20"/>
          <w:color w:val="auto"/>
        </w:rPr>
      </w:pPr>
    </w:p>
    <w:p>
      <w:pPr>
        <w:ind w:right="240" w:firstLine="57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(1) each of Citigroup Global Markets Inc., Merrill Lynch, Pierce, Fenner &amp; Smith Incorporated and one other primary U.S. Government securities dealer in New York City selected by Wachovia Capital Markets, LLC,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of the foregoing cease to be a primary U.S. Government securities dealer (a “Primary Treasury Dealer”), we will substitute therefor another Primary Treasury Dealer; and (2) any other Primary Treasury Dealer selected by us.</w:t>
      </w:r>
    </w:p>
    <w:p>
      <w:pPr>
        <w:spacing w:after="0" w:line="130" w:lineRule="exact"/>
        <w:rPr>
          <w:sz w:val="20"/>
          <w:szCs w:val="20"/>
          <w:color w:val="auto"/>
        </w:rPr>
      </w:pPr>
    </w:p>
    <w:p>
      <w:pPr>
        <w:jc w:val="both"/>
        <w:ind w:right="60" w:firstLine="57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93"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83" w:lineRule="exact"/>
        <w:rPr>
          <w:sz w:val="20"/>
          <w:szCs w:val="20"/>
          <w:color w:val="auto"/>
        </w:rPr>
      </w:pPr>
    </w:p>
    <w:p>
      <w:pPr>
        <w:ind w:right="220" w:firstLine="571"/>
        <w:spacing w:after="0" w:line="289" w:lineRule="auto"/>
        <w:rPr>
          <w:sz w:val="20"/>
          <w:szCs w:val="20"/>
          <w:color w:val="auto"/>
        </w:rPr>
      </w:pPr>
      <w:r>
        <w:rPr>
          <w:rFonts w:ascii="Arial" w:cs="Arial" w:eastAsia="Arial" w:hAnsi="Arial"/>
          <w:sz w:val="16"/>
          <w:szCs w:val="16"/>
          <w:i w:val="1"/>
          <w:iCs w:val="1"/>
          <w:color w:val="auto"/>
        </w:rPr>
        <w:t>Limitations on Incurrence of Debt</w:t>
      </w:r>
      <w:r>
        <w:rPr>
          <w:rFonts w:ascii="Arial" w:cs="Arial" w:eastAsia="Arial" w:hAnsi="Arial"/>
          <w:sz w:val="16"/>
          <w:szCs w:val="16"/>
          <w:color w:val="auto"/>
        </w:rPr>
        <w:t>. The notes will provide that we will not, and will not permit any subsidiary to, incur any Debt if, immediately after</w:t>
      </w:r>
      <w:r>
        <w:rPr>
          <w:rFonts w:ascii="Arial" w:cs="Arial" w:eastAsia="Arial" w:hAnsi="Arial"/>
          <w:sz w:val="16"/>
          <w:szCs w:val="16"/>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outstanding Debt and our subsidiaries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05"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subsidiary’s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any subsidiary since the end of such calendar quarter, including those proceeds obtained in connection with the incurrence of such additional Debt;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for purposes of this limitation, the amount of obligations under capital leases shown as a liability on our consolidated balance sheet shall be deducted from Debt and from Total Assets.</w:t>
      </w:r>
    </w:p>
    <w:p>
      <w:pPr>
        <w:spacing w:after="0" w:line="127"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 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07" w:lineRule="exact"/>
        <w:rPr>
          <w:sz w:val="20"/>
          <w:szCs w:val="20"/>
          <w:color w:val="auto"/>
        </w:rPr>
      </w:pPr>
    </w:p>
    <w:p>
      <w:pPr>
        <w:ind w:right="40" w:firstLine="571"/>
        <w:spacing w:after="0" w:line="370" w:lineRule="auto"/>
        <w:rPr>
          <w:sz w:val="20"/>
          <w:szCs w:val="20"/>
          <w:color w:val="auto"/>
        </w:rPr>
      </w:pPr>
      <w:r>
        <w:rPr>
          <w:rFonts w:ascii="Arial" w:cs="Arial" w:eastAsia="Arial" w:hAnsi="Arial"/>
          <w:sz w:val="15"/>
          <w:szCs w:val="15"/>
          <w:i w:val="1"/>
          <w:iCs w:val="1"/>
          <w:color w:val="auto"/>
        </w:rPr>
        <w:t>Maintenance of Unencumbered Total Asset Value</w:t>
      </w:r>
      <w:r>
        <w:rPr>
          <w:rFonts w:ascii="Arial" w:cs="Arial" w:eastAsia="Arial" w:hAnsi="Arial"/>
          <w:sz w:val="15"/>
          <w:szCs w:val="15"/>
          <w:color w:val="auto"/>
        </w:rPr>
        <w:t>. The notes will provide that we, together with our subsidiaries, will at all times maintain an</w:t>
      </w:r>
      <w:r>
        <w:rPr>
          <w:rFonts w:ascii="Arial" w:cs="Arial" w:eastAsia="Arial" w:hAnsi="Arial"/>
          <w:sz w:val="15"/>
          <w:szCs w:val="15"/>
          <w:i w:val="1"/>
          <w:iCs w:val="1"/>
          <w:color w:val="auto"/>
        </w:rPr>
        <w:t xml:space="preserve"> </w:t>
      </w:r>
      <w:r>
        <w:rPr>
          <w:rFonts w:ascii="Arial" w:cs="Arial" w:eastAsia="Arial" w:hAnsi="Arial"/>
          <w:sz w:val="15"/>
          <w:szCs w:val="15"/>
          <w:color w:val="auto"/>
        </w:rPr>
        <w:t>Unencumbered Total Asset Value in an amount not less than 150% of the aggregate outstanding principal amount of all our and our subsidiaries’ unsecured Debt.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158"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30"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18"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27"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18" w:lineRule="exact"/>
        <w:rPr>
          <w:sz w:val="20"/>
          <w:szCs w:val="20"/>
          <w:color w:val="auto"/>
        </w:rPr>
      </w:pPr>
    </w:p>
    <w:p>
      <w:pPr>
        <w:ind w:right="36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 any of our or any of our subsidiaries’ indebtedness, whether or not contingent, in respect of (without duplication) (1) borrowed money evidenced by bonds, notes, debentures or similar instruments,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86"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11"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99"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18" w:lineRule="exact"/>
        <w:rPr>
          <w:sz w:val="20"/>
          <w:szCs w:val="20"/>
          <w:color w:val="auto"/>
        </w:rPr>
      </w:pPr>
    </w:p>
    <w:p>
      <w:pPr>
        <w:ind w:right="58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as of any date means the sum of (1) our and all of our subsidiaries’ Undepreciated Real Estate Assets and (2) all of our other assets determined in accordance with generally accepted accounting principles (but excluding goodwill).</w:t>
      </w:r>
    </w:p>
    <w:p>
      <w:pPr>
        <w:spacing w:after="0" w:line="118"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72"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i w:val="1"/>
          <w:iCs w:val="1"/>
          <w:color w:val="auto"/>
        </w:rPr>
        <w:t xml:space="preserve">“Unencumbered Total Asset Value” </w:t>
      </w:r>
      <w:r>
        <w:rPr>
          <w:rFonts w:ascii="Arial" w:cs="Arial" w:eastAsia="Arial" w:hAnsi="Arial"/>
          <w:sz w:val="18"/>
          <w:szCs w:val="18"/>
          <w:color w:val="auto"/>
        </w:rPr>
        <w:t>as of any date means the sum of (a) those Undepreciated Real Estate Assets not encumbered by any mortgage, lien,</w:t>
      </w:r>
      <w:r>
        <w:rPr>
          <w:rFonts w:ascii="Arial" w:cs="Arial" w:eastAsia="Arial" w:hAnsi="Arial"/>
          <w:sz w:val="18"/>
          <w:szCs w:val="18"/>
          <w:i w:val="1"/>
          <w:iCs w:val="1"/>
          <w:color w:val="auto"/>
        </w:rPr>
        <w:t xml:space="preserve"> </w:t>
      </w:r>
      <w:r>
        <w:rPr>
          <w:rFonts w:ascii="Arial" w:cs="Arial" w:eastAsia="Arial" w:hAnsi="Arial"/>
          <w:sz w:val="18"/>
          <w:szCs w:val="18"/>
          <w:color w:val="auto"/>
        </w:rPr>
        <w:t>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w:t>
      </w:r>
    </w:p>
    <w:p>
      <w:pPr>
        <w:spacing w:after="0" w:line="130" w:lineRule="exact"/>
        <w:rPr>
          <w:sz w:val="20"/>
          <w:szCs w:val="20"/>
          <w:color w:val="auto"/>
        </w:rPr>
      </w:pPr>
    </w:p>
    <w:p>
      <w:pPr>
        <w:ind w:right="280" w:firstLine="571"/>
        <w:spacing w:after="0" w:line="375" w:lineRule="auto"/>
        <w:rPr>
          <w:sz w:val="20"/>
          <w:szCs w:val="20"/>
          <w:color w:val="auto"/>
        </w:rPr>
      </w:pPr>
      <w:r>
        <w:rPr>
          <w:rFonts w:ascii="Arial" w:cs="Arial" w:eastAsia="Arial" w:hAnsi="Arial"/>
          <w:sz w:val="18"/>
          <w:szCs w:val="18"/>
          <w:color w:val="auto"/>
        </w:rPr>
        <w:t xml:space="preserve">See “Description of Debt Securities — Certain Covenants” in the accompanying prospectus for a description of additional covenants applicable to us. </w:t>
      </w:r>
      <w:r>
        <w:rPr>
          <w:rFonts w:ascii="Arial" w:cs="Arial" w:eastAsia="Arial" w:hAnsi="Arial"/>
          <w:sz w:val="18"/>
          <w:szCs w:val="18"/>
          <w:b w:val="1"/>
          <w:bCs w:val="1"/>
          <w:color w:val="auto"/>
        </w:rPr>
        <w:t>Book-Entry Form</w:t>
      </w:r>
    </w:p>
    <w:p>
      <w:pPr>
        <w:spacing w:after="0" w:line="1" w:lineRule="exact"/>
        <w:rPr>
          <w:sz w:val="20"/>
          <w:szCs w:val="20"/>
          <w:color w:val="auto"/>
        </w:rPr>
      </w:pPr>
    </w:p>
    <w:p>
      <w:pPr>
        <w:jc w:val="both"/>
        <w:ind w:right="120" w:firstLine="571"/>
        <w:spacing w:after="0" w:line="259" w:lineRule="auto"/>
        <w:rPr>
          <w:sz w:val="20"/>
          <w:szCs w:val="20"/>
          <w:color w:val="auto"/>
        </w:rPr>
      </w:pPr>
      <w:r>
        <w:rPr>
          <w:rFonts w:ascii="Arial" w:cs="Arial" w:eastAsia="Arial" w:hAnsi="Arial"/>
          <w:sz w:val="18"/>
          <w:szCs w:val="18"/>
          <w:color w:val="auto"/>
        </w:rPr>
        <w:t>We have established a depositary arrangement with The Depository Trust Company (the “Depositary”) with respect to the notes, the terms of which are summarized below. Upon issuance, the notes will be represented by a single Global Security and will be deposited with, or on behalf of, the Depositary and will be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49" w:lineRule="exact"/>
        <w:rPr>
          <w:sz w:val="20"/>
          <w:szCs w:val="20"/>
          <w:color w:val="auto"/>
        </w:rPr>
      </w:pPr>
    </w:p>
    <w:p>
      <w:pPr>
        <w:ind w:right="140" w:firstLine="571"/>
        <w:spacing w:after="0" w:line="289"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of the notes for all purposes under the senior indenture. Except as otherwise provided in this section, the Beneficial Owners of the Global Security representing the notes will not be entitled to receive physical delivery of Certificated notes and will not be considered the Holders thereof for any purpose under the senior indenture, and no Global Security representing the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senior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05" w:lineRule="exact"/>
        <w:rPr>
          <w:sz w:val="20"/>
          <w:szCs w:val="20"/>
          <w:color w:val="auto"/>
        </w:rPr>
      </w:pPr>
    </w:p>
    <w:p>
      <w:pPr>
        <w:ind w:right="100" w:firstLine="571"/>
        <w:spacing w:after="0" w:line="288" w:lineRule="auto"/>
        <w:rPr>
          <w:sz w:val="20"/>
          <w:szCs w:val="20"/>
          <w:color w:val="auto"/>
        </w:rPr>
      </w:pPr>
      <w:r>
        <w:rPr>
          <w:rFonts w:ascii="Arial" w:cs="Arial" w:eastAsia="Arial" w:hAnsi="Arial"/>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under the senior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Securities Registrar.</w:t>
      </w:r>
    </w:p>
    <w:p>
      <w:pPr>
        <w:spacing w:after="0" w:line="10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30"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(“Direct Participants”) include securities brokers and dealers, banks, trust companies, clearing corporations and certain other organizations. The Depositary is owned by a number of its Direct Participants and by the New York Stock Exchange, Inc., the American Stock Exchange, Inc. and the National Association of Securities Dealers, Inc. Access to the Depositary’s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SEC.</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05"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To facilitate subsequent transfers, the Global Security representing the notes which are deposited with, or on behalf of, the Depositary are registered in the name of the Depositary’s partnership nominee, Cede &amp; Co. The deposit of the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02"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27" w:lineRule="exact"/>
        <w:rPr>
          <w:sz w:val="20"/>
          <w:szCs w:val="20"/>
          <w:color w:val="auto"/>
        </w:rPr>
      </w:pPr>
    </w:p>
    <w:p>
      <w:pPr>
        <w:ind w:right="240" w:firstLine="571"/>
        <w:spacing w:after="0" w:line="335" w:lineRule="auto"/>
        <w:rPr>
          <w:sz w:val="20"/>
          <w:szCs w:val="20"/>
          <w:color w:val="auto"/>
        </w:rPr>
      </w:pPr>
      <w:r>
        <w:rPr>
          <w:rFonts w:ascii="Arial" w:cs="Arial" w:eastAsia="Arial" w:hAnsi="Arial"/>
          <w:sz w:val="15"/>
          <w:szCs w:val="15"/>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75" w:lineRule="exact"/>
        <w:rPr>
          <w:sz w:val="20"/>
          <w:szCs w:val="20"/>
          <w:color w:val="auto"/>
        </w:rPr>
      </w:pPr>
    </w:p>
    <w:p>
      <w:pPr>
        <w:ind w:right="160" w:firstLine="571"/>
        <w:spacing w:after="0" w:line="289" w:lineRule="auto"/>
        <w:rPr>
          <w:sz w:val="20"/>
          <w:szCs w:val="20"/>
          <w:color w:val="auto"/>
        </w:rPr>
      </w:pPr>
      <w:r>
        <w:rPr>
          <w:rFonts w:ascii="Arial" w:cs="Arial" w:eastAsia="Arial" w:hAnsi="Arial"/>
          <w:sz w:val="16"/>
          <w:szCs w:val="16"/>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Paying Agent, disbursement of such payments to Direct Participants shall be the responsibility of the Depositary, and disbursement of such payments to the Beneficial Owners shall be the responsibility of Direct Participants and Indirect Participants.</w:t>
      </w:r>
    </w:p>
    <w:p>
      <w:pPr>
        <w:spacing w:after="0" w:line="105"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18" w:lineRule="exact"/>
        <w:rPr>
          <w:sz w:val="20"/>
          <w:szCs w:val="20"/>
          <w:color w:val="auto"/>
        </w:rPr>
      </w:pPr>
    </w:p>
    <w:p>
      <w:pPr>
        <w:ind w:right="200" w:firstLine="571"/>
        <w:spacing w:after="0" w:line="256"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us or the Trustee.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FEDERAL INCOME TAX CONSIDERATIONS</w:t>
      </w:r>
    </w:p>
    <w:p>
      <w:pPr>
        <w:spacing w:after="0" w:line="164"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 xml:space="preserve">Subject to the preliminary considerations set forth in the prospectus, the following is a general discussion of the material U.S. federal income tax considerations applicable to initial holders of the notes. This discussion is based on the Internal Revenue Code of 1986, as amended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does not address all the tax consequences that may be relevant to a particular holder or to holders subject to special treatment under the Code, such as financial institutions, broker dealers, insurance companies, U.S. expatriates, tax-exempt organizations, persons that are, or that hold their notes through, partnerships or other pass-through entities, or persons that hold notes as part of a straddle, hedge, conversion, synthetic security or constructive sale transaction for U.S. federal income tax purposes. Except as specifically provided below with respect to Non-U.S. Holders (as defined below), the discussion is limited to holders of notes that are U.S. Holders and that hold their notes as capital assets within the meaning of the Code. </w:t>
      </w:r>
      <w:r>
        <w:rPr>
          <w:rFonts w:ascii="Arial" w:cs="Arial" w:eastAsia="Arial" w:hAnsi="Arial"/>
          <w:sz w:val="16"/>
          <w:szCs w:val="16"/>
          <w:b w:val="1"/>
          <w:bCs w:val="1"/>
          <w:color w:val="auto"/>
        </w:rPr>
        <w:t>Holders should consult their own tax advisors as to the particular U.S. federal income tax consequences to them of</w:t>
      </w:r>
      <w:r>
        <w:rPr>
          <w:rFonts w:ascii="Arial" w:cs="Arial" w:eastAsia="Arial" w:hAnsi="Arial"/>
          <w:sz w:val="16"/>
          <w:szCs w:val="16"/>
          <w:color w:val="auto"/>
        </w:rPr>
        <w:t xml:space="preserve"> </w:t>
      </w:r>
      <w:r>
        <w:rPr>
          <w:rFonts w:ascii="Arial" w:cs="Arial" w:eastAsia="Arial" w:hAnsi="Arial"/>
          <w:sz w:val="16"/>
          <w:szCs w:val="16"/>
          <w:b w:val="1"/>
          <w:bCs w:val="1"/>
          <w:color w:val="auto"/>
        </w:rPr>
        <w:t>acquiring, owning and disposing of the notes, as well as the effects of state, local and non-U.S. tax laws.</w:t>
      </w:r>
    </w:p>
    <w:p>
      <w:pPr>
        <w:spacing w:after="0" w:line="109" w:lineRule="exact"/>
        <w:rPr>
          <w:sz w:val="20"/>
          <w:szCs w:val="20"/>
          <w:color w:val="auto"/>
        </w:rPr>
      </w:pPr>
    </w:p>
    <w:p>
      <w:pPr>
        <w:ind w:right="100" w:firstLine="571"/>
        <w:spacing w:after="0" w:line="290" w:lineRule="auto"/>
        <w:rPr>
          <w:sz w:val="20"/>
          <w:szCs w:val="20"/>
          <w:color w:val="auto"/>
        </w:rPr>
      </w:pPr>
      <w:r>
        <w:rPr>
          <w:rFonts w:ascii="Arial" w:cs="Arial" w:eastAsia="Arial" w:hAnsi="Arial"/>
          <w:sz w:val="16"/>
          <w:szCs w:val="16"/>
          <w:color w:val="auto"/>
        </w:rPr>
        <w:t>For purposes of this discussion, a “U.S. Holder” means a beneficial owner of a note that, for U.S. federal income tax purposes, is (i) a citizen or individual resident of the United States, (ii) a corporation (including an entity treated as a corporation for U.S. federal income tax purposes) created or organized in or under the laws of the United States, any state thereof or the District of Columbia, (iii) an estate the income of which is includible in gross income for U.S. federal income tax purposes regardless of its source, or (iv) a trust if (A) a court in the United States is able to exercise primary supervision over the administration of the trust and one or more U.S. persons have the authority to control all substantial decisions of the trust, or (B) it has a valid election in place to be treated as a United States person. A “Non-U.S. Holder” means a beneficial owner of a note that is not a U.S. Holder or an entity or arrangement treated as a partnership for U.S. federal income tax purposes.</w:t>
      </w:r>
    </w:p>
    <w:p>
      <w:pPr>
        <w:spacing w:after="0" w:line="105"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 of partnerships should consult their tax advisors as to the particular U.S. federal income tax consequences applicable to them.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83"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b w:val="1"/>
          <w:bCs w:val="1"/>
          <w:i w:val="1"/>
          <w:iCs w:val="1"/>
          <w:color w:val="auto"/>
        </w:rPr>
        <w:t xml:space="preserve">Interest on the Notes. </w:t>
      </w:r>
      <w:r>
        <w:rPr>
          <w:rFonts w:ascii="Arial" w:cs="Arial" w:eastAsia="Arial" w:hAnsi="Arial"/>
          <w:sz w:val="16"/>
          <w:szCs w:val="16"/>
          <w:color w:val="auto"/>
        </w:rPr>
        <w:t>A U.S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generally will be required to include interest earned on the notes as ordinary income when received or accrued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accordance with the U.S. Holder’s regular method of tax accounting. In general, if the terms of a debt instrument entitle a holder to receive payments other than fixed periodic interest that exceed the issue price of the instrument, the holder may be required to recognize additional interest as “original issue discount” over the term of the instrument. The notes are not expected to be issued with original issue discount for U.S. federal income tax purposes.</w:t>
      </w:r>
    </w:p>
    <w:p>
      <w:pPr>
        <w:spacing w:after="0" w:line="99"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b w:val="1"/>
          <w:bCs w:val="1"/>
          <w:i w:val="1"/>
          <w:iCs w:val="1"/>
          <w:color w:val="auto"/>
        </w:rPr>
        <w:t xml:space="preserve">Disposition of the Notes. </w:t>
      </w:r>
      <w:r>
        <w:rPr>
          <w:rFonts w:ascii="Arial" w:cs="Arial" w:eastAsia="Arial" w:hAnsi="Arial"/>
          <w:sz w:val="18"/>
          <w:szCs w:val="18"/>
          <w:color w:val="auto"/>
        </w:rPr>
        <w:t>Upon the sale, exchange, redemption or other taxable disposition of a note, a U.S. Holder will generally recognize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or loss equal to the difference (if any) between the amount realized (other than amounts attributable to accrued but unpaid stated interest, which will be taxable as ordinary income) and such U.S. Holder’s tax basis in the note. The U.S. Holder’s tax basis in a note generally will be the purchase price for the note. Such gain or loss shall be treated as long-term capital gain or loss if the note was held for more than one year. Subject to limited exceptions, capital losses cannot be used to offset a U.S. Holder’s ordinary income.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83"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The rules governing the United States federal income taxation of Non-U.S. Holders are complex and no attempt will be made herein to provide more than a summary of such rules. Prospective Non-U.S.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Holders should consult with their own tax advisors to determine the impact of federal, state and local laws with regard to the notes.</w:t>
      </w:r>
    </w:p>
    <w:p>
      <w:pPr>
        <w:spacing w:after="0" w:line="158"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b w:val="1"/>
          <w:bCs w:val="1"/>
          <w:i w:val="1"/>
          <w:iCs w:val="1"/>
          <w:color w:val="auto"/>
        </w:rPr>
        <w:t xml:space="preserve">Interest on the Notes. </w:t>
      </w:r>
      <w:r>
        <w:rPr>
          <w:rFonts w:ascii="Arial" w:cs="Arial" w:eastAsia="Arial" w:hAnsi="Arial"/>
          <w:sz w:val="18"/>
          <w:szCs w:val="18"/>
          <w:color w:val="auto"/>
        </w:rPr>
        <w:t>Subject to the discussion on backup withholding below, a Non-U.S. Holder generally will not be subject to U.S. federal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withholding tax on payments of interest on a note, provided that:</w:t>
      </w:r>
    </w:p>
    <w:p>
      <w:pPr>
        <w:spacing w:after="0" w:line="37" w:lineRule="exact"/>
        <w:rPr>
          <w:sz w:val="20"/>
          <w:szCs w:val="20"/>
          <w:color w:val="auto"/>
        </w:rPr>
      </w:pPr>
    </w:p>
    <w:p>
      <w:pPr>
        <w:jc w:val="both"/>
        <w:ind w:left="1260" w:right="60" w:hanging="455"/>
        <w:spacing w:after="0" w:line="259"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Non-U.S. Holder is not (A) a direct or indirect owner of 10% or more of our voting stock, (B) a controlled foreign corporation related to us through stock ownership, or (C) a bank whose receipt of interest on a note is pursuant to a loan agreement entered into in the ordinary course of business;</w:t>
      </w:r>
    </w:p>
    <w:p>
      <w:pPr>
        <w:spacing w:after="0" w:line="45" w:lineRule="exact"/>
        <w:rPr>
          <w:rFonts w:ascii="Arial" w:cs="Arial" w:eastAsia="Arial" w:hAnsi="Arial"/>
          <w:sz w:val="18"/>
          <w:szCs w:val="18"/>
          <w:color w:val="auto"/>
        </w:rPr>
      </w:pPr>
    </w:p>
    <w:p>
      <w:pPr>
        <w:ind w:left="1260" w:right="40" w:hanging="455"/>
        <w:spacing w:after="0" w:line="268"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such interest payments are not effectively connected with the conduct by the Non-U.S. Holder of a trade or business within the United States or, if a tax treaty applies, attributable to a U.S. permanent establishment of the Non-U.S. Holder; and</w:t>
      </w:r>
    </w:p>
    <w:p>
      <w:pPr>
        <w:spacing w:after="0" w:line="37" w:lineRule="exact"/>
        <w:rPr>
          <w:rFonts w:ascii="Arial" w:cs="Arial" w:eastAsia="Arial" w:hAnsi="Arial"/>
          <w:sz w:val="18"/>
          <w:szCs w:val="18"/>
          <w:color w:val="auto"/>
        </w:rPr>
      </w:pPr>
    </w:p>
    <w:p>
      <w:pPr>
        <w:ind w:left="1260" w:right="280" w:hanging="455"/>
        <w:spacing w:after="0" w:line="332" w:lineRule="auto"/>
        <w:tabs>
          <w:tab w:leader="none" w:pos="1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72"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Except to the extent provided by an applicable tax treaty, interest on a note that is effectively connected with the conduct by a Non-U.S. Holder of a trade or business in the United States generally will be subject to U.S. federal income tax on a net basis at the rates applicable to U.S. persons. A Non-U.S. Holder that is treated as a corporation for U.S. federal income tax purposes may also be subject to a 30% branch profits tax (subject to reduction under an applicable tax treaty) on any “effectively connected” interest on the notes. If interest is subject to U.S. federal income tax on a net basis in accordance with the rules described in the preceding sentence, payments of such interest will not be subject to U.S. withholding tax so long as the Non-U.S. Holder provides us or the paying agent with an IRS Form W-8ECI.</w:t>
      </w:r>
    </w:p>
    <w:p>
      <w:pPr>
        <w:spacing w:after="0" w:line="131"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b w:val="1"/>
          <w:bCs w:val="1"/>
          <w:i w:val="1"/>
          <w:iCs w:val="1"/>
          <w:color w:val="auto"/>
        </w:rPr>
        <w:t xml:space="preserve">Disposition of the Notes. </w:t>
      </w:r>
      <w:r>
        <w:rPr>
          <w:rFonts w:ascii="Arial" w:cs="Arial" w:eastAsia="Arial" w:hAnsi="Arial"/>
          <w:sz w:val="18"/>
          <w:szCs w:val="18"/>
          <w:color w:val="auto"/>
        </w:rPr>
        <w:t>Subject to the discussion on backup withholding below, a Non-U.S. Holder generally will not be subject to U.S. federal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or withholding tax on gain from the sale, exchange, redemption or other taxable disposition of a note unless:</w:t>
      </w:r>
    </w:p>
    <w:p>
      <w:pPr>
        <w:spacing w:after="0" w:line="37" w:lineRule="exact"/>
        <w:rPr>
          <w:sz w:val="20"/>
          <w:szCs w:val="20"/>
          <w:color w:val="auto"/>
        </w:rPr>
      </w:pPr>
    </w:p>
    <w:p>
      <w:pPr>
        <w:ind w:left="800" w:right="420" w:hanging="225"/>
        <w:spacing w:after="0" w:line="325"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or a trade or business within the United States (and, if required by an applicable tax treaty, is attributable to a permanent establishment maintained in the United States by the Non-U.S. Holder); or</w:t>
      </w:r>
    </w:p>
    <w:p>
      <w:pPr>
        <w:spacing w:after="0" w:line="1" w:lineRule="exact"/>
        <w:rPr>
          <w:rFonts w:ascii="Arial" w:cs="Arial" w:eastAsia="Arial" w:hAnsi="Arial"/>
          <w:sz w:val="16"/>
          <w:szCs w:val="16"/>
          <w:color w:val="auto"/>
        </w:rPr>
      </w:pPr>
    </w:p>
    <w:p>
      <w:pPr>
        <w:ind w:left="800" w:right="300" w:hanging="225"/>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3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Except to the extent provided by an applicable tax treaty, gain from the sale or disposition of a note that is effectively connected with the conduct by the Non-U.S. Holder of a trade or business in the United States generally will be subject to U.S. federal income tax on a net basis at the rates applicable to U.S. persons. A Non-U.S. Holder that is treated as a corporation for U.S. federal income tax purposes may also be subject to a 30% branch profits tax (subject to reduction under an applicable tax treaty) on any “effectively connected” gain on the notes. If such gains are realized by a Non-U.S. Holder who is an individual present in the United States for 183 days or more in the taxable year, then such individual generally will be subject to U.S. federal income tax at a rate of 30% (subject to reduction under an applicable tax treaty) on the amount by which capital gains from U.S. sources (including gains from the sale or other disposition of the notes) exceed capital losses allocable to U.S. sources.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83"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Payments to a U.S. Holder of the principal of , interest on and any premium with respect to, or the proceeds of a sale or other disposition of, a note may be subject to information reporting, and U.S. federal backup withholding at the applicable statutory rate may apply if the U.S. Holder fails to provide an accurate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taxpayer identification number or otherwise fails to comply with applicable U.S. information reporting or certification requirements. Any amount withheld from a payment to a U.S. Holder under the backup withholding rules generally is allowable as a credit against the U.S. Holder’s U.S. federal income tax liability, provided that the required information is timely furnished to the IRS.</w:t>
      </w:r>
    </w:p>
    <w:p>
      <w:pPr>
        <w:spacing w:after="0" w:line="127"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Payments to a Non-U.S. Holder of interest on a note generally will be reported to the IRS and to the Non-U.S. Holder. Copies of applicable IRS information returns may be made available, under the provisions of a specific tax treaty or agreement, to the tax authorities of the country in which the Non-U.S. Holder resides.</w:t>
      </w:r>
    </w:p>
    <w:p>
      <w:pPr>
        <w:spacing w:after="0" w:line="127"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Payments to a Non-U.S. Holder of the principal of, interest on and any premium with respect to, or the proceeds of a sale or other disposition of, a note generally will not be subject to backup withholding or additional information reporting, provided that (i) the Non-U.S. Holder certifies under penalties of perjury on IRS Form W-8BEN that it is not a United States person and certain other conditions are satisfied, or (ii) the Non-U.S. Holder otherwise establishes an exemption; provided that, in either case, neither we nor any withholding agent knows or has reason to know that the holder is a United States person or that the conditions of any other exemptions are in fact not satisfied. Any amounts so withheld may be refunded or credited against the Non-U.S. Holder’s U.S. federal income tax liability, if any, provided that the required information is timely furnished to the IRS.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Developments</w:t>
      </w:r>
    </w:p>
    <w:p>
      <w:pPr>
        <w:spacing w:after="0" w:line="77" w:lineRule="exact"/>
        <w:rPr>
          <w:sz w:val="20"/>
          <w:szCs w:val="20"/>
          <w:color w:val="auto"/>
        </w:rPr>
      </w:pPr>
    </w:p>
    <w:p>
      <w:pPr>
        <w:ind w:firstLine="571"/>
        <w:spacing w:after="0" w:line="296" w:lineRule="auto"/>
        <w:rPr>
          <w:sz w:val="20"/>
          <w:szCs w:val="20"/>
          <w:color w:val="auto"/>
        </w:rPr>
      </w:pPr>
      <w:r>
        <w:rPr>
          <w:rFonts w:ascii="Arial" w:cs="Arial" w:eastAsia="Arial" w:hAnsi="Arial"/>
          <w:sz w:val="16"/>
          <w:szCs w:val="16"/>
          <w:b w:val="1"/>
          <w:bCs w:val="1"/>
          <w:i w:val="1"/>
          <w:iCs w:val="1"/>
          <w:color w:val="auto"/>
        </w:rPr>
        <w:t>Current Tax Rates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2008.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the 15% rate does generally apply to:</w:t>
      </w:r>
    </w:p>
    <w:p>
      <w:pPr>
        <w:spacing w:after="0" w:line="19" w:lineRule="exact"/>
        <w:rPr>
          <w:sz w:val="20"/>
          <w:szCs w:val="20"/>
          <w:color w:val="auto"/>
        </w:rPr>
      </w:pPr>
    </w:p>
    <w:p>
      <w:pPr>
        <w:ind w:left="800" w:hanging="225"/>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U.S. shareholder’s long-term capital gain, if any, recognized on the disposition of our shares;</w:t>
      </w:r>
    </w:p>
    <w:p>
      <w:pPr>
        <w:spacing w:after="0" w:line="103" w:lineRule="exact"/>
        <w:rPr>
          <w:rFonts w:ascii="Arial" w:cs="Arial" w:eastAsia="Arial" w:hAnsi="Arial"/>
          <w:sz w:val="18"/>
          <w:szCs w:val="18"/>
          <w:color w:val="auto"/>
        </w:rPr>
      </w:pPr>
    </w:p>
    <w:p>
      <w:pPr>
        <w:ind w:left="800" w:right="260" w:hanging="225"/>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Section 1250 property, in which case the 25% tax rate applies);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and</w:t>
      </w:r>
    </w:p>
    <w:p>
      <w:pPr>
        <w:spacing w:after="0" w:line="103" w:lineRule="exact"/>
        <w:rPr>
          <w:rFonts w:ascii="Arial" w:cs="Arial" w:eastAsia="Arial" w:hAnsi="Arial"/>
          <w:sz w:val="18"/>
          <w:szCs w:val="18"/>
          <w:color w:val="auto"/>
        </w:rPr>
      </w:pPr>
    </w:p>
    <w:p>
      <w:pPr>
        <w:ind w:left="800" w:right="60" w:hanging="225"/>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3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Without legislation, the maximum tax rate on long-term capital gains will increase to 20% in 2009, and qualified dividend income will no longer be taxed at a preferential rate compared to ordinary income.</w:t>
      </w:r>
    </w:p>
    <w:p>
      <w:pPr>
        <w:spacing w:after="0" w:line="118"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b w:val="1"/>
          <w:bCs w:val="1"/>
          <w:i w:val="1"/>
          <w:iCs w:val="1"/>
          <w:color w:val="auto"/>
        </w:rPr>
        <w:t>2004 Legislation.</w:t>
      </w:r>
      <w:r>
        <w:rPr>
          <w:sz w:val="20"/>
          <w:szCs w:val="20"/>
          <w:color w:val="auto"/>
        </w:rPr>
        <w:tab/>
      </w:r>
      <w:r>
        <w:rPr>
          <w:rFonts w:ascii="Arial" w:cs="Arial" w:eastAsia="Arial" w:hAnsi="Arial"/>
          <w:sz w:val="15"/>
          <w:szCs w:val="15"/>
          <w:color w:val="auto"/>
        </w:rPr>
        <w:t>On October 22, 2004, the President signed into law the American Jobs Creation Act, which amended certain rules relating to REITs.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American Jobs Creation Act revised the following REIT rules:</w:t>
      </w:r>
    </w:p>
    <w:p>
      <w:pPr>
        <w:spacing w:after="0" w:line="70" w:lineRule="exact"/>
        <w:rPr>
          <w:sz w:val="20"/>
          <w:szCs w:val="20"/>
          <w:color w:val="auto"/>
        </w:rPr>
      </w:pPr>
    </w:p>
    <w:p>
      <w:pPr>
        <w:ind w:left="800" w:hanging="225"/>
        <w:spacing w:after="0" w:line="294"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fail to satisfy the gross income tests, as described under “Federal Income Tax Consequences — Taxation of the Company — Requirements for REIT Qualification — Income Tests” in the accompanying prospectus, the Act changes eligibility for relief for the failure by providing that relief generally will be available if our failure to meet such tests is due to reasonable cause and not due to willful neglect, and we file a schedule describing each item of our gross income in accordance with regulations to be prescribed by the Treasury. Even if the relief provisions apply, we will be subject to a 100% tax on the greater of (a) the excess of 95% (rather than 90%) of our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20"/>
        <w:spacing w:after="0" w:line="268" w:lineRule="auto"/>
        <w:rPr>
          <w:sz w:val="20"/>
          <w:szCs w:val="20"/>
          <w:color w:val="auto"/>
        </w:rPr>
      </w:pPr>
      <w:r>
        <w:rPr>
          <w:rFonts w:ascii="Arial" w:cs="Arial" w:eastAsia="Arial" w:hAnsi="Arial"/>
          <w:sz w:val="18"/>
          <w:szCs w:val="18"/>
          <w:color w:val="auto"/>
        </w:rPr>
        <w:t>gross income over our qualifying income under the 95% gross income test or (b) the excess of 75% of our gross income over our qualifying income under the 75% gross income test, in either case multiplied by a fraction to reflect our profitability.</w:t>
      </w:r>
    </w:p>
    <w:p>
      <w:pPr>
        <w:spacing w:after="0" w:line="51" w:lineRule="exact"/>
        <w:rPr>
          <w:sz w:val="20"/>
          <w:szCs w:val="20"/>
          <w:color w:val="auto"/>
        </w:rPr>
      </w:pPr>
    </w:p>
    <w:p>
      <w:pPr>
        <w:ind w:left="800" w:hanging="225"/>
        <w:spacing w:after="0" w:line="256"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purposes of the “10% value test” (the 10% asset test requirement that we not own more than 10% of the value of the securities of any issuer other than a taxable REIT subsidiary or another REIT), as described under “Federal Income Tax Consequences — Taxation of the Company — Requirements for REIT Qualification — Asset Tests” in the accompanying prospectus, the exception for certain “straight debt” securities includes debt subject to the following contingencies:</w:t>
      </w:r>
    </w:p>
    <w:p>
      <w:pPr>
        <w:spacing w:after="0" w:line="48" w:lineRule="exact"/>
        <w:rPr>
          <w:rFonts w:ascii="Arial" w:cs="Arial" w:eastAsia="Arial" w:hAnsi="Arial"/>
          <w:sz w:val="18"/>
          <w:szCs w:val="18"/>
          <w:color w:val="auto"/>
        </w:rPr>
      </w:pPr>
    </w:p>
    <w:p>
      <w:pPr>
        <w:ind w:left="1260" w:right="80" w:hanging="455"/>
        <w:spacing w:after="0" w:line="298" w:lineRule="auto"/>
        <w:tabs>
          <w:tab w:leader="none" w:pos="12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 contingency relating to the time of payment of interest or principal, as long as either (i) there is no change to the effective yield of the debt obligation, other than a change to the annual yield that does not exceed the greater of (x) 0.25% or (y) 5% of the annual yield, or (ii) neither the aggregate issue price nor the aggregate face amount of the issuer’s debt obligations held by us exceeds $1 million and no more than 12 months of unaccrued interest on the debt obligations can be required to be prepaid; and</w:t>
      </w:r>
    </w:p>
    <w:p>
      <w:pPr>
        <w:spacing w:after="0" w:line="18" w:lineRule="exact"/>
        <w:rPr>
          <w:rFonts w:ascii="Arial" w:cs="Arial" w:eastAsia="Arial" w:hAnsi="Arial"/>
          <w:sz w:val="16"/>
          <w:szCs w:val="16"/>
          <w:color w:val="auto"/>
        </w:rPr>
      </w:pPr>
    </w:p>
    <w:p>
      <w:pPr>
        <w:ind w:left="1260" w:right="560" w:hanging="455"/>
        <w:spacing w:after="0" w:line="268" w:lineRule="auto"/>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contingency relating to the time or amount of payment upon a default or prepayment of a debt obligation, as long as the contingency is consistent with customary commercial practice.</w:t>
      </w:r>
    </w:p>
    <w:p>
      <w:pPr>
        <w:spacing w:after="0" w:line="37" w:lineRule="exact"/>
        <w:rPr>
          <w:rFonts w:ascii="Arial" w:cs="Arial" w:eastAsia="Arial" w:hAnsi="Arial"/>
          <w:sz w:val="18"/>
          <w:szCs w:val="18"/>
          <w:color w:val="auto"/>
        </w:rPr>
      </w:pPr>
    </w:p>
    <w:p>
      <w:pPr>
        <w:ind w:left="800" w:right="140" w:hanging="225"/>
        <w:spacing w:after="0" w:line="306"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addition to straight debt, loans to individuals and estates, securities issued by REITs, and accrued obligations to pay rent will not be considered securities for purposes of the 10% value test. Moreover, debt instruments issued by a partnership will not be considered securities for purposes of the 10% value test if the partnership meets the 75% gross income test with respect to its own gross income.</w:t>
      </w:r>
    </w:p>
    <w:p>
      <w:pPr>
        <w:spacing w:after="0" w:line="12" w:lineRule="exact"/>
        <w:rPr>
          <w:rFonts w:ascii="Arial" w:cs="Arial" w:eastAsia="Arial" w:hAnsi="Arial"/>
          <w:sz w:val="16"/>
          <w:szCs w:val="16"/>
          <w:color w:val="auto"/>
        </w:rPr>
      </w:pPr>
    </w:p>
    <w:p>
      <w:pPr>
        <w:ind w:left="800" w:right="40" w:hanging="225"/>
        <w:spacing w:after="0" w:line="294"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purposes of the 10% value test, holding a de minimis amount of an issuer’s securities that do not qualify for the straight debt safe harbor (either directly or through a taxable REIT subsidiary) will not prevent straight debt of a partnership or corporation from qualifying for the safe harbor. Specifically, we or a “controlled” taxable REIT subsidiary (one in which we own more than 50% of the voting power or value of the stock) could hold such non-straight debt securities with a value of up to 1% of a partnership’s or corporation’s outstanding securities. There is no limitation on the amount of an issuer’s securities that a non-controlled taxable REIT subsidiary can own.</w:t>
      </w:r>
    </w:p>
    <w:p>
      <w:pPr>
        <w:spacing w:after="0" w:line="21" w:lineRule="exact"/>
        <w:rPr>
          <w:rFonts w:ascii="Arial" w:cs="Arial" w:eastAsia="Arial" w:hAnsi="Arial"/>
          <w:sz w:val="16"/>
          <w:szCs w:val="16"/>
          <w:color w:val="auto"/>
        </w:rPr>
      </w:pPr>
    </w:p>
    <w:p>
      <w:pPr>
        <w:ind w:left="800" w:right="40" w:hanging="225"/>
        <w:spacing w:after="0" w:line="289"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event that, at the end of a calendar quarter, more than 5% of our assets are represented by the securities of one issuer, or we own more than 10% of the voting power or value of the securities of any issuer, we will not lose our REIT status if (i) the failure is de minimis (up to the lesser of 1% of our assets or $10 million) and (ii) we dispose of assets or otherwise comply with the asset tests within six months after the last day of the quarter in which we identify such failure. In the event of a more than de minimis failure of any of the asset tests, as long as the failure was due to reasonable cause and not to willful neglect, we will not lose our REIT status if we (i) dispose of assets or otherwise comply with the asset tests within six months after the last day of the quarter in which we identify such failure, (ii) file a schedule with a description of each asset causing the failure in accordance with regulations prescribed by the Treasury, and (iii) pay a tax equal to the greater of $50,000 or 35% of the net income from the nonqualifying assets during the period in which we failed to satisfy the asset tests. We may not qualify for the relief provisions in all circumstances.</w:t>
      </w:r>
    </w:p>
    <w:p>
      <w:pPr>
        <w:spacing w:after="0" w:line="23" w:lineRule="exact"/>
        <w:rPr>
          <w:rFonts w:ascii="Arial" w:cs="Arial" w:eastAsia="Arial" w:hAnsi="Arial"/>
          <w:sz w:val="16"/>
          <w:szCs w:val="16"/>
          <w:color w:val="auto"/>
        </w:rPr>
      </w:pPr>
    </w:p>
    <w:p>
      <w:pPr>
        <w:ind w:left="800" w:right="260" w:hanging="225"/>
        <w:spacing w:after="0" w:line="347" w:lineRule="auto"/>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the event that we fail to satisfy a REIT requirement, other than the gross income or asset tests, we will not lose our REIT status but will incur a penalty of $50,000 for each reasonable cause failure to satisfy such a requirement. We may not qualify for this relief provision in all circumstances.</w:t>
      </w:r>
    </w:p>
    <w:p>
      <w:pPr>
        <w:ind w:left="800" w:right="20" w:hanging="225"/>
        <w:spacing w:after="0" w:line="298"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“Hedging transaction” means any transaction entered into in the normal course of our trade or business primarily to manage the risk of interest rate, price changes, or currency fluctuations with respect to borrowings made or to be made, or ordinary obligations incurred or to be incurred, to acquire or carry real estate assets. We are required to clearly identify any such hedging transaction before the close of the day on which it is acquired, originated, or entered into. Income and gain from hedging transactions will be excluded from gross income for purposes of the 95% gross income test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60"/>
        <w:spacing w:after="0" w:line="268" w:lineRule="auto"/>
        <w:rPr>
          <w:sz w:val="20"/>
          <w:szCs w:val="20"/>
          <w:color w:val="auto"/>
        </w:rPr>
      </w:pPr>
      <w:r>
        <w:rPr>
          <w:rFonts w:ascii="Arial" w:cs="Arial" w:eastAsia="Arial" w:hAnsi="Arial"/>
          <w:sz w:val="18"/>
          <w:szCs w:val="18"/>
          <w:color w:val="auto"/>
        </w:rPr>
        <w:t>(but not the 75% gross income test). Income and gain from hedging transactions will continue to be nonqualifying income for purposes of the 75% gross income test.</w:t>
      </w:r>
    </w:p>
    <w:p>
      <w:pPr>
        <w:spacing w:after="0" w:line="51" w:lineRule="exact"/>
        <w:rPr>
          <w:sz w:val="20"/>
          <w:szCs w:val="20"/>
          <w:color w:val="auto"/>
        </w:rPr>
      </w:pPr>
    </w:p>
    <w:p>
      <w:pPr>
        <w:ind w:left="800" w:hanging="225"/>
        <w:spacing w:after="0" w:line="306"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non-U.S. shareholders of our publicly traded shares, including our common shares, capital gain distributions that are attributable to our sale of real property will be treated as ordinary dividends rather than as gain from the sale of a United States real property interest, as long as the non-U.S. shareholder does not own more than 5% of that class of our stock at any time during the taxable year.</w:t>
      </w:r>
    </w:p>
    <w:p>
      <w:pPr>
        <w:spacing w:after="0" w:line="1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provisions described above relating to the expansion of the “straight debt” safe harbor and the addition of securities that would be exempt from the 10% value test apply retroactively to taxable years beginning after December 31, 2000. All other provisions apply beginning with our taxable year beginning January 1, 2005.</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Wachovia Capital Markets, LLC and Citigroup Global Markets Inc. are acting as joint book-running managers of the offering and as representatives of the underwriters named below.</w:t>
      </w:r>
    </w:p>
    <w:p>
      <w:pPr>
        <w:spacing w:after="0" w:line="118"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Subject to the terms and conditions stated in the underwriting agreement and a related pricing agreement, each dated the date of this prospectus supplement, each underwriter named below has agreed to purchase, and we have agreed to sell to that underwriter, the principal amount of notes set forth opposite the underwriter’s name.</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Principal Amount</w:t>
            </w:r>
          </w:p>
        </w:tc>
        <w:tc>
          <w:tcPr>
            <w:tcW w:w="0" w:type="dxa"/>
            <w:vAlign w:val="bottom"/>
          </w:tcPr>
          <w:p>
            <w:pPr>
              <w:spacing w:after="0"/>
              <w:rPr>
                <w:sz w:val="1"/>
                <w:szCs w:val="1"/>
                <w:color w:val="auto"/>
              </w:rPr>
            </w:pPr>
          </w:p>
        </w:tc>
      </w:tr>
      <w:tr>
        <w:trPr>
          <w:trHeight w:val="174"/>
        </w:trPr>
        <w:tc>
          <w:tcPr>
            <w:tcW w:w="592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274"/>
              <w:spacing w:after="0"/>
              <w:rPr>
                <w:sz w:val="20"/>
                <w:szCs w:val="20"/>
                <w:color w:val="auto"/>
              </w:rPr>
            </w:pPr>
            <w:r>
              <w:rPr>
                <w:rFonts w:ascii="Arial" w:cs="Arial" w:eastAsia="Arial" w:hAnsi="Arial"/>
                <w:sz w:val="14"/>
                <w:szCs w:val="14"/>
                <w:b w:val="1"/>
                <w:bCs w:val="1"/>
                <w:color w:val="auto"/>
              </w:rPr>
              <w:t>of notes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Wachovia Capital Markets, LLC</w:t>
            </w:r>
          </w:p>
        </w:tc>
        <w:tc>
          <w:tcPr>
            <w:tcW w:w="3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Bear, Stearns &amp; Co. Inc.</w:t>
            </w:r>
          </w:p>
        </w:tc>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Incorporated</w:t>
            </w:r>
          </w:p>
        </w:tc>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Commerzbank Capital Markets Corp.</w:t>
            </w:r>
          </w:p>
        </w:tc>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J.P. Morgan Securities Inc.</w:t>
            </w: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Inc.</w:t>
            </w:r>
          </w:p>
        </w:tc>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Total</w:t>
            </w:r>
          </w:p>
        </w:tc>
        <w:tc>
          <w:tcPr>
            <w:tcW w:w="3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125,000,000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320" w:firstLine="571"/>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72"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The underwriters propose to offer some of the notes directly to the public at the public offering price set forth on the cover page of this prospectus supplement and some of the notes to dealers at the public offering price less a concession not to exceed 0.40% of the principal amount of the notes. The underwriters may allow, and dealers may reallow, a concession not to exceed 0.20% of the principal amount of the notes on sales to other dealers. After the initial offering of the notes to the public, the representatives may change the public offering price and concessions.</w:t>
      </w:r>
    </w:p>
    <w:p>
      <w:pPr>
        <w:spacing w:after="0" w:line="99"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14"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Paid by Federal Realty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68580</wp:posOffset>
            </wp:positionV>
            <wp:extent cx="8489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Per note</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r>
    </w:tbl>
    <w:p>
      <w:pPr>
        <w:spacing w:after="0" w:line="140"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In connection with the offering, Wachovia Capital Markets, LLC and Citigroup Global Markets Inc.,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131" w:lineRule="exact"/>
        <w:rPr>
          <w:sz w:val="20"/>
          <w:szCs w:val="20"/>
          <w:color w:val="auto"/>
        </w:rPr>
      </w:pPr>
    </w:p>
    <w:p>
      <w:pPr>
        <w:ind w:right="340" w:firstLine="571"/>
        <w:spacing w:after="0" w:line="259"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Wachovia Capital Markets, LLC and Citigroup Global Markets Inc., in covering syndicate short positions or making stabilizing purchases, repurchase notes originally sold by that syndicate member.</w:t>
      </w:r>
    </w:p>
    <w:p>
      <w:pPr>
        <w:spacing w:after="0" w:line="12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They may also cause the price of the notes to be higher than the price that otherwise would exist in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open market in the absence of these transactions. The underwriters may conduct these transactions in the over-the-counter market or otherwise. If the underwriters commence any of these transactions, they may discontinue them at any time.</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estimate that our total expenses for this offering (excluding the underwriting discount) will be $300,000.</w:t>
      </w:r>
    </w:p>
    <w:p>
      <w:pPr>
        <w:spacing w:after="0" w:line="158" w:lineRule="exact"/>
        <w:rPr>
          <w:sz w:val="20"/>
          <w:szCs w:val="20"/>
          <w:color w:val="auto"/>
        </w:rPr>
      </w:pPr>
    </w:p>
    <w:p>
      <w:pPr>
        <w:ind w:right="760" w:firstLine="571"/>
        <w:spacing w:after="0" w:line="268"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 which will be the third business day following the date of the pricing of the notes.</w:t>
      </w:r>
    </w:p>
    <w:p>
      <w:pPr>
        <w:spacing w:after="0" w:line="118" w:lineRule="exact"/>
        <w:rPr>
          <w:sz w:val="20"/>
          <w:szCs w:val="20"/>
          <w:color w:val="auto"/>
        </w:rPr>
      </w:pPr>
    </w:p>
    <w:p>
      <w:pPr>
        <w:ind w:right="200" w:firstLine="571"/>
        <w:spacing w:after="0" w:line="291" w:lineRule="auto"/>
        <w:rPr>
          <w:sz w:val="20"/>
          <w:szCs w:val="20"/>
          <w:color w:val="auto"/>
        </w:rPr>
      </w:pPr>
      <w:r>
        <w:rPr>
          <w:rFonts w:ascii="Arial" w:cs="Arial" w:eastAsia="Arial" w:hAnsi="Arial"/>
          <w:sz w:val="16"/>
          <w:szCs w:val="16"/>
          <w:color w:val="auto"/>
        </w:rPr>
        <w:t>The underwriters have performed investment banking, advisory and fiduciary services for us from time to time for which they have received customary fees and expenses. The underwriters may, from time to time, engage in transactions with and perform services for us in the ordinary course of their business. In particular, affiliates of Wachovia Capital Markets, LLC, Citigroup Global Markets Inc., Commerzbank Capital Markets Corp., J.P. Morgan Securities Inc. and PNC Capital Markets, Inc. are lenders under our existing revolving credit facility, and affiliates of Wachovia Capital Markets, LLC, Commerzbank Capital Markets Corp. and J.P. Morgan Securities Inc. are an administrative agent, syndication agent and co-documentation agent, respectively, under our existing revolving credit facility and an affiliate of Wachovia Capital Markets, LLC is the trustee under one of the indentures to which we are a party.</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prospectus in electronic format may be made available on the websites maintained by one or more of the underwriters.</w:t>
      </w:r>
    </w:p>
    <w:p>
      <w:pPr>
        <w:spacing w:after="0" w:line="158" w:lineRule="exact"/>
        <w:rPr>
          <w:sz w:val="20"/>
          <w:szCs w:val="20"/>
          <w:color w:val="auto"/>
        </w:rPr>
      </w:pPr>
    </w:p>
    <w:p>
      <w:pPr>
        <w:ind w:right="700" w:firstLine="571"/>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The consolidated balance sheets as of December 31, 2004 and 2003 and the consolidated statements of operations, common shareholders’ equity and cash flows for the three years ended December 31, 2004, 2003 and 2002 appearing in our Annual Report on Form 10-K for the fiscal year ended December 31, 2004 and incorporated by reference into this prospectus supplement and elsewhere in the registration statement have been audited by Grant Thornton LLP, independent registered public accounting firm as indicated in their report with respect thereto, and are incorporated by reference herein and therein in reliance upon the authority of said firm as experts in giving said report.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The legality of the notes offered by this prospectus supplement will be passed upon for us by Pillsbury Winthrop Shaw Pittman LLP, Washington, DC. In addition, the description of federal income tax consequences contained in the accompanying prospectus under “Federal Income Tax Consequences” and in this prospectus supplement under “Certain Federal Income Tax Considerations” is, to the extent that it constitutes matters of law, summaries of legal matters or legal conclusions, based upon the opinion of Pillsbury Winthrop Shaw Pittman LLP. Sidley Austin Brown &amp; Wood LLP, New York, New York, will act as counsel to the underwriters.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jc w:val="both"/>
        <w:ind w:right="180" w:firstLine="571"/>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Securities and Exchange Commission, or SEC. Our SEC filings are available to the public at the SEC’s website at www.sec.gov. You may also read and copy any document we file at the SEC’s Public Reference Room at: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Public Reference Section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Please call the SEC at (800) 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27"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The SEC allows us to “incorporate by reference” the information we file with the SEC and the New York Stock Exchange, which means we can disclose important information to you by referring you to those documents. The information we incorporate by reference is an important part of this prospectus supplement and the accompanying prospectus, and all information that we will later file with the SEC will automatically update and supersede that information. We incorporate by reference the documents listed below as well as any future filings made with the SEC under Sections 13(a), 13(c), 14, or 15(d) of the Securities Exchange Act of 1934, or the Exchange Act (Exchange Act File No. 1-07533), from the date of this prospectus supplement until we terminate the offering hereunder.</w:t>
      </w:r>
    </w:p>
    <w:p>
      <w:pPr>
        <w:spacing w:after="0" w:line="131" w:lineRule="exact"/>
        <w:rPr>
          <w:sz w:val="20"/>
          <w:szCs w:val="20"/>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2004, as filed on March 7, 2005</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 ended March 31, 2005, as filed on May 5, 2005</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 ended June 30, 2005, as filed on July 28, 2005</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 ended September 30, 2005, as filed on October 31, 2005</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Reports on Form 8-K filed on February 18, 2005, March 2, 2005, July 1, 2005 and August 1, 2005</w:t>
      </w:r>
    </w:p>
    <w:p>
      <w:pPr>
        <w:spacing w:after="0" w:line="185"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Copies of these filings are available at no cost on our website, www.federalrealty.com. Amendments to these filings will be posted to our website as soon as reasonably practical after filing with the SEC. In addition, you may obtain a copy of these filings and any amendments to the filings at no cost, by writing or telephoning us. Those copies will not include exhibits to the filings unless the exhibits are specifically incorporated by reference in the documents or unless you specifically request them. You also may obtain copies of any exhibits to the registration statement. Please direct your request to:</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Vice President, Capital Markets and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1626 E. Jefferson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(301) 998-8100 or (800) 658-8980</w:t>
      </w:r>
    </w:p>
    <w:p>
      <w:pPr>
        <w:spacing w:after="0" w:line="151"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This prospectus supplement and the accompanying prospectus do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this prospectus supplement and the accompanying prospectus about the provisions or contents of any contract, agreement or any other document referred to are not necessarily complete. Please refer to the actual exhibit for a more complete description of the matters involved. You may obtain copies of the exhibits by contacting the person named above.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$500,000,000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auto"/>
        </w:rPr>
        <w:t>Debt Securities, Common Shares, Preferred Shares, Depositary Shares and Warrants</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77" w:lineRule="exact"/>
        <w:rPr>
          <w:sz w:val="20"/>
          <w:szCs w:val="20"/>
          <w:color w:val="auto"/>
        </w:rPr>
      </w:pPr>
    </w:p>
    <w:p>
      <w:pPr>
        <w:ind w:left="800" w:hanging="22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common shares of beneficial interest (and rights to acquire common shares that are attached to, or trade with, our common shares);</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warrants to purchase our common and preferred shares.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aggregate initial public offering price of the securities that we may offer through this prospectus will be up to $500,000,000.</w:t>
      </w:r>
    </w:p>
    <w:p>
      <w:pPr>
        <w:spacing w:after="0" w:line="158"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Please read this prospectus and the applicable supplement carefully before you invest.</w:t>
      </w:r>
    </w:p>
    <w:p>
      <w:pPr>
        <w:spacing w:after="0" w:line="164"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complete or accurate.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149225</wp:posOffset>
            </wp:positionV>
            <wp:extent cx="13976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The date of this prospectus is May 9, 2003.</w:t>
      </w:r>
    </w:p>
    <w:p>
      <w:pPr>
        <w:sectPr>
          <w:pgSz w:w="11900" w:h="16838" w:orient="portrait"/>
          <w:cols w:equalWidth="0" w:num="1">
            <w:col w:w="11160"/>
          </w:cols>
          <w:pgMar w:left="24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64"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using a “shelf” registration process. Under this shelf process, we may sell any combination of the securities described in this prospectus in one or more offerings up to a total dollar amount of $500,000,000.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You should read both this prospectus and the applicable prospectus supplement, together with additional information described under the heading “Where You Can Find More Information.”</w:t>
      </w:r>
    </w:p>
    <w:p>
      <w:pPr>
        <w:spacing w:after="0" w:line="131"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References to “we,” “us” or “our” refer to Federal Realty Investment Trust and its directly or indirectly owned subsidiaries, unless the context otherwise requires. The term “you” refers to a prospective investor.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164"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Before investing in our securities, you should be aware that there are various risks. Investors should carefully consider, among other factors, the factors discussed in this prospectus and in any prospectus supplement. This prospectus contains, and any accompanying prospectus supplement will contain, forward-looking statements within the meaning of Section 27A of the Securities Act of 1933, as amended, Section 21E of the Securities Exchange Act of 1934, as amended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164"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high-quality retail and mixed-use properties. As of March 31, 2003, we owned or had an interest in 60 community and neighborhood shopping centers comprising approximately 13 million square feet, 55 urban retail and mixed use properties comprising more than 2.5 million square feet, and one apartment complex, all in strategic metropolitan markets across the United States.</w:t>
      </w:r>
    </w:p>
    <w:p>
      <w:pPr>
        <w:spacing w:after="0" w:line="13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 xml:space="preserve">We operate in a manner intended to qualify as a real estate investment trust pursuant to provisions of the Internal Revenue Code. Our offices are located at 1626 East Jefferson Street, Rockville, Maryland 20852. Our telephone number is (301) 998-8100 or (800) 658-8980.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in our website is not a part of this prospectus.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580" w:firstLine="571"/>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37" w:lineRule="exact"/>
        <w:rPr>
          <w:sz w:val="20"/>
          <w:szCs w:val="20"/>
          <w:color w:val="auto"/>
        </w:rPr>
      </w:pPr>
    </w:p>
    <w:p>
      <w:pPr>
        <w:ind w:left="800" w:hanging="225"/>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 of new properties;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redevelopment of existing properties;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7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RATIO OF EARNINGS TO COMBINED FIXED CHARGES AND PREFERRED SHARE DIVIDENDS</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our historical ratio of earnings to fixed charges and preferred share dividends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140" w:type="dxa"/>
            <w:vAlign w:val="bottom"/>
            <w:gridSpan w:val="4"/>
          </w:tcPr>
          <w:p>
            <w:pPr>
              <w:ind w:left="260"/>
              <w:spacing w:after="0"/>
              <w:rPr>
                <w:sz w:val="20"/>
                <w:szCs w:val="20"/>
                <w:color w:val="auto"/>
              </w:rPr>
            </w:pPr>
            <w:r>
              <w:rPr>
                <w:rFonts w:ascii="Arial" w:cs="Arial" w:eastAsia="Arial" w:hAnsi="Arial"/>
                <w:sz w:val="14"/>
                <w:szCs w:val="14"/>
                <w:b w:val="1"/>
                <w:bCs w:val="1"/>
                <w:color w:val="auto"/>
              </w:rPr>
              <w:t>For the Three Months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74"/>
        </w:trPr>
        <w:tc>
          <w:tcPr>
            <w:tcW w:w="6040" w:type="dxa"/>
            <w:vAlign w:val="bottom"/>
          </w:tcPr>
          <w:p>
            <w:pPr>
              <w:spacing w:after="0"/>
              <w:rPr>
                <w:sz w:val="15"/>
                <w:szCs w:val="15"/>
                <w:color w:val="auto"/>
              </w:rPr>
            </w:pPr>
          </w:p>
        </w:tc>
        <w:tc>
          <w:tcPr>
            <w:tcW w:w="2140" w:type="dxa"/>
            <w:vAlign w:val="bottom"/>
            <w:gridSpan w:val="4"/>
          </w:tcPr>
          <w:p>
            <w:pPr>
              <w:ind w:left="400"/>
              <w:spacing w:after="0"/>
              <w:rPr>
                <w:sz w:val="20"/>
                <w:szCs w:val="20"/>
                <w:color w:val="auto"/>
              </w:rPr>
            </w:pPr>
            <w:r>
              <w:rPr>
                <w:rFonts w:ascii="Arial" w:cs="Arial" w:eastAsia="Arial" w:hAnsi="Arial"/>
                <w:sz w:val="14"/>
                <w:szCs w:val="14"/>
                <w:b w:val="1"/>
                <w:bCs w:val="1"/>
                <w:color w:val="auto"/>
              </w:rPr>
              <w:t>Ended March 31,</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gridSpan w:val="7"/>
          </w:tcPr>
          <w:p>
            <w:pPr>
              <w:ind w:left="20"/>
              <w:spacing w:after="0"/>
              <w:rPr>
                <w:sz w:val="20"/>
                <w:szCs w:val="20"/>
                <w:color w:val="auto"/>
              </w:rPr>
            </w:pPr>
            <w:r>
              <w:rPr>
                <w:rFonts w:ascii="Arial" w:cs="Arial" w:eastAsia="Arial" w:hAnsi="Arial"/>
                <w:sz w:val="14"/>
                <w:szCs w:val="14"/>
                <w:b w:val="1"/>
                <w:bCs w:val="1"/>
                <w:color w:val="auto"/>
                <w:w w:val="94"/>
              </w:rPr>
              <w:t>For the Years Ended December 31,</w:t>
            </w:r>
          </w:p>
        </w:tc>
        <w:tc>
          <w:tcPr>
            <w:tcW w:w="420" w:type="dxa"/>
            <w:vAlign w:val="bottom"/>
          </w:tcPr>
          <w:p>
            <w:pPr>
              <w:spacing w:after="0"/>
              <w:rPr>
                <w:sz w:val="15"/>
                <w:szCs w:val="15"/>
                <w:color w:val="auto"/>
              </w:rPr>
            </w:pPr>
          </w:p>
        </w:tc>
      </w:tr>
      <w:tr>
        <w:trPr>
          <w:trHeight w:val="95"/>
        </w:trPr>
        <w:tc>
          <w:tcPr>
            <w:tcW w:w="60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r>
      <w:tr>
        <w:trPr>
          <w:trHeight w:val="263"/>
        </w:trPr>
        <w:tc>
          <w:tcPr>
            <w:tcW w:w="6040" w:type="dxa"/>
            <w:vAlign w:val="bottom"/>
          </w:tcPr>
          <w:p>
            <w:pPr>
              <w:spacing w:after="0"/>
              <w:rPr>
                <w:sz w:val="22"/>
                <w:szCs w:val="22"/>
                <w:color w:val="auto"/>
              </w:rPr>
            </w:pPr>
          </w:p>
        </w:tc>
        <w:tc>
          <w:tcPr>
            <w:tcW w:w="820" w:type="dxa"/>
            <w:vAlign w:val="bottom"/>
          </w:tcPr>
          <w:p>
            <w:pPr>
              <w:ind w:left="280"/>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2002 (1)</w:t>
            </w:r>
          </w:p>
        </w:tc>
        <w:tc>
          <w:tcPr>
            <w:tcW w:w="3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5"/>
              </w:rPr>
              <w:t>2002 (2)</w:t>
            </w:r>
          </w:p>
        </w:tc>
        <w:tc>
          <w:tcPr>
            <w:tcW w:w="20" w:type="dxa"/>
            <w:vAlign w:val="bottom"/>
          </w:tcPr>
          <w:p>
            <w:pPr>
              <w:spacing w:after="0"/>
              <w:rPr>
                <w:sz w:val="22"/>
                <w:szCs w:val="22"/>
                <w:color w:val="auto"/>
              </w:rPr>
            </w:pPr>
          </w:p>
        </w:tc>
        <w:tc>
          <w:tcPr>
            <w:tcW w:w="740" w:type="dxa"/>
            <w:vAlign w:val="bottom"/>
            <w:gridSpan w:val="2"/>
          </w:tcPr>
          <w:p>
            <w:pPr>
              <w:ind w:left="400"/>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2"/>
                <w:szCs w:val="22"/>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2"/>
                <w:szCs w:val="22"/>
                <w:color w:val="auto"/>
              </w:rPr>
            </w:pP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22"/>
                <w:szCs w:val="22"/>
                <w:color w:val="auto"/>
              </w:rPr>
            </w:pP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1998</w:t>
            </w:r>
          </w:p>
        </w:tc>
      </w:tr>
      <w:tr>
        <w:trPr>
          <w:trHeight w:val="95"/>
        </w:trPr>
        <w:tc>
          <w:tcPr>
            <w:tcW w:w="60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r>
      <w:tr>
        <w:trPr>
          <w:trHeight w:val="102"/>
        </w:trPr>
        <w:tc>
          <w:tcPr>
            <w:tcW w:w="6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116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1.5x</w:t>
            </w:r>
          </w:p>
        </w:tc>
        <w:tc>
          <w:tcPr>
            <w:tcW w:w="98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1.2x</w:t>
            </w:r>
          </w:p>
        </w:tc>
        <w:tc>
          <w:tcPr>
            <w:tcW w:w="6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1.3x</w:t>
            </w:r>
          </w:p>
        </w:tc>
        <w:tc>
          <w:tcPr>
            <w:tcW w:w="3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1.5x</w:t>
            </w:r>
          </w:p>
        </w:tc>
        <w:tc>
          <w:tcPr>
            <w:tcW w:w="6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1.5x</w:t>
            </w:r>
          </w:p>
        </w:tc>
        <w:tc>
          <w:tcPr>
            <w:tcW w:w="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1.7x</w:t>
            </w:r>
          </w:p>
        </w:tc>
        <w:tc>
          <w:tcPr>
            <w:tcW w:w="4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3"/>
              </w:rPr>
              <w:t>1.7x</w:t>
            </w:r>
          </w:p>
        </w:tc>
      </w:tr>
      <w:tr>
        <w:trPr>
          <w:trHeight w:val="214"/>
        </w:trPr>
        <w:tc>
          <w:tcPr>
            <w:tcW w:w="604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1.2x</w:t>
            </w: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1.0x</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99"/>
              </w:rPr>
              <w:t>1.0x</w:t>
            </w:r>
          </w:p>
        </w:tc>
        <w:tc>
          <w:tcPr>
            <w:tcW w:w="320" w:type="dxa"/>
            <w:vAlign w:val="bottom"/>
          </w:tcPr>
          <w:p>
            <w:pPr>
              <w:spacing w:after="0"/>
              <w:rPr>
                <w:sz w:val="18"/>
                <w:szCs w:val="18"/>
                <w:color w:val="auto"/>
              </w:rPr>
            </w:pP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1.3x</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1.4x</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1.5x</w:t>
            </w:r>
          </w:p>
        </w:tc>
        <w:tc>
          <w:tcPr>
            <w:tcW w:w="420" w:type="dxa"/>
            <w:vAlign w:val="bottom"/>
          </w:tcPr>
          <w:p>
            <w:pPr>
              <w:ind w:left="80"/>
              <w:spacing w:after="0"/>
              <w:rPr>
                <w:sz w:val="20"/>
                <w:szCs w:val="20"/>
                <w:color w:val="auto"/>
              </w:rPr>
            </w:pPr>
            <w:r>
              <w:rPr>
                <w:rFonts w:ascii="Arial" w:cs="Arial" w:eastAsia="Arial" w:hAnsi="Arial"/>
                <w:sz w:val="18"/>
                <w:szCs w:val="18"/>
                <w:color w:val="auto"/>
                <w:w w:val="93"/>
              </w:rPr>
              <w:t>1.5x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461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0" w:lineRule="exact"/>
        <w:rPr>
          <w:sz w:val="20"/>
          <w:szCs w:val="20"/>
          <w:color w:val="auto"/>
        </w:rPr>
      </w:pPr>
    </w:p>
    <w:p>
      <w:pPr>
        <w:ind w:left="580" w:right="60" w:hanging="572"/>
        <w:spacing w:after="0" w:line="305" w:lineRule="auto"/>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Excluding a one-time $8.5 million restructuring charge incurred in the first quarter of 2002, for the three months ended March 31, 2002, the ratio of earnings to fixed charges would have been 1.6x, and the ratio of earnings to combined fixed charges and preferred share dividends would have been 1.3x.</w:t>
      </w:r>
    </w:p>
    <w:p>
      <w:pPr>
        <w:ind w:left="580" w:right="220" w:hanging="572"/>
        <w:spacing w:after="0" w:line="255"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Excluding a one-time $8.5 million restructuring charge incurred in the first quarter of 2002 and a $13.8 million restructuring charge incurred during the fourth quarter of 2002, for the year ended December 31, 2002, the ratio of earnings to fixed charges would have been 1.5x, and the ratio of earnings to combined fixed charges and preferred share dividends would have been 1.2x.</w:t>
      </w:r>
    </w:p>
    <w:p>
      <w:pPr>
        <w:spacing w:after="0" w:line="131"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The ratios of earnings to fixed charges were computed by dividing earnings by fixed charges. For this purpose, earnings consist of income before gain (loss) on sale of real estate plus fixed charges. Fixed charges consist of interest on borrowed funds (including capitalized interest), amortization of debt discount and expense and the portion of rent expense representing an interest factor. The ratios of earnings to combined fixed charges and preferred share dividends were computed by dividing earnings by the sum of fixed charges and preferred share dividend requirements. Preferred share dividends consist of dividends paid on our outstanding Series A preferred shares and Series B preferred shares.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64" w:lineRule="exact"/>
        <w:rPr>
          <w:sz w:val="20"/>
          <w:szCs w:val="20"/>
          <w:color w:val="auto"/>
        </w:rPr>
      </w:pPr>
    </w:p>
    <w:p>
      <w:pPr>
        <w:ind w:right="320" w:firstLine="571"/>
        <w:spacing w:after="0" w:line="323" w:lineRule="auto"/>
        <w:rPr>
          <w:sz w:val="20"/>
          <w:szCs w:val="20"/>
          <w:color w:val="auto"/>
        </w:rPr>
      </w:pPr>
      <w:r>
        <w:rPr>
          <w:rFonts w:ascii="Arial" w:cs="Arial" w:eastAsia="Arial" w:hAnsi="Arial"/>
          <w:sz w:val="15"/>
          <w:szCs w:val="15"/>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77" w:lineRule="exact"/>
        <w:rPr>
          <w:sz w:val="20"/>
          <w:szCs w:val="20"/>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85" w:lineRule="exact"/>
        <w:rPr>
          <w:sz w:val="20"/>
          <w:szCs w:val="20"/>
          <w:color w:val="auto"/>
        </w:rPr>
      </w:pPr>
    </w:p>
    <w:p>
      <w:pPr>
        <w:ind w:right="160" w:firstLine="571"/>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Unless we say otherwise in a prospectus supplement:</w:t>
      </w:r>
    </w:p>
    <w:p>
      <w:pPr>
        <w:spacing w:after="0" w:line="77" w:lineRule="exact"/>
        <w:rPr>
          <w:sz w:val="20"/>
          <w:szCs w:val="20"/>
          <w:color w:val="auto"/>
        </w:rPr>
      </w:pPr>
    </w:p>
    <w:p>
      <w:pPr>
        <w:ind w:left="800" w:hanging="225"/>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03" w:lineRule="exact"/>
        <w:rPr>
          <w:rFonts w:ascii="Arial" w:cs="Arial" w:eastAsia="Arial" w:hAnsi="Arial"/>
          <w:sz w:val="18"/>
          <w:szCs w:val="18"/>
          <w:color w:val="auto"/>
        </w:rPr>
      </w:pPr>
    </w:p>
    <w:p>
      <w:pPr>
        <w:ind w:left="800" w:right="520" w:hanging="225"/>
        <w:spacing w:after="0" w:line="26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83" w:lineRule="exact"/>
        <w:rPr>
          <w:sz w:val="20"/>
          <w:szCs w:val="20"/>
          <w:color w:val="auto"/>
        </w:rPr>
      </w:pPr>
    </w:p>
    <w:p>
      <w:pPr>
        <w:jc w:val="both"/>
        <w:ind w:right="20" w:firstLine="571"/>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an indenture between us and Wachovia Bank National Association, as successor to First Union National Bank, Trustee. We have filed with the SEC two indentures that are exhibits to the registration statement that includes this prospectus. The senior indenture describes the general terms of senior debt securities we may issue. In addition to describing the general terms of subordinated debt securities that we may issue, the subordinated indenture includes additional terms describing the subordination provisions of these securities. Each of the indentures is subject to the Trust Indenture Act of 1939, as amended.</w:t>
      </w:r>
    </w:p>
    <w:p>
      <w:pPr>
        <w:spacing w:after="0" w:line="129" w:lineRule="exact"/>
        <w:rPr>
          <w:sz w:val="20"/>
          <w:szCs w:val="20"/>
          <w:color w:val="auto"/>
        </w:rPr>
      </w:pPr>
    </w:p>
    <w:p>
      <w:pPr>
        <w:ind w:firstLine="571"/>
        <w:spacing w:after="0" w:line="323" w:lineRule="auto"/>
        <w:rPr>
          <w:sz w:val="20"/>
          <w:szCs w:val="20"/>
          <w:color w:val="auto"/>
        </w:rPr>
      </w:pPr>
      <w:r>
        <w:rPr>
          <w:rFonts w:ascii="Arial" w:cs="Arial" w:eastAsia="Arial" w:hAnsi="Arial"/>
          <w:sz w:val="15"/>
          <w:szCs w:val="15"/>
          <w:color w:val="auto"/>
        </w:rPr>
        <w:t>The indentures do not include all the terms of debt securities we may issue through this prospectus. If we issue debt securities through this prospectus, our Board of Trustees will establish the additional terms for each series of debt securities. The additional terms will be either established pursuant to, and set forth in, a supplemental indenture, or established pursuant to a resolution of our Board of Trustees and set forth in an officer’s certificate. Each indenture describes the additional terms that may be established and we summarize the additional terms that may be established under “— Additional Terms of Debt Securities,” below.</w:t>
      </w:r>
    </w:p>
    <w:p>
      <w:pPr>
        <w:spacing w:after="0" w:line="84"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We have summarized the provisions of the senior indenture and the subordinated indenture below. The summary is not complete. You should read the indentures for provisions that may be important to you. The extent, if any, to which the provisions of the base indentures apply to particular debt securities will be described in the prospectus supplement relating to those securities. You should read the prospectus supplement for more information regarding any particular issuance of debt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83"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when we issue the series. We will describe the terms of the series in a prospectus supplement. Each indenture provides that the terms that may be established include the following:</w:t>
      </w:r>
    </w:p>
    <w:p>
      <w:pPr>
        <w:spacing w:after="0" w:line="46" w:lineRule="exact"/>
        <w:rPr>
          <w:sz w:val="20"/>
          <w:szCs w:val="20"/>
          <w:color w:val="auto"/>
        </w:rPr>
      </w:pPr>
    </w:p>
    <w:p>
      <w:pPr>
        <w:ind w:left="580"/>
        <w:spacing w:after="0"/>
        <w:tabs>
          <w:tab w:leader="none" w:pos="780" w:val="left"/>
          <w:tab w:leader="none" w:pos="1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i w:val="1"/>
          <w:iCs w:val="1"/>
          <w:color w:val="auto"/>
        </w:rPr>
        <w:t>Title.</w:t>
      </w:r>
      <w:r>
        <w:rPr>
          <w:sz w:val="20"/>
          <w:szCs w:val="20"/>
          <w:color w:val="auto"/>
        </w:rPr>
        <w:tab/>
      </w:r>
      <w:r>
        <w:rPr>
          <w:rFonts w:ascii="Arial" w:cs="Arial" w:eastAsia="Arial" w:hAnsi="Arial"/>
          <w:sz w:val="16"/>
          <w:szCs w:val="16"/>
          <w:color w:val="auto"/>
        </w:rPr>
        <w:t>The title of the debt securities offered.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03" w:lineRule="exact"/>
        <w:rPr>
          <w:rFonts w:ascii="Arial" w:cs="Arial" w:eastAsia="Arial" w:hAnsi="Arial"/>
          <w:sz w:val="18"/>
          <w:szCs w:val="18"/>
          <w:color w:val="auto"/>
        </w:rPr>
      </w:pPr>
    </w:p>
    <w:p>
      <w:pPr>
        <w:ind w:left="800" w:right="220" w:hanging="225"/>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37" w:lineRule="exact"/>
        <w:rPr>
          <w:rFonts w:ascii="Arial" w:cs="Arial" w:eastAsia="Arial" w:hAnsi="Arial"/>
          <w:sz w:val="18"/>
          <w:szCs w:val="18"/>
          <w:color w:val="auto"/>
        </w:rPr>
      </w:pPr>
    </w:p>
    <w:p>
      <w:pPr>
        <w:ind w:left="800" w:right="500" w:hanging="225"/>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03" w:lineRule="exact"/>
        <w:rPr>
          <w:rFonts w:ascii="Arial" w:cs="Arial" w:eastAsia="Arial" w:hAnsi="Arial"/>
          <w:sz w:val="18"/>
          <w:szCs w:val="18"/>
          <w:color w:val="auto"/>
        </w:rPr>
      </w:pPr>
    </w:p>
    <w:p>
      <w:pPr>
        <w:ind w:left="800" w:right="180" w:hanging="225"/>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Payment Dates. </w:t>
      </w:r>
      <w:r>
        <w:rPr>
          <w:rFonts w:ascii="Arial" w:cs="Arial" w:eastAsia="Arial" w:hAnsi="Arial"/>
          <w:sz w:val="18"/>
          <w:szCs w:val="18"/>
          <w:color w:val="auto"/>
        </w:rPr>
        <w:t>The date or dates on which interest will be payable and the record date or dates to determine the persons who will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w:t>
      </w:r>
    </w:p>
    <w:p>
      <w:pPr>
        <w:spacing w:after="0" w:line="37"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 may be surrendered for registration of transfer or exchange.</w:t>
      </w:r>
    </w:p>
    <w:p>
      <w:pPr>
        <w:spacing w:after="0" w:line="37" w:lineRule="exact"/>
        <w:rPr>
          <w:rFonts w:ascii="Arial" w:cs="Arial" w:eastAsia="Arial" w:hAnsi="Arial"/>
          <w:sz w:val="18"/>
          <w:szCs w:val="18"/>
          <w:color w:val="auto"/>
        </w:rPr>
      </w:pPr>
    </w:p>
    <w:p>
      <w:pPr>
        <w:ind w:left="800" w:right="60" w:hanging="225"/>
        <w:spacing w:after="0" w:line="259"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45" w:lineRule="exact"/>
        <w:rPr>
          <w:rFonts w:ascii="Arial" w:cs="Arial" w:eastAsia="Arial" w:hAnsi="Arial"/>
          <w:sz w:val="18"/>
          <w:szCs w:val="18"/>
          <w:color w:val="auto"/>
        </w:rPr>
      </w:pPr>
    </w:p>
    <w:p>
      <w:pPr>
        <w:ind w:left="800" w:right="80" w:hanging="225"/>
        <w:spacing w:after="0" w:line="298" w:lineRule="auto"/>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18" w:lineRule="exact"/>
        <w:rPr>
          <w:rFonts w:ascii="Arial" w:cs="Arial" w:eastAsia="Arial" w:hAnsi="Arial"/>
          <w:sz w:val="16"/>
          <w:szCs w:val="16"/>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03" w:lineRule="exact"/>
        <w:rPr>
          <w:rFonts w:ascii="Arial" w:cs="Arial" w:eastAsia="Arial" w:hAnsi="Arial"/>
          <w:sz w:val="18"/>
          <w:szCs w:val="18"/>
          <w:color w:val="auto"/>
        </w:rPr>
      </w:pPr>
    </w:p>
    <w:p>
      <w:pPr>
        <w:ind w:left="800" w:right="120" w:hanging="225"/>
        <w:spacing w:after="0" w:line="256"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48" w:lineRule="exact"/>
        <w:rPr>
          <w:rFonts w:ascii="Arial" w:cs="Arial" w:eastAsia="Arial" w:hAnsi="Arial"/>
          <w:sz w:val="18"/>
          <w:szCs w:val="18"/>
          <w:color w:val="auto"/>
        </w:rPr>
      </w:pPr>
    </w:p>
    <w:p>
      <w:pPr>
        <w:ind w:left="800" w:right="160" w:hanging="225"/>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37" w:lineRule="exact"/>
        <w:rPr>
          <w:rFonts w:ascii="Arial" w:cs="Arial" w:eastAsia="Arial" w:hAnsi="Arial"/>
          <w:sz w:val="18"/>
          <w:szCs w:val="18"/>
          <w:color w:val="auto"/>
        </w:rPr>
      </w:pPr>
    </w:p>
    <w:p>
      <w:pPr>
        <w:ind w:left="800" w:right="100" w:hanging="225"/>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126" w:lineRule="exact"/>
        <w:rPr>
          <w:rFonts w:ascii="Arial" w:cs="Arial" w:eastAsia="Arial" w:hAnsi="Arial"/>
          <w:sz w:val="16"/>
          <w:szCs w:val="16"/>
          <w:color w:val="auto"/>
        </w:rPr>
      </w:pPr>
    </w:p>
    <w:p>
      <w:pPr>
        <w:ind w:left="800" w:right="120" w:hanging="225"/>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37" w:lineRule="exact"/>
        <w:rPr>
          <w:rFonts w:ascii="Arial" w:cs="Arial" w:eastAsia="Arial" w:hAnsi="Arial"/>
          <w:sz w:val="18"/>
          <w:szCs w:val="18"/>
          <w:color w:val="auto"/>
        </w:rPr>
      </w:pPr>
    </w:p>
    <w:p>
      <w:pPr>
        <w:ind w:left="800" w:right="60" w:hanging="225"/>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assessments or similar charges.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300" w:hanging="225"/>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03"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03" w:lineRule="exact"/>
        <w:rPr>
          <w:rFonts w:ascii="Arial" w:cs="Arial" w:eastAsia="Arial" w:hAnsi="Arial"/>
          <w:sz w:val="18"/>
          <w:szCs w:val="18"/>
          <w:color w:val="auto"/>
        </w:rPr>
      </w:pPr>
    </w:p>
    <w:p>
      <w:pPr>
        <w:ind w:left="800" w:right="80" w:hanging="225"/>
        <w:spacing w:after="0" w:line="256"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48" w:lineRule="exact"/>
        <w:rPr>
          <w:rFonts w:ascii="Arial" w:cs="Arial" w:eastAsia="Arial" w:hAnsi="Arial"/>
          <w:sz w:val="18"/>
          <w:szCs w:val="18"/>
          <w:color w:val="auto"/>
        </w:rPr>
      </w:pPr>
    </w:p>
    <w:p>
      <w:pPr>
        <w:ind w:left="800" w:hanging="225"/>
        <w:spacing w:after="0" w:line="259"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installation of principal or interest may be paid, only upon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certificates or other documents or satisfaction of other conditions in addition to those specified in the applicable indenture, the form of those certificates, documents or conditions.</w:t>
      </w:r>
    </w:p>
    <w:p>
      <w:pPr>
        <w:spacing w:after="0" w:line="45" w:lineRule="exact"/>
        <w:rPr>
          <w:rFonts w:ascii="Arial" w:cs="Arial" w:eastAsia="Arial" w:hAnsi="Arial"/>
          <w:sz w:val="18"/>
          <w:szCs w:val="18"/>
          <w:color w:val="auto"/>
        </w:rPr>
      </w:pPr>
    </w:p>
    <w:p>
      <w:pPr>
        <w:ind w:left="800" w:right="60" w:hanging="225"/>
        <w:spacing w:after="0" w:line="325"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manner in which, or the person to whom, any interest on any bearer securities of the series will be payable.</w:t>
      </w:r>
    </w:p>
    <w:p>
      <w:pPr>
        <w:spacing w:after="0" w:line="1" w:lineRule="exact"/>
        <w:rPr>
          <w:rFonts w:ascii="Arial" w:cs="Arial" w:eastAsia="Arial" w:hAnsi="Arial"/>
          <w:sz w:val="16"/>
          <w:szCs w:val="16"/>
          <w:color w:val="auto"/>
        </w:rPr>
      </w:pPr>
    </w:p>
    <w:p>
      <w:pPr>
        <w:ind w:left="800" w:right="540" w:hanging="225"/>
        <w:spacing w:after="0" w:line="325"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1" w:lineRule="exact"/>
        <w:rPr>
          <w:rFonts w:ascii="Arial" w:cs="Arial" w:eastAsia="Arial" w:hAnsi="Arial"/>
          <w:sz w:val="16"/>
          <w:szCs w:val="16"/>
          <w:color w:val="auto"/>
        </w:rPr>
      </w:pPr>
    </w:p>
    <w:p>
      <w:pPr>
        <w:ind w:left="800" w:right="120" w:hanging="225"/>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Subordination. </w:t>
      </w:r>
      <w:r>
        <w:rPr>
          <w:rFonts w:ascii="Arial" w:cs="Arial" w:eastAsia="Arial" w:hAnsi="Arial"/>
          <w:sz w:val="18"/>
          <w:szCs w:val="18"/>
          <w:color w:val="auto"/>
        </w:rPr>
        <w:t>In the case of the subordinated indenture, the relative degree to which the offered debt securities shall be senior to or junior to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 whether currently outstanding or to be offered in the future, and to other debt, in right of payment.</w:t>
      </w:r>
    </w:p>
    <w:p>
      <w:pPr>
        <w:spacing w:after="0" w:line="37" w:lineRule="exact"/>
        <w:rPr>
          <w:rFonts w:ascii="Arial" w:cs="Arial" w:eastAsia="Arial" w:hAnsi="Arial"/>
          <w:sz w:val="18"/>
          <w:szCs w:val="18"/>
          <w:color w:val="auto"/>
        </w:rPr>
      </w:pPr>
    </w:p>
    <w:p>
      <w:pPr>
        <w:ind w:left="800" w:right="420" w:hanging="225"/>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37" w:lineRule="exact"/>
        <w:rPr>
          <w:rFonts w:ascii="Arial" w:cs="Arial" w:eastAsia="Arial" w:hAnsi="Arial"/>
          <w:sz w:val="18"/>
          <w:szCs w:val="18"/>
          <w:color w:val="auto"/>
        </w:rPr>
      </w:pPr>
    </w:p>
    <w:p>
      <w:pPr>
        <w:ind w:left="800" w:right="420" w:hanging="225"/>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The terms, if any, upon which the offered debt securities may be converted or exchanged into or for our common shares,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or other securities or property.</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03" w:lineRule="exact"/>
        <w:rPr>
          <w:rFonts w:ascii="Arial" w:cs="Arial" w:eastAsia="Arial" w:hAnsi="Arial"/>
          <w:sz w:val="18"/>
          <w:szCs w:val="18"/>
          <w:color w:val="auto"/>
        </w:rPr>
      </w:pPr>
    </w:p>
    <w:p>
      <w:pPr>
        <w:ind w:left="800" w:right="220" w:hanging="225"/>
        <w:spacing w:after="0" w:line="332"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 S. laws or regulations or advisable, as we determine, in connection with marketing of securities of the series.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83" w:lineRule="exact"/>
        <w:rPr>
          <w:sz w:val="20"/>
          <w:szCs w:val="20"/>
          <w:color w:val="auto"/>
        </w:rPr>
      </w:pPr>
    </w:p>
    <w:p>
      <w:pPr>
        <w:ind w:left="580"/>
        <w:spacing w:after="0"/>
        <w:tabs>
          <w:tab w:leader="none" w:pos="2740" w:val="left"/>
        </w:tabs>
        <w:rPr>
          <w:sz w:val="20"/>
          <w:szCs w:val="20"/>
          <w:color w:val="auto"/>
        </w:rPr>
      </w:pPr>
      <w:r>
        <w:rPr>
          <w:rFonts w:ascii="Arial" w:cs="Arial" w:eastAsia="Arial" w:hAnsi="Arial"/>
          <w:sz w:val="18"/>
          <w:szCs w:val="18"/>
          <w:b w:val="1"/>
          <w:bCs w:val="1"/>
          <w:i w:val="1"/>
          <w:iCs w:val="1"/>
          <w:color w:val="auto"/>
        </w:rPr>
        <w:t>Registered or Bearer Form.</w:t>
      </w:r>
      <w:r>
        <w:rPr>
          <w:sz w:val="20"/>
          <w:szCs w:val="20"/>
          <w:color w:val="auto"/>
        </w:rPr>
        <w:tab/>
      </w:r>
      <w:r>
        <w:rPr>
          <w:rFonts w:ascii="Arial" w:cs="Arial" w:eastAsia="Arial" w:hAnsi="Arial"/>
          <w:sz w:val="15"/>
          <w:szCs w:val="15"/>
          <w:color w:val="auto"/>
        </w:rPr>
        <w:t>Debt securities may be offered in either registered or bearer form.</w:t>
      </w:r>
    </w:p>
    <w:p>
      <w:pPr>
        <w:spacing w:after="0" w:line="77" w:lineRule="exact"/>
        <w:rPr>
          <w:sz w:val="20"/>
          <w:szCs w:val="20"/>
          <w:color w:val="auto"/>
        </w:rPr>
      </w:pPr>
    </w:p>
    <w:p>
      <w:pPr>
        <w:ind w:left="800" w:right="20" w:hanging="225"/>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40" w:hanging="225"/>
        <w:spacing w:after="0" w:line="306" w:lineRule="auto"/>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consequences relating to the offered debt securities in a prospectus supplement.</w:t>
      </w:r>
    </w:p>
    <w:p>
      <w:pPr>
        <w:spacing w:after="0" w:line="93" w:lineRule="exact"/>
        <w:rPr>
          <w:sz w:val="20"/>
          <w:szCs w:val="20"/>
          <w:color w:val="auto"/>
        </w:rPr>
      </w:pPr>
    </w:p>
    <w:p>
      <w:pPr>
        <w:ind w:left="580"/>
        <w:spacing w:after="0"/>
        <w:tabs>
          <w:tab w:leader="none" w:pos="1900" w:val="left"/>
        </w:tabs>
        <w:rPr>
          <w:sz w:val="20"/>
          <w:szCs w:val="20"/>
          <w:color w:val="auto"/>
        </w:rPr>
      </w:pPr>
      <w:r>
        <w:rPr>
          <w:rFonts w:ascii="Arial" w:cs="Arial" w:eastAsia="Arial" w:hAnsi="Arial"/>
          <w:sz w:val="16"/>
          <w:szCs w:val="16"/>
          <w:b w:val="1"/>
          <w:bCs w:val="1"/>
          <w:i w:val="1"/>
          <w:iCs w:val="1"/>
          <w:color w:val="auto"/>
        </w:rPr>
        <w:t>Denominations.</w:t>
      </w:r>
      <w:r>
        <w:rPr>
          <w:sz w:val="20"/>
          <w:szCs w:val="20"/>
          <w:color w:val="auto"/>
        </w:rPr>
        <w:tab/>
      </w:r>
      <w:r>
        <w:rPr>
          <w:rFonts w:ascii="Arial" w:cs="Arial" w:eastAsia="Arial" w:hAnsi="Arial"/>
          <w:sz w:val="16"/>
          <w:szCs w:val="16"/>
          <w:color w:val="auto"/>
        </w:rPr>
        <w:t>Unless we say otherwise in a prospectus supplement, we will issue debt securities in denominations of:</w:t>
      </w:r>
    </w:p>
    <w:p>
      <w:pPr>
        <w:spacing w:after="0" w:line="100" w:lineRule="exact"/>
        <w:rPr>
          <w:sz w:val="20"/>
          <w:szCs w:val="20"/>
          <w:color w:val="auto"/>
        </w:rPr>
      </w:pPr>
    </w:p>
    <w:p>
      <w:pPr>
        <w:ind w:left="800" w:hanging="225"/>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85" w:lineRule="exact"/>
        <w:rPr>
          <w:sz w:val="20"/>
          <w:szCs w:val="20"/>
          <w:color w:val="auto"/>
        </w:rPr>
      </w:pPr>
    </w:p>
    <w:p>
      <w:pPr>
        <w:ind w:left="580"/>
        <w:spacing w:after="0"/>
        <w:tabs>
          <w:tab w:leader="none" w:pos="3960" w:val="left"/>
        </w:tabs>
        <w:rPr>
          <w:sz w:val="20"/>
          <w:szCs w:val="20"/>
          <w:color w:val="auto"/>
        </w:rPr>
      </w:pPr>
      <w:r>
        <w:rPr>
          <w:rFonts w:ascii="Arial" w:cs="Arial" w:eastAsia="Arial" w:hAnsi="Arial"/>
          <w:sz w:val="18"/>
          <w:szCs w:val="18"/>
          <w:b w:val="1"/>
          <w:bCs w:val="1"/>
          <w:i w:val="1"/>
          <w:iCs w:val="1"/>
          <w:color w:val="auto"/>
        </w:rPr>
        <w:t>Payment Currencies and Indexed Securities.</w:t>
      </w:r>
      <w:r>
        <w:rPr>
          <w:sz w:val="20"/>
          <w:szCs w:val="20"/>
          <w:color w:val="auto"/>
        </w:rPr>
        <w:tab/>
      </w:r>
      <w:r>
        <w:rPr>
          <w:rFonts w:ascii="Arial" w:cs="Arial" w:eastAsia="Arial" w:hAnsi="Arial"/>
          <w:sz w:val="16"/>
          <w:szCs w:val="16"/>
          <w:color w:val="auto"/>
        </w:rPr>
        <w:t>We may offer debt securities for which:</w:t>
      </w:r>
    </w:p>
    <w:p>
      <w:pPr>
        <w:spacing w:after="0" w:line="77" w:lineRule="exact"/>
        <w:rPr>
          <w:sz w:val="20"/>
          <w:szCs w:val="20"/>
          <w:color w:val="auto"/>
        </w:rPr>
      </w:pPr>
    </w:p>
    <w:p>
      <w:pPr>
        <w:ind w:left="800" w:hanging="225"/>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85"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The other currency may be a currency unit composed of various currencies, such as the European Currency Unit or ECU. Payments on debt securities may also be based on an index.</w:t>
      </w:r>
    </w:p>
    <w:p>
      <w:pPr>
        <w:spacing w:after="0" w:line="118" w:lineRule="exact"/>
        <w:rPr>
          <w:sz w:val="20"/>
          <w:szCs w:val="20"/>
          <w:color w:val="auto"/>
        </w:rPr>
      </w:pPr>
    </w:p>
    <w:p>
      <w:pPr>
        <w:jc w:val="both"/>
        <w:ind w:right="80" w:firstLine="571"/>
        <w:spacing w:after="0" w:line="253"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debt securities is Wachovia Bank National Association, 401 S. Tryon Street, 12</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Charlotte, North Carolina 28288. We will notify you of any change in the office’s location. At our option, however, we may make any interest payments on debt securities issued in registered form by:</w:t>
      </w:r>
    </w:p>
    <w:p>
      <w:pPr>
        <w:spacing w:after="0" w:line="49" w:lineRule="exact"/>
        <w:rPr>
          <w:sz w:val="20"/>
          <w:szCs w:val="20"/>
          <w:color w:val="auto"/>
        </w:rPr>
      </w:pPr>
    </w:p>
    <w:p>
      <w:pPr>
        <w:ind w:left="800" w:hanging="225"/>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mailing checks to you at the address you specify;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specify.</w:t>
      </w:r>
    </w:p>
    <w:p>
      <w:pPr>
        <w:spacing w:after="0" w:line="185"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18"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We will describe in a prospectus supplement how we will pay amounts owing on bearer securities. We will only pay amounts owing on bearer securities at an office outside the United States.</w:t>
      </w:r>
    </w:p>
    <w:p>
      <w:pPr>
        <w:spacing w:after="0" w:line="118" w:lineRule="exact"/>
        <w:rPr>
          <w:sz w:val="20"/>
          <w:szCs w:val="20"/>
          <w:color w:val="auto"/>
        </w:rPr>
      </w:pPr>
    </w:p>
    <w:p>
      <w:pPr>
        <w:ind w:firstLine="571"/>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agency that we designate. You may transfer or exchange debt securities without service charge, although we may require you to pay any related tax or other governmental charge.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77" w:lineRule="exact"/>
        <w:rPr>
          <w:sz w:val="20"/>
          <w:szCs w:val="20"/>
          <w:color w:val="auto"/>
        </w:rPr>
      </w:pPr>
    </w:p>
    <w:p>
      <w:pPr>
        <w:ind w:left="800" w:hanging="225"/>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Registered 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83" w:lineRule="exact"/>
        <w:rPr>
          <w:sz w:val="20"/>
          <w:szCs w:val="20"/>
          <w:color w:val="auto"/>
        </w:rPr>
      </w:pPr>
    </w:p>
    <w:p>
      <w:pPr>
        <w:ind w:right="520" w:firstLine="571"/>
        <w:spacing w:after="0" w:line="268" w:lineRule="auto"/>
        <w:rPr>
          <w:sz w:val="20"/>
          <w:szCs w:val="20"/>
          <w:color w:val="auto"/>
        </w:rPr>
      </w:pPr>
      <w:r>
        <w:rPr>
          <w:rFonts w:ascii="Arial" w:cs="Arial" w:eastAsia="Arial" w:hAnsi="Arial"/>
          <w:sz w:val="18"/>
          <w:szCs w:val="18"/>
          <w:color w:val="auto"/>
        </w:rPr>
        <w:t>Each indenture contains the following covenants. Any additional material covenants applicable to any series of debt securities will be set forth in a prospectus supplement.</w:t>
      </w:r>
    </w:p>
    <w:p>
      <w:pPr>
        <w:spacing w:after="0" w:line="118" w:lineRule="exact"/>
        <w:rPr>
          <w:sz w:val="20"/>
          <w:szCs w:val="20"/>
          <w:color w:val="auto"/>
        </w:rPr>
      </w:pPr>
    </w:p>
    <w:p>
      <w:pPr>
        <w:ind w:right="100" w:firstLine="571"/>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93"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99" w:lineRule="exact"/>
        <w:rPr>
          <w:sz w:val="20"/>
          <w:szCs w:val="20"/>
          <w:color w:val="auto"/>
        </w:rPr>
      </w:pPr>
    </w:p>
    <w:p>
      <w:pPr>
        <w:ind w:right="220" w:firstLine="571"/>
        <w:spacing w:after="0" w:line="268" w:lineRule="auto"/>
        <w:rPr>
          <w:sz w:val="20"/>
          <w:szCs w:val="20"/>
          <w:color w:val="auto"/>
        </w:rPr>
      </w:pPr>
      <w:r>
        <w:rPr>
          <w:rFonts w:ascii="Arial" w:cs="Arial" w:eastAsia="Arial" w:hAnsi="Arial"/>
          <w:sz w:val="18"/>
          <w:szCs w:val="18"/>
          <w:b w:val="1"/>
          <w:bCs w:val="1"/>
          <w:i w:val="1"/>
          <w:iCs w:val="1"/>
          <w:color w:val="auto"/>
        </w:rPr>
        <w:t xml:space="preserve">Insurance. </w:t>
      </w:r>
      <w:r>
        <w:rPr>
          <w:rFonts w:ascii="Arial" w:cs="Arial" w:eastAsia="Arial" w:hAnsi="Arial"/>
          <w:sz w:val="18"/>
          <w:szCs w:val="18"/>
          <w:color w:val="auto"/>
        </w:rPr>
        <w:t>We will keep all of our insurable properties insured against loss or damage at least equal to their then full insurable value with insurers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responsibility and having a rating of at least A-:XII in Best’s Key Rating Guide.</w:t>
      </w:r>
    </w:p>
    <w:p>
      <w:pPr>
        <w:spacing w:after="0" w:line="118" w:lineRule="exact"/>
        <w:rPr>
          <w:sz w:val="20"/>
          <w:szCs w:val="20"/>
          <w:color w:val="auto"/>
        </w:rPr>
      </w:pPr>
    </w:p>
    <w:p>
      <w:pPr>
        <w:ind w:left="580"/>
        <w:spacing w:after="0"/>
        <w:tabs>
          <w:tab w:leader="none" w:pos="3380" w:val="left"/>
        </w:tabs>
        <w:rPr>
          <w:sz w:val="20"/>
          <w:szCs w:val="20"/>
          <w:color w:val="auto"/>
        </w:rPr>
      </w:pPr>
      <w:r>
        <w:rPr>
          <w:rFonts w:ascii="Arial" w:cs="Arial" w:eastAsia="Arial" w:hAnsi="Arial"/>
          <w:sz w:val="18"/>
          <w:szCs w:val="18"/>
          <w:b w:val="1"/>
          <w:bCs w:val="1"/>
          <w:i w:val="1"/>
          <w:iCs w:val="1"/>
          <w:color w:val="auto"/>
        </w:rPr>
        <w:t>Payment of Taxes and Other Claims.</w:t>
      </w:r>
      <w:r>
        <w:rPr>
          <w:sz w:val="20"/>
          <w:szCs w:val="20"/>
          <w:color w:val="auto"/>
        </w:rPr>
        <w:tab/>
      </w:r>
      <w:r>
        <w:rPr>
          <w:rFonts w:ascii="Arial" w:cs="Arial" w:eastAsia="Arial" w:hAnsi="Arial"/>
          <w:sz w:val="15"/>
          <w:szCs w:val="15"/>
          <w:color w:val="auto"/>
        </w:rPr>
        <w:t>We will pay or discharge or cause to be paid or discharged, before they shall become delinquent:</w:t>
      </w:r>
    </w:p>
    <w:p>
      <w:pPr>
        <w:spacing w:after="0" w:line="77" w:lineRule="exact"/>
        <w:rPr>
          <w:sz w:val="20"/>
          <w:szCs w:val="20"/>
          <w:color w:val="auto"/>
        </w:rPr>
      </w:pPr>
    </w:p>
    <w:p>
      <w:pPr>
        <w:ind w:left="800" w:hanging="225"/>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10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18" w:lineRule="exact"/>
        <w:rPr>
          <w:sz w:val="20"/>
          <w:szCs w:val="20"/>
          <w:color w:val="auto"/>
        </w:rPr>
      </w:pPr>
    </w:p>
    <w:p>
      <w:pPr>
        <w:ind w:right="120" w:firstLine="571"/>
        <w:spacing w:after="0" w:line="325"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1" w:lineRule="exact"/>
        <w:rPr>
          <w:sz w:val="20"/>
          <w:szCs w:val="20"/>
          <w:color w:val="auto"/>
        </w:rPr>
      </w:pPr>
    </w:p>
    <w:p>
      <w:pPr>
        <w:jc w:val="both"/>
        <w:ind w:left="800" w:right="80" w:hanging="225"/>
        <w:spacing w:after="0" w:line="259"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45"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37" w:lineRule="exact"/>
        <w:rPr>
          <w:rFonts w:ascii="Arial" w:cs="Arial" w:eastAsia="Arial" w:hAnsi="Arial"/>
          <w:sz w:val="18"/>
          <w:szCs w:val="18"/>
          <w:color w:val="auto"/>
        </w:rPr>
      </w:pPr>
    </w:p>
    <w:p>
      <w:pPr>
        <w:ind w:left="800" w:right="220" w:hanging="225"/>
        <w:spacing w:after="0" w:line="26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83"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We may consolidate with, or sell, lease or convey all or substantially all of our assets, or merge with or into any other entity, provided that we satisfy all of the following conditions:</w:t>
      </w:r>
    </w:p>
    <w:p>
      <w:pPr>
        <w:spacing w:after="0" w:line="37" w:lineRule="exact"/>
        <w:rPr>
          <w:sz w:val="20"/>
          <w:szCs w:val="20"/>
          <w:color w:val="auto"/>
        </w:rPr>
      </w:pPr>
    </w:p>
    <w:p>
      <w:pPr>
        <w:ind w:left="800" w:hanging="225"/>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either</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we must be the continuing company, or</w:t>
      </w:r>
    </w:p>
    <w:p>
      <w:pPr>
        <w:spacing w:after="0" w:line="103" w:lineRule="exact"/>
        <w:rPr>
          <w:rFonts w:ascii="Arial" w:cs="Arial" w:eastAsia="Arial" w:hAnsi="Arial"/>
          <w:sz w:val="18"/>
          <w:szCs w:val="18"/>
          <w:color w:val="auto"/>
        </w:rPr>
      </w:pPr>
    </w:p>
    <w:p>
      <w:pPr>
        <w:ind w:left="1260" w:right="180" w:hanging="455"/>
        <w:spacing w:after="0" w:line="259" w:lineRule="auto"/>
        <w:tabs>
          <w:tab w:leader="none" w:pos="12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45"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transactions, no default or event of default under the debt securities shall have occurred and be continuing; and</w:t>
      </w:r>
    </w:p>
    <w:p>
      <w:pPr>
        <w:spacing w:after="0" w:line="37" w:lineRule="exact"/>
        <w:rPr>
          <w:rFonts w:ascii="Arial" w:cs="Arial" w:eastAsia="Arial" w:hAnsi="Arial"/>
          <w:sz w:val="18"/>
          <w:szCs w:val="18"/>
          <w:color w:val="auto"/>
        </w:rPr>
      </w:pPr>
    </w:p>
    <w:p>
      <w:pPr>
        <w:ind w:left="800" w:right="180" w:hanging="225"/>
        <w:spacing w:after="0" w:line="256"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83"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99" w:lineRule="exact"/>
        <w:rPr>
          <w:sz w:val="20"/>
          <w:szCs w:val="20"/>
          <w:color w:val="auto"/>
        </w:rPr>
      </w:pPr>
    </w:p>
    <w:p>
      <w:pPr>
        <w:ind w:right="200" w:firstLine="571"/>
        <w:spacing w:after="0" w:line="325" w:lineRule="auto"/>
        <w:rPr>
          <w:sz w:val="20"/>
          <w:szCs w:val="20"/>
          <w:color w:val="auto"/>
        </w:rPr>
      </w:pPr>
      <w:r>
        <w:rPr>
          <w:rFonts w:ascii="Arial" w:cs="Arial" w:eastAsia="Arial" w:hAnsi="Arial"/>
          <w:sz w:val="16"/>
          <w:szCs w:val="16"/>
          <w:color w:val="auto"/>
        </w:rPr>
        <w:t>Senior debt is defined in the subordinated indenture as the principal of and interest on, or substantially similar payments to be made by us in respect of, the following, whether outstanding at the date of execution of the subordinated indenture or thereafter incurred, created or assumed:</w:t>
      </w:r>
    </w:p>
    <w:p>
      <w:pPr>
        <w:spacing w:after="0" w:line="1" w:lineRule="exact"/>
        <w:rPr>
          <w:sz w:val="20"/>
          <w:szCs w:val="20"/>
          <w:color w:val="auto"/>
        </w:rPr>
      </w:pPr>
    </w:p>
    <w:p>
      <w:pPr>
        <w:ind w:left="800" w:hanging="225"/>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03" w:lineRule="exact"/>
        <w:rPr>
          <w:rFonts w:ascii="Arial" w:cs="Arial" w:eastAsia="Arial" w:hAnsi="Arial"/>
          <w:sz w:val="18"/>
          <w:szCs w:val="18"/>
          <w:color w:val="auto"/>
        </w:rPr>
      </w:pPr>
    </w:p>
    <w:p>
      <w:pPr>
        <w:ind w:left="800" w:right="380" w:hanging="225"/>
        <w:spacing w:after="0" w:line="268"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obligations as lessee under leases of property whether made as part of any sale and leaseback transaction to which we are a party or otherwise;</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03" w:lineRule="exact"/>
        <w:rPr>
          <w:rFonts w:ascii="Arial" w:cs="Arial" w:eastAsia="Arial" w:hAnsi="Arial"/>
          <w:sz w:val="18"/>
          <w:szCs w:val="18"/>
          <w:color w:val="auto"/>
        </w:rPr>
      </w:pPr>
    </w:p>
    <w:p>
      <w:pPr>
        <w:ind w:left="800" w:right="240" w:hanging="225"/>
        <w:spacing w:after="0" w:line="325" w:lineRule="auto"/>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1" w:lineRule="exact"/>
        <w:rPr>
          <w:rFonts w:ascii="Arial" w:cs="Arial" w:eastAsia="Arial" w:hAnsi="Arial"/>
          <w:sz w:val="16"/>
          <w:szCs w:val="16"/>
          <w:color w:val="auto"/>
        </w:rPr>
      </w:pPr>
    </w:p>
    <w:p>
      <w:pPr>
        <w:ind w:left="800" w:right="60" w:hanging="225"/>
        <w:spacing w:after="0" w:line="268"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37" w:lineRule="exact"/>
        <w:rPr>
          <w:rFonts w:ascii="Arial" w:cs="Arial" w:eastAsia="Arial" w:hAnsi="Arial"/>
          <w:sz w:val="18"/>
          <w:szCs w:val="18"/>
          <w:color w:val="auto"/>
        </w:rPr>
      </w:pPr>
    </w:p>
    <w:p>
      <w:pPr>
        <w:ind w:left="1260" w:right="80" w:hanging="455"/>
        <w:spacing w:after="0" w:line="306" w:lineRule="auto"/>
        <w:tabs>
          <w:tab w:leader="none" w:pos="12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right="60" w:hanging="455"/>
        <w:spacing w:after="0" w:line="268"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no restrictions in the subordinated indenture upon the creation of additional senior debt.</w:t>
      </w:r>
    </w:p>
    <w:p>
      <w:pPr>
        <w:spacing w:after="0" w:line="158"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37" w:lineRule="exact"/>
        <w:rPr>
          <w:sz w:val="20"/>
          <w:szCs w:val="20"/>
          <w:color w:val="auto"/>
        </w:rPr>
      </w:pPr>
    </w:p>
    <w:p>
      <w:pPr>
        <w:ind w:left="800" w:hanging="225"/>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185"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00" w:lineRule="exact"/>
        <w:rPr>
          <w:sz w:val="20"/>
          <w:szCs w:val="20"/>
          <w:color w:val="auto"/>
        </w:rPr>
      </w:pPr>
    </w:p>
    <w:p>
      <w:pPr>
        <w:ind w:left="800" w:hanging="225"/>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85" w:lineRule="exact"/>
        <w:rPr>
          <w:sz w:val="20"/>
          <w:szCs w:val="20"/>
          <w:color w:val="auto"/>
        </w:rPr>
      </w:pPr>
    </w:p>
    <w:p>
      <w:pPr>
        <w:ind w:right="480" w:firstLine="571"/>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37" w:lineRule="exact"/>
        <w:rPr>
          <w:sz w:val="20"/>
          <w:szCs w:val="20"/>
          <w:color w:val="auto"/>
        </w:rPr>
      </w:pPr>
    </w:p>
    <w:p>
      <w:pPr>
        <w:ind w:left="800" w:hanging="225"/>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85" w:lineRule="exact"/>
        <w:rPr>
          <w:sz w:val="20"/>
          <w:szCs w:val="20"/>
          <w:color w:val="auto"/>
        </w:rPr>
      </w:pPr>
    </w:p>
    <w:p>
      <w:pPr>
        <w:jc w:val="both"/>
        <w:ind w:right="460" w:firstLine="571"/>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must resume payments on our subordinated debt securities, and make any payments we have missed, upon the earliest of:</w:t>
      </w:r>
    </w:p>
    <w:p>
      <w:pPr>
        <w:spacing w:after="0" w:line="46" w:lineRule="exact"/>
        <w:rPr>
          <w:sz w:val="20"/>
          <w:szCs w:val="20"/>
          <w:color w:val="auto"/>
        </w:rPr>
      </w:pPr>
    </w:p>
    <w:p>
      <w:pPr>
        <w:ind w:left="800" w:hanging="225"/>
        <w:spacing w:after="0"/>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26" w:lineRule="exact"/>
        <w:rPr>
          <w:rFonts w:ascii="Arial" w:cs="Arial" w:eastAsia="Arial" w:hAnsi="Arial"/>
          <w:sz w:val="16"/>
          <w:szCs w:val="16"/>
          <w:color w:val="auto"/>
        </w:rPr>
      </w:pPr>
    </w:p>
    <w:p>
      <w:pPr>
        <w:ind w:left="800" w:right="140" w:hanging="225"/>
        <w:spacing w:after="0" w:line="268"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18"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83" w:lineRule="exact"/>
        <w:rPr>
          <w:sz w:val="20"/>
          <w:szCs w:val="20"/>
          <w:color w:val="auto"/>
        </w:rPr>
      </w:pPr>
    </w:p>
    <w:p>
      <w:pPr>
        <w:ind w:right="780" w:firstLine="571"/>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37" w:lineRule="exact"/>
        <w:rPr>
          <w:sz w:val="20"/>
          <w:szCs w:val="20"/>
          <w:color w:val="auto"/>
        </w:rPr>
      </w:pPr>
    </w:p>
    <w:p>
      <w:pPr>
        <w:ind w:left="580" w:right="320" w:firstLine="541"/>
        <w:spacing w:after="0" w:line="268" w:lineRule="auto"/>
        <w:tabs>
          <w:tab w:leader="none" w:pos="141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in the payment of any interest on any debt security of that series when it becomes due and payable, if the default continues for a period of 30 days.</w:t>
      </w:r>
    </w:p>
    <w:p>
      <w:pPr>
        <w:spacing w:after="0" w:line="37" w:lineRule="exact"/>
        <w:rPr>
          <w:rFonts w:ascii="Arial" w:cs="Arial" w:eastAsia="Arial" w:hAnsi="Arial"/>
          <w:sz w:val="18"/>
          <w:szCs w:val="18"/>
          <w:color w:val="auto"/>
        </w:rPr>
      </w:pPr>
    </w:p>
    <w:p>
      <w:pPr>
        <w:ind w:left="580" w:firstLine="541"/>
        <w:spacing w:after="0" w:line="268" w:lineRule="auto"/>
        <w:tabs>
          <w:tab w:leader="none" w:pos="141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37" w:lineRule="exact"/>
        <w:rPr>
          <w:rFonts w:ascii="Arial" w:cs="Arial" w:eastAsia="Arial" w:hAnsi="Arial"/>
          <w:sz w:val="18"/>
          <w:szCs w:val="18"/>
          <w:color w:val="auto"/>
        </w:rPr>
      </w:pPr>
    </w:p>
    <w:p>
      <w:pPr>
        <w:ind w:left="1420" w:hanging="29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76" w:lineRule="exact"/>
        <w:rPr>
          <w:rFonts w:ascii="Arial" w:cs="Arial" w:eastAsia="Arial" w:hAnsi="Arial"/>
          <w:sz w:val="18"/>
          <w:szCs w:val="18"/>
          <w:color w:val="auto"/>
        </w:rPr>
      </w:pPr>
    </w:p>
    <w:p>
      <w:pPr>
        <w:ind w:left="580" w:right="140" w:firstLine="541"/>
        <w:spacing w:after="0" w:line="259" w:lineRule="auto"/>
        <w:tabs>
          <w:tab w:leader="none" w:pos="141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45" w:lineRule="exact"/>
        <w:rPr>
          <w:rFonts w:ascii="Arial" w:cs="Arial" w:eastAsia="Arial" w:hAnsi="Arial"/>
          <w:sz w:val="18"/>
          <w:szCs w:val="18"/>
          <w:color w:val="auto"/>
        </w:rPr>
      </w:pPr>
    </w:p>
    <w:p>
      <w:pPr>
        <w:ind w:left="2040" w:hanging="377"/>
        <w:spacing w:after="0"/>
        <w:tabs>
          <w:tab w:leader="none" w:pos="2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76" w:lineRule="exact"/>
        <w:rPr>
          <w:rFonts w:ascii="Arial" w:cs="Arial" w:eastAsia="Arial" w:hAnsi="Arial"/>
          <w:sz w:val="18"/>
          <w:szCs w:val="18"/>
          <w:color w:val="auto"/>
        </w:rPr>
      </w:pPr>
    </w:p>
    <w:p>
      <w:pPr>
        <w:ind w:left="2040" w:hanging="377"/>
        <w:spacing w:after="0"/>
        <w:tabs>
          <w:tab w:leader="none" w:pos="20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99" w:lineRule="exact"/>
        <w:rPr>
          <w:rFonts w:ascii="Arial" w:cs="Arial" w:eastAsia="Arial" w:hAnsi="Arial"/>
          <w:sz w:val="16"/>
          <w:szCs w:val="16"/>
          <w:color w:val="auto"/>
        </w:rPr>
      </w:pPr>
    </w:p>
    <w:p>
      <w:pPr>
        <w:ind w:left="580" w:right="60" w:firstLine="541"/>
        <w:spacing w:after="0" w:line="289" w:lineRule="auto"/>
        <w:tabs>
          <w:tab w:leader="none" w:pos="142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23" w:lineRule="exact"/>
        <w:rPr>
          <w:rFonts w:ascii="Arial" w:cs="Arial" w:eastAsia="Arial" w:hAnsi="Arial"/>
          <w:sz w:val="16"/>
          <w:szCs w:val="16"/>
          <w:color w:val="auto"/>
        </w:rPr>
      </w:pPr>
    </w:p>
    <w:p>
      <w:pPr>
        <w:ind w:left="1420" w:hanging="29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76" w:lineRule="exact"/>
        <w:rPr>
          <w:rFonts w:ascii="Arial" w:cs="Arial" w:eastAsia="Arial" w:hAnsi="Arial"/>
          <w:sz w:val="18"/>
          <w:szCs w:val="18"/>
          <w:color w:val="auto"/>
        </w:rPr>
      </w:pPr>
    </w:p>
    <w:p>
      <w:pPr>
        <w:ind w:left="2040" w:hanging="377"/>
        <w:spacing w:after="0"/>
        <w:tabs>
          <w:tab w:leader="none" w:pos="2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76" w:lineRule="exact"/>
        <w:rPr>
          <w:rFonts w:ascii="Arial" w:cs="Arial" w:eastAsia="Arial" w:hAnsi="Arial"/>
          <w:sz w:val="18"/>
          <w:szCs w:val="18"/>
          <w:color w:val="auto"/>
        </w:rPr>
      </w:pPr>
    </w:p>
    <w:p>
      <w:pPr>
        <w:ind w:left="2040" w:hanging="377"/>
        <w:spacing w:after="0"/>
        <w:tabs>
          <w:tab w:leader="none" w:pos="20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and</w:t>
      </w:r>
    </w:p>
    <w:p>
      <w:pPr>
        <w:spacing w:after="0" w:line="99" w:lineRule="exact"/>
        <w:rPr>
          <w:rFonts w:ascii="Arial" w:cs="Arial" w:eastAsia="Arial" w:hAnsi="Arial"/>
          <w:sz w:val="16"/>
          <w:szCs w:val="16"/>
          <w:color w:val="auto"/>
        </w:rPr>
      </w:pPr>
    </w:p>
    <w:p>
      <w:pPr>
        <w:ind w:left="2040" w:hanging="377"/>
        <w:spacing w:after="0"/>
        <w:tabs>
          <w:tab w:leader="none" w:pos="2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77" w:lineRule="exact"/>
        <w:rPr>
          <w:sz w:val="20"/>
          <w:szCs w:val="20"/>
          <w:color w:val="auto"/>
        </w:rPr>
      </w:pPr>
    </w:p>
    <w:p>
      <w:pPr>
        <w:ind w:left="1420" w:hanging="29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76" w:lineRule="exact"/>
        <w:rPr>
          <w:rFonts w:ascii="Arial" w:cs="Arial" w:eastAsia="Arial" w:hAnsi="Arial"/>
          <w:sz w:val="18"/>
          <w:szCs w:val="18"/>
          <w:color w:val="auto"/>
        </w:rPr>
      </w:pPr>
    </w:p>
    <w:p>
      <w:pPr>
        <w:ind w:left="1140" w:right="300" w:firstLine="523"/>
        <w:spacing w:after="0" w:line="268" w:lineRule="auto"/>
        <w:tabs>
          <w:tab w:leader="none" w:pos="2024"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 or any other case or proceeding to be adjudicated bankrupt or insolvent;</w:t>
      </w:r>
    </w:p>
    <w:p>
      <w:pPr>
        <w:spacing w:after="0" w:line="37" w:lineRule="exact"/>
        <w:rPr>
          <w:rFonts w:ascii="Arial" w:cs="Arial" w:eastAsia="Arial" w:hAnsi="Arial"/>
          <w:sz w:val="18"/>
          <w:szCs w:val="18"/>
          <w:color w:val="auto"/>
        </w:rPr>
      </w:pPr>
    </w:p>
    <w:p>
      <w:pPr>
        <w:ind w:left="1140" w:right="280" w:firstLine="523"/>
        <w:spacing w:after="0" w:line="347" w:lineRule="auto"/>
        <w:tabs>
          <w:tab w:leader="none" w:pos="2034" w:val="left"/>
        </w:tabs>
        <w:numPr>
          <w:ilvl w:val="1"/>
          <w:numId w:val="34"/>
        </w:numPr>
        <w:rPr>
          <w:rFonts w:ascii="Arial" w:cs="Arial" w:eastAsia="Arial" w:hAnsi="Arial"/>
          <w:sz w:val="15"/>
          <w:szCs w:val="15"/>
          <w:color w:val="auto"/>
        </w:rPr>
      </w:pPr>
      <w:r>
        <w:rPr>
          <w:rFonts w:ascii="Arial" w:cs="Arial" w:eastAsia="Arial" w:hAnsi="Arial"/>
          <w:sz w:val="15"/>
          <w:szCs w:val="15"/>
          <w:color w:val="auto"/>
        </w:rPr>
        <w:t>consent to the entry of a decree or order for relief in respect of us or any of our significant subsidiaries in an involuntary case or proceeding under any applicable bankruptcy law or to the commencement of any bankruptcy or insolvency case or proceeding against us or it;</w:t>
      </w:r>
    </w:p>
    <w:p>
      <w:pPr>
        <w:ind w:left="2040" w:hanging="377"/>
        <w:spacing w:after="0"/>
        <w:tabs>
          <w:tab w:leader="none" w:pos="20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consent to the appointment of a receiver in respect of us or any of our significant subsidiaries for all or substantially all of our or its</w:t>
      </w:r>
    </w:p>
    <w:p>
      <w:pPr>
        <w:spacing w:after="0" w:line="38"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property; 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40" w:hanging="377"/>
        <w:spacing w:after="0"/>
        <w:tabs>
          <w:tab w:leader="none" w:pos="2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76" w:lineRule="exact"/>
        <w:rPr>
          <w:rFonts w:ascii="Arial" w:cs="Arial" w:eastAsia="Arial" w:hAnsi="Arial"/>
          <w:sz w:val="18"/>
          <w:szCs w:val="18"/>
          <w:color w:val="auto"/>
        </w:rPr>
      </w:pPr>
    </w:p>
    <w:p>
      <w:pPr>
        <w:ind w:left="1420" w:hanging="29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the debt securities of that series.</w:t>
      </w:r>
    </w:p>
    <w:p>
      <w:pPr>
        <w:spacing w:after="0" w:line="158"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37" w:lineRule="exact"/>
        <w:rPr>
          <w:sz w:val="20"/>
          <w:szCs w:val="20"/>
          <w:color w:val="auto"/>
        </w:rPr>
      </w:pPr>
    </w:p>
    <w:p>
      <w:pPr>
        <w:ind w:left="800" w:hanging="225"/>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85"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that if an event of default occurs and continues,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02"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b w:val="1"/>
          <w:bCs w:val="1"/>
          <w:i w:val="1"/>
          <w:iCs w:val="1"/>
          <w:color w:val="auto"/>
        </w:rPr>
        <w:t xml:space="preserve">Waiver of Acceleration. </w:t>
      </w:r>
      <w:r>
        <w:rPr>
          <w:rFonts w:ascii="Arial" w:cs="Arial" w:eastAsia="Arial" w:hAnsi="Arial"/>
          <w:sz w:val="18"/>
          <w:szCs w:val="18"/>
          <w:color w:val="auto"/>
        </w:rPr>
        <w:t>Unless we say otherwise in a prospectus supplement, each indenture provides that, after a declaration of acceleration, but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46" w:lineRule="exact"/>
        <w:rPr>
          <w:sz w:val="20"/>
          <w:szCs w:val="20"/>
          <w:color w:val="auto"/>
        </w:rPr>
      </w:pPr>
    </w:p>
    <w:p>
      <w:pPr>
        <w:ind w:left="800" w:hanging="225"/>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overdue interest on all debt securities of the applicable series,</w:t>
      </w:r>
    </w:p>
    <w:p>
      <w:pPr>
        <w:spacing w:after="0" w:line="103" w:lineRule="exact"/>
        <w:rPr>
          <w:rFonts w:ascii="Arial" w:cs="Arial" w:eastAsia="Arial" w:hAnsi="Arial"/>
          <w:sz w:val="18"/>
          <w:szCs w:val="18"/>
          <w:color w:val="auto"/>
        </w:rPr>
      </w:pPr>
    </w:p>
    <w:p>
      <w:pPr>
        <w:ind w:left="1260" w:right="260" w:hanging="455"/>
        <w:spacing w:after="0" w:line="268" w:lineRule="auto"/>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borne by the debt securities, and</w:t>
      </w:r>
    </w:p>
    <w:p>
      <w:pPr>
        <w:spacing w:after="0" w:line="103" w:lineRule="exact"/>
        <w:rPr>
          <w:rFonts w:ascii="Arial" w:cs="Arial" w:eastAsia="Arial" w:hAnsi="Arial"/>
          <w:sz w:val="18"/>
          <w:szCs w:val="18"/>
          <w:color w:val="auto"/>
        </w:rPr>
      </w:pPr>
    </w:p>
    <w:p>
      <w:pPr>
        <w:ind w:left="1260" w:right="300" w:hanging="455"/>
        <w:spacing w:after="0" w:line="268" w:lineRule="auto"/>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37" w:lineRule="exact"/>
        <w:rPr>
          <w:rFonts w:ascii="Arial" w:cs="Arial" w:eastAsia="Arial" w:hAnsi="Arial"/>
          <w:sz w:val="18"/>
          <w:szCs w:val="18"/>
          <w:color w:val="auto"/>
        </w:rPr>
      </w:pPr>
    </w:p>
    <w:p>
      <w:pPr>
        <w:ind w:left="800" w:right="100" w:hanging="225"/>
        <w:spacing w:after="0" w:line="268"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18"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written statement as to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any debt security of such series or in the payment of any sinking fund installment in respect of any debt security of such series) if the trustee considers such withholding to be in the interest of the holders.</w:t>
      </w:r>
    </w:p>
    <w:p>
      <w:pPr>
        <w:spacing w:after="0" w:line="105" w:lineRule="exact"/>
        <w:rPr>
          <w:sz w:val="20"/>
          <w:szCs w:val="20"/>
          <w:color w:val="auto"/>
        </w:rPr>
      </w:pPr>
    </w:p>
    <w:p>
      <w:pPr>
        <w:jc w:val="both"/>
        <w:ind w:right="160" w:firstLine="571"/>
        <w:spacing w:after="0" w:line="306" w:lineRule="auto"/>
        <w:rPr>
          <w:sz w:val="20"/>
          <w:szCs w:val="20"/>
          <w:color w:val="auto"/>
        </w:rPr>
      </w:pPr>
      <w:r>
        <w:rPr>
          <w:rFonts w:ascii="Arial" w:cs="Arial" w:eastAsia="Arial" w:hAnsi="Arial"/>
          <w:sz w:val="16"/>
          <w:szCs w:val="16"/>
          <w:b w:val="1"/>
          <w:bCs w:val="1"/>
          <w:i w:val="1"/>
          <w:iCs w:val="1"/>
          <w:color w:val="auto"/>
        </w:rPr>
        <w:t xml:space="preserve">Limitation on Suits. </w:t>
      </w:r>
      <w:r>
        <w:rPr>
          <w:rFonts w:ascii="Arial" w:cs="Arial" w:eastAsia="Arial" w:hAnsi="Arial"/>
          <w:sz w:val="16"/>
          <w:szCs w:val="16"/>
          <w:color w:val="auto"/>
        </w:rPr>
        <w:t>Each indenture provides that no holders of debt securities of any series may institute any proceedings, judicial or otherwise,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the indenture or for any remedy thereunder, except in the case of the failure of the trustee, for 60 days, to act after it has received a written request to institute proceedings in respect of an event of default from the holders of not less than 25% in aggregate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principal amount of the debt securities of the applicable series outstanding, as well as an offer of indemnity reasonably satisfactory to it.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27" w:lineRule="exact"/>
        <w:rPr>
          <w:sz w:val="20"/>
          <w:szCs w:val="20"/>
          <w:color w:val="auto"/>
        </w:rPr>
      </w:pPr>
    </w:p>
    <w:p>
      <w:pPr>
        <w:ind w:right="180" w:firstLine="571"/>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93" w:lineRule="exact"/>
        <w:rPr>
          <w:sz w:val="20"/>
          <w:szCs w:val="20"/>
          <w:color w:val="auto"/>
        </w:rPr>
      </w:pPr>
    </w:p>
    <w:p>
      <w:pPr>
        <w:ind w:right="40" w:firstLine="571"/>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93"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83"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46" w:lineRule="exact"/>
        <w:rPr>
          <w:sz w:val="20"/>
          <w:szCs w:val="20"/>
          <w:color w:val="auto"/>
        </w:rPr>
      </w:pPr>
    </w:p>
    <w:p>
      <w:pPr>
        <w:ind w:left="800" w:right="340" w:hanging="225"/>
        <w:spacing w:after="0" w:line="268"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37" w:lineRule="exact"/>
        <w:rPr>
          <w:rFonts w:ascii="Arial" w:cs="Arial" w:eastAsia="Arial" w:hAnsi="Arial"/>
          <w:sz w:val="18"/>
          <w:szCs w:val="18"/>
          <w:color w:val="auto"/>
        </w:rPr>
      </w:pPr>
    </w:p>
    <w:p>
      <w:pPr>
        <w:ind w:left="800" w:hanging="225"/>
        <w:spacing w:after="0" w:line="325" w:lineRule="auto"/>
        <w:tabs>
          <w:tab w:leader="none" w:pos="8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1" w:lineRule="exact"/>
        <w:rPr>
          <w:rFonts w:ascii="Arial" w:cs="Arial" w:eastAsia="Arial" w:hAnsi="Arial"/>
          <w:sz w:val="16"/>
          <w:szCs w:val="16"/>
          <w:color w:val="auto"/>
        </w:rPr>
      </w:pPr>
    </w:p>
    <w:p>
      <w:pPr>
        <w:ind w:left="800" w:hanging="225"/>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85"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w:t>
      </w:r>
    </w:p>
    <w:p>
      <w:pPr>
        <w:spacing w:after="0" w:line="50" w:lineRule="exact"/>
        <w:rPr>
          <w:sz w:val="20"/>
          <w:szCs w:val="20"/>
          <w:color w:val="auto"/>
        </w:rPr>
      </w:pPr>
    </w:p>
    <w:p>
      <w:pPr>
        <w:ind w:left="120" w:hanging="112"/>
        <w:spacing w:after="0"/>
        <w:tabs>
          <w:tab w:leader="none" w:pos="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series:</w:t>
      </w:r>
    </w:p>
    <w:p>
      <w:pPr>
        <w:spacing w:after="0" w:line="70" w:lineRule="exact"/>
        <w:rPr>
          <w:rFonts w:ascii="Arial" w:cs="Arial" w:eastAsia="Arial" w:hAnsi="Arial"/>
          <w:sz w:val="18"/>
          <w:szCs w:val="18"/>
          <w:color w:val="auto"/>
        </w:rPr>
      </w:pPr>
    </w:p>
    <w:p>
      <w:pPr>
        <w:ind w:left="800" w:right="140" w:hanging="225"/>
        <w:spacing w:after="0" w:line="254" w:lineRule="auto"/>
        <w:tabs>
          <w:tab w:leader="none" w:pos="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we must irrevocably deposit with the trustee, in trust, for the benefit of the holders of the debt securities of the applicable series, an amount in (i) currency, currencies or currency unit in which those debt securities are then specified as payable at maturity, (ii) government securities (as defined in the applicable indenture) or (iii) any combination thereof, as will be sufficient,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since the date we issued the applicable debt securities, there has been a change in the applicable federal income tax law,</w:t>
      </w:r>
    </w:p>
    <w:p>
      <w:pPr>
        <w:spacing w:after="0" w:line="10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46" w:lineRule="exact"/>
        <w:rPr>
          <w:sz w:val="20"/>
          <w:szCs w:val="20"/>
          <w:color w:val="auto"/>
        </w:rPr>
      </w:pPr>
    </w:p>
    <w:p>
      <w:pPr>
        <w:ind w:left="800" w:right="40" w:hanging="225"/>
        <w:spacing w:after="0" w:line="256"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48"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37" w:lineRule="exact"/>
        <w:rPr>
          <w:rFonts w:ascii="Arial" w:cs="Arial" w:eastAsia="Arial" w:hAnsi="Arial"/>
          <w:sz w:val="18"/>
          <w:szCs w:val="18"/>
          <w:color w:val="auto"/>
        </w:rPr>
      </w:pPr>
    </w:p>
    <w:p>
      <w:pPr>
        <w:ind w:left="800" w:right="360" w:hanging="225"/>
        <w:spacing w:after="0" w:line="26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37" w:lineRule="exact"/>
        <w:rPr>
          <w:rFonts w:ascii="Arial" w:cs="Arial" w:eastAsia="Arial" w:hAnsi="Arial"/>
          <w:sz w:val="18"/>
          <w:szCs w:val="18"/>
          <w:color w:val="auto"/>
        </w:rPr>
      </w:pPr>
    </w:p>
    <w:p>
      <w:pPr>
        <w:ind w:left="800" w:right="340" w:hanging="225"/>
        <w:spacing w:after="0" w:line="26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37" w:lineRule="exact"/>
        <w:rPr>
          <w:rFonts w:ascii="Arial" w:cs="Arial" w:eastAsia="Arial" w:hAnsi="Arial"/>
          <w:sz w:val="18"/>
          <w:szCs w:val="18"/>
          <w:color w:val="auto"/>
        </w:rPr>
      </w:pPr>
    </w:p>
    <w:p>
      <w:pPr>
        <w:ind w:left="800" w:right="60" w:hanging="225"/>
        <w:spacing w:after="0" w:line="306" w:lineRule="auto"/>
        <w:tabs>
          <w:tab w:leader="none" w:pos="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representations under the Investment Company Act have been effected.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83" w:lineRule="exact"/>
        <w:rPr>
          <w:sz w:val="20"/>
          <w:szCs w:val="20"/>
          <w:color w:val="auto"/>
        </w:rPr>
      </w:pPr>
    </w:p>
    <w:p>
      <w:pPr>
        <w:jc w:val="both"/>
        <w:ind w:right="340" w:firstLine="571"/>
        <w:spacing w:after="0" w:line="331" w:lineRule="auto"/>
        <w:rPr>
          <w:sz w:val="20"/>
          <w:szCs w:val="20"/>
          <w:color w:val="auto"/>
        </w:rPr>
      </w:pPr>
      <w:r>
        <w:rPr>
          <w:rFonts w:ascii="Arial" w:cs="Arial" w:eastAsia="Arial" w:hAnsi="Arial"/>
          <w:sz w:val="15"/>
          <w:szCs w:val="15"/>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2" w:lineRule="exact"/>
        <w:rPr>
          <w:sz w:val="20"/>
          <w:szCs w:val="20"/>
          <w:color w:val="auto"/>
        </w:rPr>
      </w:pPr>
    </w:p>
    <w:p>
      <w:pPr>
        <w:ind w:left="800" w:hanging="225"/>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coin or currency in which the principal or premium, if any, of any debt security or the interest thereon is payable;</w:t>
      </w:r>
    </w:p>
    <w:p>
      <w:pPr>
        <w:spacing w:after="0" w:line="103" w:lineRule="exact"/>
        <w:rPr>
          <w:rFonts w:ascii="Arial" w:cs="Arial" w:eastAsia="Arial" w:hAnsi="Arial"/>
          <w:sz w:val="18"/>
          <w:szCs w:val="18"/>
          <w:color w:val="auto"/>
        </w:rPr>
      </w:pPr>
    </w:p>
    <w:p>
      <w:pPr>
        <w:ind w:left="800" w:right="40" w:hanging="225"/>
        <w:spacing w:after="0" w:line="268"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37" w:lineRule="exact"/>
        <w:rPr>
          <w:rFonts w:ascii="Arial" w:cs="Arial" w:eastAsia="Arial" w:hAnsi="Arial"/>
          <w:sz w:val="18"/>
          <w:szCs w:val="18"/>
          <w:color w:val="auto"/>
        </w:rPr>
      </w:pPr>
    </w:p>
    <w:p>
      <w:pPr>
        <w:ind w:left="800" w:right="320" w:hanging="225"/>
        <w:spacing w:after="0" w:line="332" w:lineRule="auto"/>
        <w:tabs>
          <w:tab w:leader="none" w:pos="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 w:hanging="225"/>
        <w:spacing w:after="0" w:line="256"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30"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37" w:lineRule="exact"/>
        <w:rPr>
          <w:sz w:val="20"/>
          <w:szCs w:val="20"/>
          <w:color w:val="auto"/>
        </w:rPr>
      </w:pPr>
    </w:p>
    <w:p>
      <w:pPr>
        <w:ind w:left="800" w:right="500" w:hanging="225"/>
        <w:spacing w:after="0" w:line="268"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03" w:lineRule="exact"/>
        <w:rPr>
          <w:rFonts w:ascii="Arial" w:cs="Arial" w:eastAsia="Arial" w:hAnsi="Arial"/>
          <w:sz w:val="18"/>
          <w:szCs w:val="18"/>
          <w:color w:val="auto"/>
        </w:rPr>
      </w:pPr>
    </w:p>
    <w:p>
      <w:pPr>
        <w:ind w:left="800" w:right="20" w:hanging="225"/>
        <w:spacing w:after="0" w:line="331" w:lineRule="auto"/>
        <w:tabs>
          <w:tab w:leader="none" w:pos="8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w:t>
      </w:r>
    </w:p>
    <w:p>
      <w:pPr>
        <w:spacing w:after="0" w:line="2" w:lineRule="exact"/>
        <w:rPr>
          <w:rFonts w:ascii="Arial" w:cs="Arial" w:eastAsia="Arial" w:hAnsi="Arial"/>
          <w:sz w:val="15"/>
          <w:szCs w:val="15"/>
          <w:color w:val="auto"/>
        </w:rPr>
      </w:pPr>
    </w:p>
    <w:p>
      <w:pPr>
        <w:ind w:left="800" w:hanging="225"/>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03" w:lineRule="exact"/>
        <w:rPr>
          <w:rFonts w:ascii="Arial" w:cs="Arial" w:eastAsia="Arial" w:hAnsi="Arial"/>
          <w:sz w:val="18"/>
          <w:szCs w:val="18"/>
          <w:color w:val="auto"/>
        </w:rPr>
      </w:pPr>
    </w:p>
    <w:p>
      <w:pPr>
        <w:ind w:left="800" w:right="440" w:hanging="225"/>
        <w:spacing w:after="0" w:line="268"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37" w:lineRule="exact"/>
        <w:rPr>
          <w:rFonts w:ascii="Arial" w:cs="Arial" w:eastAsia="Arial" w:hAnsi="Arial"/>
          <w:sz w:val="18"/>
          <w:szCs w:val="18"/>
          <w:color w:val="auto"/>
        </w:rPr>
      </w:pPr>
    </w:p>
    <w:p>
      <w:pPr>
        <w:ind w:left="800" w:right="400" w:hanging="225"/>
        <w:spacing w:after="0" w:line="256"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48" w:lineRule="exact"/>
        <w:rPr>
          <w:rFonts w:ascii="Arial" w:cs="Arial" w:eastAsia="Arial" w:hAnsi="Arial"/>
          <w:sz w:val="18"/>
          <w:szCs w:val="18"/>
          <w:color w:val="auto"/>
        </w:rPr>
      </w:pPr>
    </w:p>
    <w:p>
      <w:pPr>
        <w:ind w:left="800" w:hanging="225"/>
        <w:spacing w:after="0" w:line="259"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27"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83"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21" w:lineRule="exact"/>
        <w:rPr>
          <w:sz w:val="20"/>
          <w:szCs w:val="20"/>
          <w:color w:val="auto"/>
        </w:rPr>
      </w:pPr>
    </w:p>
    <w:p>
      <w:pPr>
        <w:ind w:left="800" w:hanging="225"/>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03" w:lineRule="exact"/>
        <w:rPr>
          <w:rFonts w:ascii="Arial" w:cs="Arial" w:eastAsia="Arial" w:hAnsi="Arial"/>
          <w:sz w:val="18"/>
          <w:szCs w:val="18"/>
          <w:color w:val="auto"/>
        </w:rPr>
      </w:pPr>
    </w:p>
    <w:p>
      <w:pPr>
        <w:ind w:left="800" w:right="100" w:hanging="225"/>
        <w:spacing w:after="0" w:line="268"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Unless we say otherwise in a prospectus supplement, we will send notices to holders of debt securities by mail to the holder’s address as it appears in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register.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jc w:val="center"/>
        <w:ind w:left="400" w:right="420"/>
        <w:spacing w:after="0" w:line="440" w:lineRule="auto"/>
        <w:rPr>
          <w:sz w:val="20"/>
          <w:szCs w:val="20"/>
          <w:color w:val="auto"/>
        </w:rPr>
      </w:pPr>
      <w:r>
        <w:rPr>
          <w:rFonts w:ascii="Arial" w:cs="Arial" w:eastAsia="Arial" w:hAnsi="Arial"/>
          <w:sz w:val="18"/>
          <w:szCs w:val="18"/>
          <w:color w:val="auto"/>
        </w:rPr>
        <w:t>Unless we say otherwise in a prospectus supplement, each indenture and the debt securities will be governed by the laws of the State of New York. 16</w:t>
      </w:r>
    </w:p>
    <w:p>
      <w:pPr>
        <w:sectPr>
          <w:pgSz w:w="11900" w:h="16838" w:orient="portrait"/>
          <w:cols w:equalWidth="0" w:num="1">
            <w:col w:w="11320"/>
          </w:cols>
          <w:pgMar w:left="24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64" w:lineRule="exact"/>
        <w:rPr>
          <w:sz w:val="20"/>
          <w:szCs w:val="20"/>
          <w:color w:val="auto"/>
        </w:rPr>
      </w:pPr>
    </w:p>
    <w:p>
      <w:pPr>
        <w:jc w:val="both"/>
        <w:ind w:right="100" w:firstLine="571"/>
        <w:spacing w:after="0" w:line="306" w:lineRule="auto"/>
        <w:rPr>
          <w:sz w:val="20"/>
          <w:szCs w:val="20"/>
          <w:color w:val="auto"/>
        </w:rPr>
      </w:pPr>
      <w:r>
        <w:rPr>
          <w:rFonts w:ascii="Arial" w:cs="Arial" w:eastAsia="Arial" w:hAnsi="Arial"/>
          <w:sz w:val="16"/>
          <w:szCs w:val="16"/>
          <w:color w:val="auto"/>
        </w:rPr>
        <w:t>We are a Maryland real estate investment trust. Your rights as a shareholder are governed by the Code of Maryland, including Title 8 of the Corporations and Associations Article, our declaration of trust and our bylaws. The following summary of the material terms, rights and preferences of the shares of beneficial interest is not complete. You should read our declaration of trust, bylaws and shareholder rights plan for more complete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83" w:lineRule="exact"/>
        <w:rPr>
          <w:sz w:val="20"/>
          <w:szCs w:val="20"/>
          <w:color w:val="auto"/>
        </w:rPr>
      </w:pPr>
    </w:p>
    <w:p>
      <w:pPr>
        <w:jc w:val="both"/>
        <w:ind w:right="340" w:firstLine="571"/>
        <w:spacing w:after="0" w:line="329" w:lineRule="auto"/>
        <w:rPr>
          <w:sz w:val="20"/>
          <w:szCs w:val="20"/>
          <w:color w:val="auto"/>
        </w:rPr>
      </w:pPr>
      <w:r>
        <w:rPr>
          <w:rFonts w:ascii="Arial" w:cs="Arial" w:eastAsia="Arial" w:hAnsi="Arial"/>
          <w:sz w:val="15"/>
          <w:szCs w:val="15"/>
          <w:color w:val="auto"/>
        </w:rPr>
        <w:t xml:space="preserve">Our declaration of trust allows us to issue up to 100,000,000 common shares of beneficial interest, par value $.01 per share, and 15,000,000 preferred shares of beneficial interest, par value $.01 per share. As of March 31, 2003, we had issued and outstanding 45,188,117 common shares, 4,000,000 preferred shares which were designated as 7.95% Series A Cumulative Redeemable Preferred Shares, which we refer to as the Series A preferred shares, and 5,400,000 preferred shares which were designated as 8 </w:t>
      </w:r>
      <w:r>
        <w:rPr>
          <w:rFonts w:ascii="Arial" w:cs="Arial" w:eastAsia="Arial" w:hAnsi="Arial"/>
          <w:sz w:val="19"/>
          <w:szCs w:val="19"/>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2</w:t>
      </w:r>
      <w:r>
        <w:rPr>
          <w:rFonts w:ascii="Arial" w:cs="Arial" w:eastAsia="Arial" w:hAnsi="Arial"/>
          <w:sz w:val="15"/>
          <w:szCs w:val="15"/>
          <w:color w:val="auto"/>
        </w:rPr>
        <w:t>% Series B Cumulative Redeemable Preferred Shares, which we refer to as the Series B preferred shares.</w:t>
      </w:r>
    </w:p>
    <w:p>
      <w:pPr>
        <w:spacing w:after="0" w:line="4" w:lineRule="exact"/>
        <w:rPr>
          <w:sz w:val="20"/>
          <w:szCs w:val="20"/>
          <w:color w:val="auto"/>
        </w:rPr>
      </w:pPr>
    </w:p>
    <w:p>
      <w:pPr>
        <w:ind w:right="260" w:firstLine="571"/>
        <w:spacing w:after="0" w:line="306" w:lineRule="auto"/>
        <w:rPr>
          <w:sz w:val="20"/>
          <w:szCs w:val="20"/>
          <w:color w:val="auto"/>
        </w:rPr>
      </w:pPr>
      <w:r>
        <w:rPr>
          <w:rFonts w:ascii="Arial" w:cs="Arial" w:eastAsia="Arial" w:hAnsi="Arial"/>
          <w:sz w:val="16"/>
          <w:szCs w:val="16"/>
          <w:color w:val="auto"/>
        </w:rPr>
        <w:t>Each Series A preferred share is entitled to receive, when, as and if authorized by our Board of Trustees out of funds legally available for that purpose, cumulative dividends at the rate of $1.9875 per annum, and each Series B preferred share is entitled to receive, when, as and if authorized by our Board of Trustees out of funds legally available for that purpose, cumulative dividends at the rate of $2.125 per annum.</w:t>
      </w:r>
    </w:p>
    <w:p>
      <w:pPr>
        <w:spacing w:after="0" w:line="93"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The Series A preferred shares and the Series B preferred shares rank prior to the common shares with respect to the payment of dividends and the distribution of assets upon liquidation, dissolution or winding up of the Trust. Our declaration of trust provides that, unless full cumulative dividends on all outstanding Series A preferred shares, Series B preferred shares and any other class or series of our shares of beneficial interest ranking, as to the payment of dividends and the distribution of assets upon liquidation, dissolution or winding up, on a parity with the Series A preferred shares or Series B preferred shares (“Parity Shares”) shall have been declared and paid or declared and set apart for payment for all past dividend periods, then no dividends, other than dividends paid solely in shares of our, or options, warrants or rights to subscribe for or purchase shares of our, beneficial interest which rank junior to the Series A preferred shares and Series B preferred shares with respect to the payment of dividends and the distribution of assets upon our liquidation, dissolution or winding up (“Fully Junior Shares”), shall be declared or paid or set apart for payment on the common shares nor shall any common shares be redeemed, purchased or otherwise acquired (other than for purposes of our employee incentive or benefit plans or by conversion into or exchange for Fully Junior Shares).</w:t>
      </w:r>
    </w:p>
    <w:p>
      <w:pPr>
        <w:spacing w:after="0" w:line="106" w:lineRule="exact"/>
        <w:rPr>
          <w:sz w:val="20"/>
          <w:szCs w:val="20"/>
          <w:color w:val="auto"/>
        </w:rPr>
      </w:pPr>
    </w:p>
    <w:p>
      <w:pPr>
        <w:ind w:firstLine="571"/>
        <w:spacing w:after="0" w:line="332" w:lineRule="auto"/>
        <w:rPr>
          <w:sz w:val="20"/>
          <w:szCs w:val="20"/>
          <w:color w:val="auto"/>
        </w:rPr>
      </w:pPr>
      <w:r>
        <w:rPr>
          <w:rFonts w:ascii="Arial" w:cs="Arial" w:eastAsia="Arial" w:hAnsi="Arial"/>
          <w:sz w:val="16"/>
          <w:szCs w:val="16"/>
          <w:color w:val="auto"/>
        </w:rPr>
        <w:t>In the event of our liquidation, dissolution or winding up, the holders of Series A preferred shares and Series B preferred shares shall be entitled to receive $25 per share, plus all accrued and unpaid dividends, before any distribution shall be made with respect to the common shares.</w:t>
      </w:r>
    </w:p>
    <w:p>
      <w:pPr>
        <w:spacing w:after="0" w:line="72" w:lineRule="exact"/>
        <w:rPr>
          <w:sz w:val="20"/>
          <w:szCs w:val="20"/>
          <w:color w:val="auto"/>
        </w:rPr>
      </w:pPr>
    </w:p>
    <w:p>
      <w:pPr>
        <w:ind w:right="260" w:firstLine="571"/>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the following actions without approval by you or any shareholder:</w:t>
      </w:r>
    </w:p>
    <w:p>
      <w:pPr>
        <w:spacing w:after="0" w:line="37" w:lineRule="exact"/>
        <w:rPr>
          <w:sz w:val="20"/>
          <w:szCs w:val="20"/>
          <w:color w:val="auto"/>
        </w:rPr>
      </w:pPr>
    </w:p>
    <w:p>
      <w:pPr>
        <w:ind w:left="800" w:hanging="225"/>
        <w:spacing w:after="0"/>
        <w:tabs>
          <w:tab w:leader="none" w:pos="8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classify or reclassify any authorized but unissued common shares or preferred shares into one or more classes or series of shares of beneficial interest;</w:t>
      </w:r>
    </w:p>
    <w:p>
      <w:pPr>
        <w:spacing w:after="0" w:line="138" w:lineRule="exact"/>
        <w:rPr>
          <w:rFonts w:ascii="Arial" w:cs="Arial" w:eastAsia="Arial" w:hAnsi="Arial"/>
          <w:sz w:val="15"/>
          <w:szCs w:val="15"/>
          <w:color w:val="auto"/>
        </w:rPr>
      </w:pPr>
    </w:p>
    <w:p>
      <w:pPr>
        <w:ind w:left="800" w:hanging="225"/>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571"/>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18"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Liability</w:t>
      </w:r>
    </w:p>
    <w:p>
      <w:pPr>
        <w:spacing w:after="0" w:line="83"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Under Maryland law, you will not be personally liable for any obligation of ours solely because you 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w:t>
      </w:r>
    </w:p>
    <w:p>
      <w:pPr>
        <w:spacing w:after="0" w:line="127" w:lineRule="exact"/>
        <w:rPr>
          <w:sz w:val="20"/>
          <w:szCs w:val="20"/>
          <w:color w:val="auto"/>
        </w:rPr>
      </w:pPr>
    </w:p>
    <w:p>
      <w:pPr>
        <w:ind w:right="300" w:firstLine="571"/>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83"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A preferred shares, the Series B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A preferred shares, Series B preferred shares and any other shares of beneficial interest having a priority over our common shares in the event of our liquidation, dissolution or winding up. As noted above under “— Authorized Shares,” our outstanding Series A preferred shares and Series B preferred shares rank prior to our common shares with respect to the payment of dividends and as to the distribution of assets in the event of our liquidation, dissolution or winding up.</w:t>
      </w:r>
    </w:p>
    <w:p>
      <w:pPr>
        <w:spacing w:after="0" w:line="109"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(other than trustees elected by the holders of our preferred shares under the circumstances described below under “— Preferred Shares — Voting Rights”).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the outstanding common shares can elect all of the trustees then standing for election, and the holders of the remaining shares will not be able to elect any trustees.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77" w:lineRule="exact"/>
        <w:rPr>
          <w:sz w:val="20"/>
          <w:szCs w:val="20"/>
          <w:color w:val="auto"/>
        </w:rPr>
      </w:pPr>
    </w:p>
    <w:p>
      <w:pPr>
        <w:ind w:left="800" w:hanging="225"/>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85"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46" w:lineRule="exact"/>
        <w:rPr>
          <w:sz w:val="20"/>
          <w:szCs w:val="20"/>
          <w:color w:val="auto"/>
        </w:rPr>
      </w:pPr>
    </w:p>
    <w:p>
      <w:pPr>
        <w:ind w:left="800" w:hanging="225"/>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w:t>
      </w:r>
    </w:p>
    <w:p>
      <w:pPr>
        <w:spacing w:after="0" w:line="103" w:lineRule="exact"/>
        <w:rPr>
          <w:rFonts w:ascii="Arial" w:cs="Arial" w:eastAsia="Arial" w:hAnsi="Arial"/>
          <w:sz w:val="18"/>
          <w:szCs w:val="18"/>
          <w:color w:val="auto"/>
        </w:rPr>
      </w:pPr>
    </w:p>
    <w:p>
      <w:pPr>
        <w:ind w:left="800" w:hanging="225"/>
        <w:spacing w:after="0" w:line="256"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48" w:lineRule="exact"/>
        <w:rPr>
          <w:rFonts w:ascii="Arial" w:cs="Arial" w:eastAsia="Arial" w:hAnsi="Arial"/>
          <w:sz w:val="18"/>
          <w:szCs w:val="18"/>
          <w:color w:val="auto"/>
        </w:rPr>
      </w:pPr>
    </w:p>
    <w:p>
      <w:pPr>
        <w:ind w:left="800" w:right="160" w:hanging="225"/>
        <w:spacing w:after="0" w:line="306" w:lineRule="auto"/>
        <w:tabs>
          <w:tab w:leader="none" w:pos="8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12" w:lineRule="exact"/>
        <w:rPr>
          <w:rFonts w:ascii="Arial" w:cs="Arial" w:eastAsia="Arial" w:hAnsi="Arial"/>
          <w:sz w:val="16"/>
          <w:szCs w:val="16"/>
          <w:color w:val="auto"/>
        </w:rPr>
      </w:pPr>
    </w:p>
    <w:p>
      <w:pPr>
        <w:ind w:left="800" w:right="500" w:hanging="225"/>
        <w:spacing w:after="0" w:line="268"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the affirmative vote of two-thirds of all the votes entitled to be cast on the matter); and</w:t>
      </w:r>
    </w:p>
    <w:p>
      <w:pPr>
        <w:spacing w:after="0" w:line="37" w:lineRule="exact"/>
        <w:rPr>
          <w:rFonts w:ascii="Arial" w:cs="Arial" w:eastAsia="Arial" w:hAnsi="Arial"/>
          <w:sz w:val="18"/>
          <w:szCs w:val="18"/>
          <w:color w:val="auto"/>
        </w:rPr>
      </w:pPr>
    </w:p>
    <w:p>
      <w:pPr>
        <w:ind w:left="800" w:right="120" w:hanging="225"/>
        <w:spacing w:after="0" w:line="268"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declaration of trust permits the trustees to revoke our election to be taxed as a real estate investment trust, or REIT, or to determine that compliance with any restriction or limitations on ownership and transfers of shares set forth in the declaration of trust is no longer required in order for us to qualify as a REIT. Our declaration of trust also permits the trustees to amend the declaration of trust from time to time, without approval by you or the other shareholders, to:</w:t>
      </w:r>
    </w:p>
    <w:p>
      <w:pPr>
        <w:spacing w:after="0" w:line="12" w:lineRule="exact"/>
        <w:rPr>
          <w:sz w:val="20"/>
          <w:szCs w:val="20"/>
          <w:color w:val="auto"/>
        </w:rPr>
      </w:pPr>
    </w:p>
    <w:p>
      <w:pPr>
        <w:ind w:left="800" w:hanging="225"/>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law or the Internal Revenue Code;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85"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In addition, any provision of our bylaws may be adopted, altered or repealed by the shareholders, at any meeting of shareholders called for that purpose, by the affirmative vote of holders of not less than a majority of the shares then outstanding and entitled to vote.</w:t>
      </w:r>
    </w:p>
    <w:p>
      <w:pPr>
        <w:spacing w:after="0" w:line="118"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tabs>
          <w:tab w:leader="none" w:pos="2500" w:val="left"/>
        </w:tabs>
        <w:rPr>
          <w:sz w:val="20"/>
          <w:szCs w:val="20"/>
          <w:color w:val="auto"/>
        </w:rPr>
      </w:pPr>
      <w:r>
        <w:rPr>
          <w:rFonts w:ascii="Arial" w:cs="Arial" w:eastAsia="Arial" w:hAnsi="Arial"/>
          <w:sz w:val="18"/>
          <w:szCs w:val="18"/>
          <w:b w:val="1"/>
          <w:bCs w:val="1"/>
          <w:i w:val="1"/>
          <w:iCs w:val="1"/>
          <w:color w:val="auto"/>
        </w:rPr>
        <w:t>Stock Exchange Listing.</w:t>
      </w:r>
      <w:r>
        <w:rPr>
          <w:sz w:val="20"/>
          <w:szCs w:val="20"/>
          <w:color w:val="auto"/>
        </w:rPr>
        <w:tab/>
      </w:r>
      <w:r>
        <w:rPr>
          <w:rFonts w:ascii="Arial" w:cs="Arial" w:eastAsia="Arial" w:hAnsi="Arial"/>
          <w:sz w:val="15"/>
          <w:szCs w:val="15"/>
          <w:color w:val="auto"/>
        </w:rPr>
        <w:t>The common shares are traded on the New York Stock Exchange under the trading symbol “FRT.”</w:t>
      </w:r>
    </w:p>
    <w:p>
      <w:pPr>
        <w:spacing w:after="0" w:line="158" w:lineRule="exact"/>
        <w:rPr>
          <w:sz w:val="20"/>
          <w:szCs w:val="20"/>
          <w:color w:val="auto"/>
        </w:rPr>
      </w:pPr>
    </w:p>
    <w:p>
      <w:pPr>
        <w:ind w:left="580"/>
        <w:spacing w:after="0"/>
        <w:tabs>
          <w:tab w:leader="none" w:pos="2900" w:val="left"/>
        </w:tabs>
        <w:rPr>
          <w:sz w:val="20"/>
          <w:szCs w:val="20"/>
          <w:color w:val="auto"/>
        </w:rPr>
      </w:pPr>
      <w:r>
        <w:rPr>
          <w:rFonts w:ascii="Arial" w:cs="Arial" w:eastAsia="Arial" w:hAnsi="Arial"/>
          <w:sz w:val="18"/>
          <w:szCs w:val="18"/>
          <w:b w:val="1"/>
          <w:bCs w:val="1"/>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the common shares is American Stock Transfer &amp; Trust Company, New York, New</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83"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0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i w:val="1"/>
          <w:iCs w:val="1"/>
          <w:color w:val="auto"/>
        </w:rPr>
        <w:t>Terms.</w:t>
      </w:r>
      <w:r>
        <w:rPr>
          <w:sz w:val="20"/>
          <w:szCs w:val="20"/>
          <w:color w:val="auto"/>
        </w:rPr>
        <w:tab/>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77" w:lineRule="exact"/>
        <w:rPr>
          <w:sz w:val="20"/>
          <w:szCs w:val="20"/>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138" w:lineRule="exact"/>
        <w:rPr>
          <w:rFonts w:ascii="Arial" w:cs="Arial" w:eastAsia="Arial" w:hAnsi="Arial"/>
          <w:sz w:val="15"/>
          <w:szCs w:val="15"/>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03" w:lineRule="exact"/>
        <w:rPr>
          <w:rFonts w:ascii="Arial" w:cs="Arial" w:eastAsia="Arial" w:hAnsi="Arial"/>
          <w:sz w:val="18"/>
          <w:szCs w:val="18"/>
          <w:color w:val="auto"/>
        </w:rPr>
      </w:pPr>
    </w:p>
    <w:p>
      <w:pPr>
        <w:ind w:left="800" w:right="440" w:hanging="225"/>
        <w:spacing w:after="0" w:line="268"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37" w:lineRule="exact"/>
        <w:rPr>
          <w:rFonts w:ascii="Arial" w:cs="Arial" w:eastAsia="Arial" w:hAnsi="Arial"/>
          <w:sz w:val="18"/>
          <w:szCs w:val="18"/>
          <w:color w:val="auto"/>
        </w:rPr>
      </w:pPr>
    </w:p>
    <w:p>
      <w:pPr>
        <w:ind w:left="800" w:right="300" w:hanging="225"/>
        <w:spacing w:after="0" w:line="268"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37" w:lineRule="exact"/>
        <w:rPr>
          <w:rFonts w:ascii="Arial" w:cs="Arial" w:eastAsia="Arial" w:hAnsi="Arial"/>
          <w:sz w:val="18"/>
          <w:szCs w:val="18"/>
          <w:color w:val="auto"/>
        </w:rPr>
      </w:pPr>
    </w:p>
    <w:p>
      <w:pPr>
        <w:ind w:left="800" w:right="200" w:hanging="225"/>
        <w:spacing w:after="0" w:line="268"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discussion of federal income tax consequences applicable to those preferred shares; and</w:t>
      </w:r>
    </w:p>
    <w:p>
      <w:pPr>
        <w:spacing w:after="0" w:line="103" w:lineRule="exact"/>
        <w:rPr>
          <w:rFonts w:ascii="Arial" w:cs="Arial" w:eastAsia="Arial" w:hAnsi="Arial"/>
          <w:sz w:val="18"/>
          <w:szCs w:val="18"/>
          <w:color w:val="auto"/>
        </w:rPr>
      </w:pPr>
    </w:p>
    <w:p>
      <w:pPr>
        <w:ind w:left="800" w:right="420" w:hanging="225"/>
        <w:spacing w:after="0" w:line="268"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real estate investment trust.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99"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rights upon our liquidation, dissolution or winding up, rank:</w:t>
      </w:r>
    </w:p>
    <w:p>
      <w:pPr>
        <w:spacing w:after="0" w:line="37" w:lineRule="exact"/>
        <w:rPr>
          <w:sz w:val="20"/>
          <w:szCs w:val="20"/>
          <w:color w:val="auto"/>
        </w:rPr>
      </w:pPr>
    </w:p>
    <w:p>
      <w:pPr>
        <w:ind w:left="800" w:hanging="225"/>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158" w:lineRule="exact"/>
        <w:rPr>
          <w:sz w:val="20"/>
          <w:szCs w:val="20"/>
          <w:color w:val="auto"/>
        </w:rPr>
      </w:pPr>
    </w:p>
    <w:p>
      <w:pPr>
        <w:jc w:val="both"/>
        <w:ind w:right="320" w:firstLine="571"/>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93"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27"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stockholders,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27" w:lineRule="exact"/>
        <w:rPr>
          <w:sz w:val="20"/>
          <w:szCs w:val="20"/>
          <w:color w:val="auto"/>
        </w:rPr>
      </w:pPr>
    </w:p>
    <w:p>
      <w:pPr>
        <w:ind w:firstLine="571"/>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571"/>
        <w:spacing w:after="0" w:line="332"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Unless otherwise indicated in the applicable supplement, holders of preferred shares we issue in the future will not have any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rights, except as may be required by applicable law or any applicable rules and regulations of the New York Stock Exchange.</w:t>
      </w:r>
    </w:p>
    <w:p>
      <w:pPr>
        <w:spacing w:after="0" w:line="72"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Our Declaration of Trust provides that the holders of Series A preferred shares and Series B preferred shares, together with the holders of any series or class of shares ranking on a parity with the Series A preferred shares and Series B preferred shares, voting as a single class regardless of series, will be entitled to elect two additional trustees to serve on the Board of Trustees when six consecutive quarterly dividends payable to the holders of Series A preferred shares, Series B preferred shares or any series or class of parity shares are in arrears. Whenever all dividends in arrears on the Series A preferred shares, Series B preferred shares and any series or class of parity shares have been paid or set aside for payment, then these special voting rights immediately cease (subject to reinstatement under similar circumstances in the future), and the term of office of the trustees so elected automatically expires.</w:t>
      </w:r>
    </w:p>
    <w:p>
      <w:pPr>
        <w:spacing w:after="0" w:line="107"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In addition, the holders of the Series A preferred shares and the Series B preferred shares have such voting rights as are required by applicable law or any applicable rules and regulations of the New York Stock Exchange.</w:t>
      </w:r>
    </w:p>
    <w:p>
      <w:pPr>
        <w:spacing w:after="0" w:line="118"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supplement relating to the offering of those preferred shares. These terms typically will include:</w:t>
      </w:r>
    </w:p>
    <w:p>
      <w:pPr>
        <w:spacing w:after="0" w:line="37" w:lineRule="exact"/>
        <w:rPr>
          <w:sz w:val="20"/>
          <w:szCs w:val="20"/>
          <w:color w:val="auto"/>
        </w:rPr>
      </w:pPr>
    </w:p>
    <w:p>
      <w:pPr>
        <w:ind w:left="800" w:hanging="225"/>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85"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A preferred shares and Series B preferred shares is American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 &amp; Trust Company, New York, New York. We will identify the transfer agent and registrar for any additional series of preferred shares issued through this prospectus in a prospectus supplement.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83"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02" w:lineRule="exact"/>
        <w:rPr>
          <w:sz w:val="20"/>
          <w:szCs w:val="20"/>
          <w:color w:val="auto"/>
        </w:rPr>
      </w:pPr>
    </w:p>
    <w:p>
      <w:pPr>
        <w:jc w:val="both"/>
        <w:ind w:right="60" w:firstLine="571"/>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3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99" w:lineRule="exact"/>
        <w:rPr>
          <w:sz w:val="20"/>
          <w:szCs w:val="20"/>
          <w:color w:val="auto"/>
        </w:rPr>
      </w:pPr>
    </w:p>
    <w:p>
      <w:pPr>
        <w:ind w:right="680" w:firstLine="571"/>
        <w:spacing w:after="0" w:line="332" w:lineRule="auto"/>
        <w:rPr>
          <w:sz w:val="20"/>
          <w:szCs w:val="20"/>
          <w:color w:val="auto"/>
        </w:rPr>
      </w:pPr>
      <w:r>
        <w:rPr>
          <w:rFonts w:ascii="Arial" w:cs="Arial" w:eastAsia="Arial" w:hAnsi="Arial"/>
          <w:sz w:val="16"/>
          <w:szCs w:val="16"/>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72"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30" w:lineRule="exact"/>
        <w:rPr>
          <w:sz w:val="20"/>
          <w:szCs w:val="20"/>
          <w:color w:val="auto"/>
        </w:rPr>
      </w:pPr>
    </w:p>
    <w:p>
      <w:pPr>
        <w:ind w:right="120" w:firstLine="571"/>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34"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07"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27"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b w:val="1"/>
          <w:bCs w:val="1"/>
          <w:i w:val="1"/>
          <w:iCs w:val="1"/>
          <w:color w:val="auto"/>
        </w:rPr>
        <w:t xml:space="preserve">Conversion of Preferred Shares. </w:t>
      </w:r>
      <w:r>
        <w:rPr>
          <w:rFonts w:ascii="Arial" w:cs="Arial" w:eastAsia="Arial" w:hAnsi="Arial"/>
          <w:sz w:val="18"/>
          <w:szCs w:val="18"/>
          <w:color w:val="auto"/>
        </w:rPr>
        <w:t>Our depositary shares, as such, are not convertible into common shares or any of our other securities or 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84" w:lineRule="exact"/>
        <w:rPr>
          <w:sz w:val="20"/>
          <w:szCs w:val="20"/>
          <w:color w:val="auto"/>
        </w:rPr>
      </w:pPr>
    </w:p>
    <w:p>
      <w:pPr>
        <w:ind w:right="180" w:firstLine="571"/>
        <w:spacing w:after="0" w:line="331" w:lineRule="auto"/>
        <w:rPr>
          <w:sz w:val="20"/>
          <w:szCs w:val="20"/>
          <w:color w:val="auto"/>
        </w:rPr>
      </w:pPr>
      <w:r>
        <w:rPr>
          <w:rFonts w:ascii="Arial" w:cs="Arial" w:eastAsia="Arial" w:hAnsi="Arial"/>
          <w:sz w:val="15"/>
          <w:szCs w:val="15"/>
          <w:b w:val="1"/>
          <w:bCs w:val="1"/>
          <w:i w:val="1"/>
          <w:iCs w:val="1"/>
          <w:color w:val="auto"/>
        </w:rPr>
        <w:t xml:space="preserve">Amendment and Termination of the Deposit Agreement. </w:t>
      </w:r>
      <w:r>
        <w:rPr>
          <w:rFonts w:ascii="Arial" w:cs="Arial" w:eastAsia="Arial" w:hAnsi="Arial"/>
          <w:sz w:val="15"/>
          <w:szCs w:val="15"/>
          <w:color w:val="auto"/>
        </w:rPr>
        <w:t>We and the depositary may amend the form of depositary receipt and any provision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2" w:lineRule="exact"/>
        <w:rPr>
          <w:sz w:val="20"/>
          <w:szCs w:val="20"/>
          <w:color w:val="auto"/>
        </w:rPr>
      </w:pPr>
    </w:p>
    <w:p>
      <w:pPr>
        <w:ind w:left="800" w:hanging="225"/>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03" w:lineRule="exact"/>
        <w:rPr>
          <w:rFonts w:ascii="Arial" w:cs="Arial" w:eastAsia="Arial" w:hAnsi="Arial"/>
          <w:sz w:val="18"/>
          <w:szCs w:val="18"/>
          <w:color w:val="auto"/>
        </w:rPr>
      </w:pPr>
    </w:p>
    <w:p>
      <w:pPr>
        <w:ind w:left="800" w:right="220" w:hanging="225"/>
        <w:spacing w:after="0" w:line="325" w:lineRule="auto"/>
        <w:tabs>
          <w:tab w:leader="none" w:pos="8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1" w:lineRule="exact"/>
        <w:rPr>
          <w:rFonts w:ascii="Arial" w:cs="Arial" w:eastAsia="Arial" w:hAnsi="Arial"/>
          <w:sz w:val="16"/>
          <w:szCs w:val="16"/>
          <w:color w:val="auto"/>
        </w:rPr>
      </w:pPr>
    </w:p>
    <w:p>
      <w:pPr>
        <w:ind w:left="800" w:right="20" w:hanging="225"/>
        <w:spacing w:after="0" w:line="268"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18"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99" w:lineRule="exact"/>
        <w:rPr>
          <w:sz w:val="20"/>
          <w:szCs w:val="20"/>
          <w:color w:val="auto"/>
        </w:rPr>
      </w:pPr>
    </w:p>
    <w:p>
      <w:pPr>
        <w:ind w:right="520" w:firstLine="571"/>
        <w:spacing w:after="0" w:line="298" w:lineRule="auto"/>
        <w:rPr>
          <w:sz w:val="20"/>
          <w:szCs w:val="20"/>
          <w:color w:val="auto"/>
        </w:rPr>
      </w:pPr>
      <w:r>
        <w:rPr>
          <w:rFonts w:ascii="Arial" w:cs="Arial" w:eastAsia="Arial" w:hAnsi="Arial"/>
          <w:sz w:val="16"/>
          <w:szCs w:val="16"/>
          <w:b w:val="1"/>
          <w:bCs w:val="1"/>
          <w:i w:val="1"/>
          <w:iCs w:val="1"/>
          <w:color w:val="auto"/>
        </w:rPr>
        <w:t xml:space="preserve">Charges of Depositary. </w:t>
      </w:r>
      <w:r>
        <w:rPr>
          <w:rFonts w:ascii="Arial" w:cs="Arial" w:eastAsia="Arial" w:hAnsi="Arial"/>
          <w:sz w:val="16"/>
          <w:szCs w:val="16"/>
          <w:color w:val="auto"/>
        </w:rPr>
        <w:t>We will pay all transfer and other taxes and governmental charges arising solely from the existence of the depositary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99"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the preferred shares.</w:t>
      </w:r>
    </w:p>
    <w:p>
      <w:pPr>
        <w:spacing w:after="0" w:line="118"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83" w:lineRule="exact"/>
        <w:rPr>
          <w:sz w:val="20"/>
          <w:szCs w:val="20"/>
          <w:color w:val="auto"/>
        </w:rPr>
      </w:pPr>
    </w:p>
    <w:p>
      <w:pPr>
        <w:ind w:right="340" w:firstLine="571"/>
        <w:spacing w:after="0" w:line="325" w:lineRule="auto"/>
        <w:rPr>
          <w:sz w:val="20"/>
          <w:szCs w:val="20"/>
          <w:color w:val="auto"/>
        </w:rPr>
      </w:pPr>
      <w:r>
        <w:rPr>
          <w:rFonts w:ascii="Arial" w:cs="Arial" w:eastAsia="Arial" w:hAnsi="Arial"/>
          <w:sz w:val="16"/>
          <w:szCs w:val="16"/>
          <w:color w:val="auto"/>
        </w:rPr>
        <w:t>Restrictions on ownership and transfer of shares are important to ensure that we meet certain conditions under the Internal Revenue Code of 1986, as amended, which we refer to as the Code, to qualify as a REIT. For example, the Code contains the following requirements.</w:t>
      </w:r>
    </w:p>
    <w:p>
      <w:pPr>
        <w:spacing w:after="0" w:line="1" w:lineRule="exact"/>
        <w:rPr>
          <w:sz w:val="20"/>
          <w:szCs w:val="20"/>
          <w:color w:val="auto"/>
        </w:rPr>
      </w:pPr>
    </w:p>
    <w:p>
      <w:pPr>
        <w:ind w:left="800" w:right="160" w:hanging="225"/>
        <w:spacing w:after="0" w:line="370" w:lineRule="auto"/>
        <w:tabs>
          <w:tab w:leader="none" w:pos="8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individuals include certain tax-exempt entities except that qualified domestic pension funds are not generally treated as individuals.</w:t>
      </w:r>
    </w:p>
    <w:p>
      <w:pPr>
        <w:spacing w:after="0" w:line="90" w:lineRule="exact"/>
        <w:rPr>
          <w:sz w:val="20"/>
          <w:szCs w:val="20"/>
          <w:color w:val="auto"/>
        </w:rPr>
      </w:pPr>
    </w:p>
    <w:p>
      <w:pPr>
        <w:ind w:left="800" w:right="100" w:hanging="225"/>
        <w:spacing w:after="0" w:line="268"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37" w:lineRule="exact"/>
        <w:rPr>
          <w:rFonts w:ascii="Arial" w:cs="Arial" w:eastAsia="Arial" w:hAnsi="Arial"/>
          <w:sz w:val="18"/>
          <w:szCs w:val="18"/>
          <w:color w:val="auto"/>
        </w:rPr>
      </w:pPr>
    </w:p>
    <w:p>
      <w:pPr>
        <w:ind w:left="800" w:right="420" w:hanging="225"/>
        <w:spacing w:after="0" w:line="268"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18"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77" w:lineRule="exact"/>
        <w:rPr>
          <w:sz w:val="20"/>
          <w:szCs w:val="20"/>
          <w:color w:val="auto"/>
        </w:rPr>
      </w:pPr>
    </w:p>
    <w:p>
      <w:pPr>
        <w:ind w:left="800" w:hanging="225"/>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03" w:lineRule="exact"/>
        <w:rPr>
          <w:rFonts w:ascii="Arial" w:cs="Arial" w:eastAsia="Arial" w:hAnsi="Arial"/>
          <w:sz w:val="18"/>
          <w:szCs w:val="18"/>
          <w:color w:val="auto"/>
        </w:rPr>
      </w:pPr>
    </w:p>
    <w:p>
      <w:pPr>
        <w:ind w:left="800" w:right="300" w:hanging="225"/>
        <w:spacing w:after="0" w:line="268" w:lineRule="auto"/>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85"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color w:val="auto"/>
        </w:rPr>
        <w:t>. 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0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99"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12" w:lineRule="exact"/>
        <w:rPr>
          <w:sz w:val="20"/>
          <w:szCs w:val="20"/>
          <w:color w:val="auto"/>
        </w:rPr>
      </w:pPr>
    </w:p>
    <w:p>
      <w:pPr>
        <w:ind w:left="800" w:hanging="225"/>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59"/>
        </w:numPr>
        <w:rPr>
          <w:rFonts w:ascii="Arial" w:cs="Arial" w:eastAsia="Arial" w:hAnsi="Arial"/>
          <w:sz w:val="15"/>
          <w:szCs w:val="15"/>
          <w:color w:val="auto"/>
        </w:rPr>
      </w:pPr>
      <w:r>
        <w:rPr>
          <w:rFonts w:ascii="Arial" w:cs="Arial" w:eastAsia="Arial" w:hAnsi="Arial"/>
          <w:sz w:val="15"/>
          <w:szCs w:val="15"/>
          <w:color w:val="auto"/>
        </w:rPr>
        <w:t>the price per share equal to the market price (which is calculated as defined in our declaration of trust) on the date the shares were received, or</w:t>
      </w:r>
    </w:p>
    <w:p>
      <w:pPr>
        <w:spacing w:after="0" w:line="138" w:lineRule="exact"/>
        <w:rPr>
          <w:rFonts w:ascii="Arial" w:cs="Arial" w:eastAsia="Arial" w:hAnsi="Arial"/>
          <w:sz w:val="15"/>
          <w:szCs w:val="15"/>
          <w:color w:val="auto"/>
        </w:rPr>
      </w:pPr>
    </w:p>
    <w:p>
      <w:pPr>
        <w:ind w:left="1260" w:hanging="455"/>
        <w:spacing w:after="0"/>
        <w:tabs>
          <w:tab w:leader="none" w:pos="12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30" w:lineRule="exact"/>
        <w:rPr>
          <w:sz w:val="20"/>
          <w:szCs w:val="20"/>
          <w:color w:val="auto"/>
        </w:rPr>
      </w:pPr>
    </w:p>
    <w:p>
      <w:pPr>
        <w:ind w:right="100" w:firstLine="571"/>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93"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27"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18" w:lineRule="exact"/>
        <w:rPr>
          <w:sz w:val="20"/>
          <w:szCs w:val="20"/>
          <w:color w:val="auto"/>
        </w:rPr>
      </w:pPr>
    </w:p>
    <w:p>
      <w:pPr>
        <w:jc w:val="both"/>
        <w:ind w:right="220" w:firstLine="571"/>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30" w:lineRule="exact"/>
        <w:rPr>
          <w:sz w:val="20"/>
          <w:szCs w:val="20"/>
          <w:color w:val="auto"/>
        </w:rPr>
      </w:pPr>
    </w:p>
    <w:p>
      <w:pPr>
        <w:jc w:val="both"/>
        <w:ind w:right="300" w:firstLine="571"/>
        <w:spacing w:after="0" w:line="306" w:lineRule="auto"/>
        <w:rPr>
          <w:sz w:val="20"/>
          <w:szCs w:val="20"/>
          <w:color w:val="auto"/>
        </w:rPr>
      </w:pPr>
      <w:r>
        <w:rPr>
          <w:rFonts w:ascii="Arial" w:cs="Arial" w:eastAsia="Arial" w:hAnsi="Arial"/>
          <w:sz w:val="16"/>
          <w:szCs w:val="16"/>
          <w:color w:val="auto"/>
        </w:rPr>
        <w:t>The Board of Trustees has agreed to exempt from the ownership limitation Morgan Stanley Investment Management, Inc., or MSIM, for itself and on behalf of its investment advisory clients on whose behalf MSIM owns our common shares. The MSIM exemption, which was granted on June 6, 2001 and is effective for four years, permits MSIM and its clients, as a group, to own up to 14.9% of our outstanding common shares.</w:t>
      </w:r>
    </w:p>
    <w:p>
      <w:pPr>
        <w:spacing w:after="0" w:line="93"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83"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color w:val="auto"/>
        </w:rPr>
        <w:t>. 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77" w:lineRule="exact"/>
        <w:rPr>
          <w:sz w:val="20"/>
          <w:szCs w:val="20"/>
          <w:color w:val="auto"/>
        </w:rPr>
      </w:pPr>
    </w:p>
    <w:p>
      <w:pPr>
        <w:ind w:left="800" w:hanging="225"/>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83" w:lineRule="exact"/>
        <w:rPr>
          <w:sz w:val="20"/>
          <w:szCs w:val="20"/>
          <w:color w:val="auto"/>
        </w:rPr>
      </w:pPr>
    </w:p>
    <w:p>
      <w:pPr>
        <w:ind w:right="320" w:firstLine="571"/>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18" w:lineRule="exact"/>
        <w:rPr>
          <w:sz w:val="20"/>
          <w:szCs w:val="20"/>
          <w:color w:val="auto"/>
        </w:rPr>
      </w:pPr>
    </w:p>
    <w:p>
      <w:pPr>
        <w:ind w:right="80" w:firstLine="571"/>
        <w:spacing w:after="0" w:line="314" w:lineRule="auto"/>
        <w:rPr>
          <w:sz w:val="20"/>
          <w:szCs w:val="20"/>
          <w:color w:val="auto"/>
        </w:rPr>
      </w:pPr>
      <w:r>
        <w:rPr>
          <w:rFonts w:ascii="Arial" w:cs="Arial" w:eastAsia="Arial" w:hAnsi="Arial"/>
          <w:sz w:val="15"/>
          <w:szCs w:val="15"/>
          <w:color w:val="auto"/>
        </w:rPr>
        <w:t>The following provisions, together with the ability of the Board of Trustees to increase the number of authorized shares, in the aggregate or by class, and to issue preferred shares without further stockholder action, the transfer restrictions described under “ — Restrictions on Ownership and Transfer” and the supermajority voting rights described under “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91" w:lineRule="exact"/>
        <w:rPr>
          <w:sz w:val="20"/>
          <w:szCs w:val="20"/>
          <w:color w:val="auto"/>
        </w:rPr>
      </w:pPr>
    </w:p>
    <w:p>
      <w:pPr>
        <w:ind w:right="200" w:firstLine="571"/>
        <w:spacing w:after="0" w:line="256"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color w:val="auto"/>
        </w:rPr>
        <w:t>. Applicable Maryland law, as set forth in the Maryland General Corporation Law, prohibits us from entering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49" w:lineRule="exact"/>
        <w:rPr>
          <w:sz w:val="20"/>
          <w:szCs w:val="20"/>
          <w:color w:val="auto"/>
        </w:rPr>
      </w:pPr>
    </w:p>
    <w:p>
      <w:pPr>
        <w:ind w:left="800" w:hanging="225"/>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shares; or</w:t>
      </w:r>
    </w:p>
    <w:p>
      <w:pPr>
        <w:spacing w:after="0" w:line="103" w:lineRule="exact"/>
        <w:rPr>
          <w:rFonts w:ascii="Arial" w:cs="Arial" w:eastAsia="Arial" w:hAnsi="Arial"/>
          <w:sz w:val="18"/>
          <w:szCs w:val="18"/>
          <w:color w:val="auto"/>
        </w:rPr>
      </w:pPr>
    </w:p>
    <w:p>
      <w:pPr>
        <w:ind w:left="800" w:right="20" w:hanging="225"/>
        <w:spacing w:after="0" w:line="268" w:lineRule="auto"/>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of our affiliates that beneficially owned 10% or more of the voting power of our shares within two years prior to the applicable date relating to the transaction.</w:t>
      </w:r>
    </w:p>
    <w:p>
      <w:pPr>
        <w:spacing w:after="0" w:line="118"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27"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37" w:lineRule="exact"/>
        <w:rPr>
          <w:sz w:val="20"/>
          <w:szCs w:val="20"/>
          <w:color w:val="auto"/>
        </w:rPr>
      </w:pPr>
    </w:p>
    <w:p>
      <w:pPr>
        <w:ind w:left="800" w:hanging="225"/>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w:t>
      </w:r>
    </w:p>
    <w:p>
      <w:pPr>
        <w:spacing w:after="0" w:line="185" w:lineRule="exact"/>
        <w:rPr>
          <w:sz w:val="20"/>
          <w:szCs w:val="20"/>
          <w:color w:val="auto"/>
        </w:rPr>
      </w:pPr>
    </w:p>
    <w:p>
      <w:pPr>
        <w:ind w:right="580" w:firstLine="571"/>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18"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color w:val="auto"/>
        </w:rPr>
        <w:t>. 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however, we could modify or eliminate the exemption in the future. If the exemption were eliminated, “control share acquisitions” would be subject to the following provisions.</w:t>
      </w:r>
    </w:p>
    <w:p>
      <w:pPr>
        <w:spacing w:after="0" w:line="127"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real estate investment trust acquired in a “control share acquisition” have no voting rights unless two-thirds of the shareholders (excluding shares owned by the acquirer and by the officers and trustees who are employees of the Maryland real estate investment trust) approve their voting rights.</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“Control Shares” are shares that, if added to all other shares previously acquired, would entitle that person to vote, in electing trustees:</w:t>
      </w:r>
    </w:p>
    <w:p>
      <w:pPr>
        <w:spacing w:after="0" w:line="77" w:lineRule="exact"/>
        <w:rPr>
          <w:sz w:val="20"/>
          <w:szCs w:val="20"/>
          <w:color w:val="auto"/>
        </w:rPr>
      </w:pPr>
    </w:p>
    <w:p>
      <w:pPr>
        <w:ind w:left="800" w:hanging="225"/>
        <w:spacing w:after="0"/>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10% or more but less than one-third of such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one-third or more but less than a majority of such shares,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majority of the outstanding shares.</w:t>
      </w:r>
    </w:p>
    <w:p>
      <w:pPr>
        <w:spacing w:after="0" w:line="185" w:lineRule="exact"/>
        <w:rPr>
          <w:sz w:val="20"/>
          <w:szCs w:val="20"/>
          <w:color w:val="auto"/>
        </w:rPr>
      </w:pPr>
    </w:p>
    <w:p>
      <w:pPr>
        <w:ind w:right="760" w:firstLine="571"/>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18"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27" w:lineRule="exact"/>
        <w:rPr>
          <w:sz w:val="20"/>
          <w:szCs w:val="20"/>
          <w:color w:val="auto"/>
        </w:rPr>
      </w:pPr>
    </w:p>
    <w:p>
      <w:pPr>
        <w:ind w:right="240" w:firstLine="571"/>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9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b w:val="1"/>
          <w:bCs w:val="1"/>
          <w:i w:val="1"/>
          <w:iCs w:val="1"/>
          <w:color w:val="auto"/>
        </w:rPr>
        <w:t>Rights Plan</w:t>
      </w:r>
      <w:r>
        <w:rPr>
          <w:rFonts w:ascii="Arial" w:cs="Arial" w:eastAsia="Arial" w:hAnsi="Arial"/>
          <w:sz w:val="16"/>
          <w:szCs w:val="16"/>
          <w:color w:val="auto"/>
        </w:rPr>
        <w:t>. On April 13, 1989, we adopted a shareholder rights plan and declared a dividend distribution of one right for each outstanding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 to shareholders of record at the close of business on April 24, 1989, with such rights to expire on April 24, 1999. On March 11, 1999, the expiration date of the rights plan was extended and certain other amendments to the terms of the rights plan were adopted. Except as set forth below, each right, when exercisable, entitles the registered holder to purchase from us a number of common shares equal in value to two times the purchase price, which is initially equal to $65.00 per share but is subject to adjustment upon the occurrence of specified events.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rights become exercisable upon the earlier to occur of</w:t>
      </w:r>
    </w:p>
    <w:p>
      <w:pPr>
        <w:spacing w:after="0" w:line="77" w:lineRule="exact"/>
        <w:rPr>
          <w:sz w:val="20"/>
          <w:szCs w:val="20"/>
          <w:color w:val="auto"/>
        </w:rPr>
      </w:pPr>
    </w:p>
    <w:p>
      <w:pPr>
        <w:ind w:left="800" w:right="460" w:hanging="225"/>
        <w:spacing w:after="0" w:line="268"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public announcement that, without our prior consent, a person or group of affiliated or associated persons has acquired, or obtained the right to acquire, beneficial ownership of 15% or more of our common shares; or</w:t>
      </w:r>
    </w:p>
    <w:p>
      <w:pPr>
        <w:spacing w:after="0" w:line="37" w:lineRule="exact"/>
        <w:rPr>
          <w:rFonts w:ascii="Arial" w:cs="Arial" w:eastAsia="Arial" w:hAnsi="Arial"/>
          <w:sz w:val="18"/>
          <w:szCs w:val="18"/>
          <w:color w:val="auto"/>
        </w:rPr>
      </w:pPr>
    </w:p>
    <w:p>
      <w:pPr>
        <w:ind w:left="800" w:right="120" w:hanging="225"/>
        <w:spacing w:after="0" w:line="268"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ten days following the commencement of (or a public announcement of an intention to make) a tender offer or exchange offer that would result in the beneficial ownership by a person or group of 15% or more of our common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Initially, the rights will be attached to, and evidenced by, the common shares certificates representing shares then outstanding, and no separate right certificates will be distributed. Once the rights become exercisable, separate certificates evidencing the rights will be mailed to holders of record of our common shares, and the separate rights certificates alone will evidence the rights.</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general, the rights will expire on the earliest of</w:t>
      </w:r>
    </w:p>
    <w:p>
      <w:pPr>
        <w:spacing w:after="0" w:line="77" w:lineRule="exact"/>
        <w:rPr>
          <w:sz w:val="20"/>
          <w:szCs w:val="20"/>
          <w:color w:val="auto"/>
        </w:rPr>
      </w:pPr>
    </w:p>
    <w:p>
      <w:pPr>
        <w:ind w:left="800" w:hanging="225"/>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April 24, 2009;</w:t>
      </w:r>
    </w:p>
    <w:p>
      <w:pPr>
        <w:spacing w:after="0" w:line="103" w:lineRule="exact"/>
        <w:rPr>
          <w:rFonts w:ascii="Arial" w:cs="Arial" w:eastAsia="Arial" w:hAnsi="Arial"/>
          <w:sz w:val="18"/>
          <w:szCs w:val="18"/>
          <w:color w:val="auto"/>
        </w:rPr>
      </w:pPr>
    </w:p>
    <w:p>
      <w:pPr>
        <w:ind w:left="800" w:right="540" w:hanging="225"/>
        <w:spacing w:after="0" w:line="268" w:lineRule="auto"/>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consummation of a merger transaction with a person or group who acquired common shares pursuant to a transaction approved by the Board of Trustees; or</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redemption by us as described below.</w:t>
      </w:r>
    </w:p>
    <w:p>
      <w:pPr>
        <w:spacing w:after="0" w:line="185"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In the event that the rights become exercisable, each holder of a right will for a 60-day period thereafter have the right to receive upon exercise and payment of the purchase price (initially set at $65.00 but subject to adjustment) that number of our common shares (or fractional shares) having a then-current market value of two times the purchase price, subject to the availability of a sufficient number of authorized but unissued common shares. We are entitled (but not required) to deliver, upon exercise of the right, in lieu of common shares, shares of equivalent securities.</w:t>
      </w:r>
    </w:p>
    <w:p>
      <w:pPr>
        <w:spacing w:after="0" w:line="99"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In the event that, after the first date that the rights become exercisable, we are involved in a merger or other business combination transaction in which our common shares are exchanged or changed, or 50% or more of our assets or earning power are sold (in one transaction or a series of transactions), each holder of a right (other than the person or group triggering the exercise of the rights) shall thereafter have the right to receive, upon the exercise thereof at the then-current purchase price, that number of common shares of the acquiring company, which at the time of such transaction would have a market value equal to two times the then-current purchase price of the right.</w:t>
      </w:r>
    </w:p>
    <w:p>
      <w:pPr>
        <w:spacing w:after="0" w:line="102"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At any time prior to the earlier to occur of the date the rights become exercisable or the expiration of the rights, we may redeem the rights in whole, but not in part, at a price of $0.01 per right, payable in cash or common shares. Additionally, after the date the rights become exercisable, we may redeem the then-outstanding rights in whole, but not in part, at a price of $0.01 per right income provided that the redemption is incidental to a merger or other business combination transaction or series of transactions involving us but not involving the person or group triggering the exercise of the rights, or if the redemption occurs after the expiration of a period during which our shareholders may acquire common shares through the exercise of the rights and, at that time, the person or group that triggered the exercise of the rights no longer has beneficial ownership of 15% or more of our common shares. Upon the effective date of the redemption of the rights, the right to exercise the rights will terminate and the only right of the holders of rights will be to receive the price of $0.01 per right.</w:t>
      </w:r>
    </w:p>
    <w:p>
      <w:pPr>
        <w:spacing w:after="0" w:line="105"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Until a right is exercised, the holder thereof, as such, will have no rights as one of our shareholders, including, without limitation, the right to vote or to receive dividends.</w:t>
      </w:r>
    </w:p>
    <w:p>
      <w:pPr>
        <w:spacing w:after="0" w:line="118" w:lineRule="exact"/>
        <w:rPr>
          <w:sz w:val="20"/>
          <w:szCs w:val="20"/>
          <w:color w:val="auto"/>
        </w:rPr>
      </w:pPr>
    </w:p>
    <w:p>
      <w:pPr>
        <w:ind w:right="120" w:firstLine="571"/>
        <w:spacing w:after="0" w:line="255"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color w:val="auto"/>
        </w:rPr>
        <w:t>. 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 This provision does not impose an enhanced level of scrutiny when a board implements anti-takeover measures in a change of control context, and shifts the burden of proof for demonstrating that the defensive mechanism adopted by a board is reasonable in relation to the threat posed to the board.</w:t>
      </w:r>
    </w:p>
    <w:p>
      <w:pPr>
        <w:spacing w:after="0" w:line="129"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b w:val="1"/>
          <w:bCs w:val="1"/>
          <w:i w:val="1"/>
          <w:iCs w:val="1"/>
          <w:color w:val="auto"/>
        </w:rPr>
        <w:t>Number of Trustees; Classified Board</w:t>
      </w:r>
      <w:r>
        <w:rPr>
          <w:rFonts w:ascii="Arial" w:cs="Arial" w:eastAsia="Arial" w:hAnsi="Arial"/>
          <w:sz w:val="18"/>
          <w:szCs w:val="18"/>
          <w:color w:val="auto"/>
        </w:rPr>
        <w:t>. The number of trustees may be increased or decreased pursuant to the bylaws, provided that the total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may not be less than three or more than 15. Under Maryland law and our declaration of trust, trustees, except for any trustees that may be elected by holders of preferred shares, are elected in three classes for staggered, three-year terms.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color w:val="auto"/>
        </w:rPr>
        <w:t>. Under the declaration of trust, and subject to the rights of any holders of preferred shares, our shareholders may remove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or without cause, at any meeting of shareholders called for that purpose, either by</w:t>
      </w:r>
    </w:p>
    <w:p>
      <w:pPr>
        <w:spacing w:after="0" w:line="37" w:lineRule="exact"/>
        <w:rPr>
          <w:sz w:val="20"/>
          <w:szCs w:val="20"/>
          <w:color w:val="auto"/>
        </w:rPr>
      </w:pPr>
    </w:p>
    <w:p>
      <w:pPr>
        <w:ind w:left="800" w:right="220" w:hanging="225"/>
        <w:spacing w:after="0" w:line="268"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37" w:lineRule="exact"/>
        <w:rPr>
          <w:rFonts w:ascii="Arial" w:cs="Arial" w:eastAsia="Arial" w:hAnsi="Arial"/>
          <w:sz w:val="18"/>
          <w:szCs w:val="18"/>
          <w:color w:val="auto"/>
        </w:rPr>
      </w:pPr>
    </w:p>
    <w:p>
      <w:pPr>
        <w:ind w:left="800" w:right="240" w:hanging="225"/>
        <w:spacing w:after="0" w:line="268"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18"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color w:val="auto"/>
        </w:rPr>
        <w:t>. 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0"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The holders of the Series A preferred shares and the Series B preferred shares have the right to elect two additional trustees to the Board of Trustees under the circumstances described above under “— Preferred Shares — Voting Rights.”</w:t>
      </w:r>
    </w:p>
    <w:p>
      <w:pPr>
        <w:spacing w:after="0" w:line="118"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b w:val="1"/>
          <w:bCs w:val="1"/>
          <w:i w:val="1"/>
          <w:iCs w:val="1"/>
          <w:color w:val="auto"/>
        </w:rPr>
        <w:t>Meetings of Shareholders</w:t>
      </w:r>
      <w:r>
        <w:rPr>
          <w:rFonts w:ascii="Arial" w:cs="Arial" w:eastAsia="Arial" w:hAnsi="Arial"/>
          <w:sz w:val="18"/>
          <w:szCs w:val="18"/>
          <w:color w:val="auto"/>
        </w:rPr>
        <w:t>. Our bylaws provide for an annual meeting of shareholders, to be held in May after delivery of the annual report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to elect individuals to the Board of Trustees for the class of trustees then standing for election and transact such other business as may properly be brought before the meeting. Special meetings of shareholders may be called by our President or by one-third of the Board of Trustees, and shall be called at the request in writing of the holders of 25% of all votes entitled to be cast at the meeting.</w:t>
      </w:r>
    </w:p>
    <w:p>
      <w:pPr>
        <w:spacing w:after="0" w:line="13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ind w:right="40" w:firstLine="571"/>
        <w:spacing w:after="0" w:line="243"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color w:val="auto"/>
        </w:rPr>
        <w:t>. 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advanced by more than 30 days from the date of the preceding year’s meeting or if we did not hold an annual meeting the preceding year, notice must be delivered within a reasonable time before we begin to print and mail our proxy materials.</w:t>
      </w:r>
    </w:p>
    <w:p>
      <w:pPr>
        <w:spacing w:after="0" w:line="141" w:lineRule="exact"/>
        <w:rPr>
          <w:sz w:val="20"/>
          <w:szCs w:val="20"/>
          <w:color w:val="auto"/>
        </w:rPr>
      </w:pPr>
    </w:p>
    <w:p>
      <w:pPr>
        <w:ind w:right="80" w:firstLine="571"/>
        <w:spacing w:after="0" w:line="256"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prior to the special meeting or the 10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at a special meeting may be made by shareholders only if the Board of Trustees has determined that trustees shall be elected at the special meeting.</w:t>
      </w:r>
    </w:p>
    <w:p>
      <w:pPr>
        <w:spacing w:after="0" w:line="130" w:lineRule="exact"/>
        <w:rPr>
          <w:sz w:val="20"/>
          <w:szCs w:val="20"/>
          <w:color w:val="auto"/>
        </w:rPr>
      </w:pPr>
    </w:p>
    <w:p>
      <w:pPr>
        <w:ind w:right="220" w:firstLine="571"/>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INCOME TAX CONSEQUENCES</w:t>
      </w:r>
    </w:p>
    <w:p>
      <w:pPr>
        <w:spacing w:after="0" w:line="164"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The following sections summarize the federal income tax issues that you may consider relevant. Because this section is a summary, it does not address all of the tax issues that may be important to you. In addition, this section does not address the tax issues that may be important to certain types of shareholders that are subject to special treatment under the federal income tax laws, such as insurance companies, tax-exempt organizations (except to the extent discussed in “— Taxation of Tax — Exempt U.S. Shareholders” below), financial institutions and broker-dealers, and non-U.S. individuals and foreign corporations (except to the extent discussed in “— Taxation of Non-U.S. Shareholders” below).</w:t>
      </w:r>
    </w:p>
    <w:p>
      <w:pPr>
        <w:spacing w:after="0" w:line="102" w:lineRule="exact"/>
        <w:rPr>
          <w:sz w:val="20"/>
          <w:szCs w:val="20"/>
          <w:color w:val="auto"/>
        </w:rPr>
      </w:pPr>
    </w:p>
    <w:p>
      <w:pPr>
        <w:ind w:right="340" w:firstLine="571"/>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72" w:lineRule="exact"/>
        <w:rPr>
          <w:sz w:val="20"/>
          <w:szCs w:val="20"/>
          <w:color w:val="auto"/>
        </w:rPr>
      </w:pPr>
    </w:p>
    <w:p>
      <w:pPr>
        <w:ind w:right="60" w:firstLine="571"/>
        <w:spacing w:after="0" w:line="332" w:lineRule="auto"/>
        <w:rPr>
          <w:sz w:val="20"/>
          <w:szCs w:val="20"/>
          <w:color w:val="auto"/>
        </w:rPr>
      </w:pPr>
      <w:r>
        <w:rPr>
          <w:rFonts w:ascii="Arial" w:cs="Arial" w:eastAsia="Arial" w:hAnsi="Arial"/>
          <w:sz w:val="16"/>
          <w:szCs w:val="16"/>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83"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27"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In the opinion of our tax counsel, Shaw Pittman LLP, (i) we qualified as a REIT under Sections 856 through 859 of the Code with respect to our taxable years ended through December 31, 2002; and (ii) we are organized in conformity with the requirements for qualification as a REIT under the Code and our current method of operation will enable us to meet the requirements for qualification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Shaw Pittman LLP will not monitor our compliance with the requirements for REIT qualification on an ongoing basis. Accordingly, no assurance can be given that our actual operating results will satisfy the qualification tests. For a discussion of the tax treatment of us and our shareholders if we fail to qualify as a REIT, see “— Requirements for REIT Qualification — Failure to Qualify.”</w:t>
      </w:r>
    </w:p>
    <w:p>
      <w:pPr>
        <w:spacing w:after="0" w:line="114"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If we qualify as a REIT, we generally will not be subject to federal income tax on the taxable income that we distribute to our shareholders. The benefit of that tax treatment is that it avoids the “double taxation” (i.e., at both the corporate and stockholder levels) that generally results from owning stock in a corporation. However, we will be subject to federal tax in the following circumstances:</w:t>
      </w:r>
    </w:p>
    <w:p>
      <w:pPr>
        <w:spacing w:after="0" w:line="46" w:lineRule="exact"/>
        <w:rPr>
          <w:sz w:val="20"/>
          <w:szCs w:val="20"/>
          <w:color w:val="auto"/>
        </w:rPr>
      </w:pPr>
    </w:p>
    <w:p>
      <w:pPr>
        <w:ind w:left="800" w:hanging="225"/>
        <w:spacing w:after="0" w:line="268"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we may be subject to the “ alternative minimum tax” on any items of tax preference that we do not distribute or allocate to our shareholders;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60" w:hanging="225"/>
        <w:spacing w:after="0" w:line="325" w:lineRule="auto"/>
        <w:tabs>
          <w:tab w:leader="none" w:pos="8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1" w:lineRule="exact"/>
        <w:rPr>
          <w:rFonts w:ascii="Arial" w:cs="Arial" w:eastAsia="Arial" w:hAnsi="Arial"/>
          <w:sz w:val="16"/>
          <w:szCs w:val="16"/>
          <w:color w:val="auto"/>
        </w:rPr>
      </w:pPr>
    </w:p>
    <w:p>
      <w:pPr>
        <w:ind w:left="800" w:right="140" w:hanging="225"/>
        <w:spacing w:after="0" w:line="268" w:lineRule="auto"/>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800"/>
        <w:spacing w:after="0" w:line="255" w:lineRule="auto"/>
        <w:rPr>
          <w:rFonts w:ascii="Arial" w:cs="Arial" w:eastAsia="Arial" w:hAnsi="Arial"/>
          <w:sz w:val="16"/>
          <w:szCs w:val="16"/>
          <w:color w:val="auto"/>
        </w:rPr>
      </w:pPr>
      <w:r>
        <w:rPr>
          <w:rFonts w:ascii="Arial" w:cs="Arial" w:eastAsia="Arial" w:hAnsi="Arial"/>
          <w:sz w:val="18"/>
          <w:szCs w:val="18"/>
          <w:color w:val="auto"/>
        </w:rPr>
        <w:t>— Income Tests”), and nonetheless continue to qualify as a REIT because we meet certain other requirements, we will pay a 100% tax on (i) the gross income attributable to the greater of the amount by which we fail, respectively, the 75% or 95% gross income test, multiplied by (ii) a fraction intended to reflect our profitability;</w:t>
      </w:r>
    </w:p>
    <w:p>
      <w:pPr>
        <w:spacing w:after="0" w:line="49" w:lineRule="exact"/>
        <w:rPr>
          <w:rFonts w:ascii="Arial" w:cs="Arial" w:eastAsia="Arial" w:hAnsi="Arial"/>
          <w:sz w:val="16"/>
          <w:szCs w:val="16"/>
          <w:color w:val="auto"/>
        </w:rPr>
      </w:pPr>
    </w:p>
    <w:p>
      <w:pPr>
        <w:ind w:left="800" w:right="120" w:hanging="225"/>
        <w:spacing w:after="0" w:line="259" w:lineRule="auto"/>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45" w:lineRule="exact"/>
        <w:rPr>
          <w:rFonts w:ascii="Arial" w:cs="Arial" w:eastAsia="Arial" w:hAnsi="Arial"/>
          <w:sz w:val="18"/>
          <w:szCs w:val="18"/>
          <w:color w:val="auto"/>
        </w:rPr>
      </w:pPr>
    </w:p>
    <w:p>
      <w:pPr>
        <w:ind w:left="800" w:hanging="225"/>
        <w:spacing w:after="0"/>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03" w:lineRule="exact"/>
        <w:rPr>
          <w:rFonts w:ascii="Arial" w:cs="Arial" w:eastAsia="Arial" w:hAnsi="Arial"/>
          <w:sz w:val="18"/>
          <w:szCs w:val="18"/>
          <w:color w:val="auto"/>
        </w:rPr>
      </w:pPr>
    </w:p>
    <w:p>
      <w:pPr>
        <w:ind w:left="800" w:right="120" w:hanging="225"/>
        <w:spacing w:after="0" w:line="294" w:lineRule="auto"/>
        <w:tabs>
          <w:tab w:leader="none" w:pos="8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we will pay tax at the highest regular corporate rate applicable if we recognize gain on the sale or disposition of such asset during the 10-year period after we acquire such asset. The amount of gain on which we will pay tax is the lesser of (i) the amount of gain that we recognize at the time of the sale or disposition and (ii) the amount of gain that we would have recognized if we had sold the asset at the time we acquired the asset.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order to qualify as a REIT, we must be a corporation, trust or association and meet the following requirements:</w:t>
      </w:r>
    </w:p>
    <w:p>
      <w:pPr>
        <w:spacing w:after="0" w:line="77" w:lineRule="exact"/>
        <w:rPr>
          <w:sz w:val="20"/>
          <w:szCs w:val="20"/>
          <w:color w:val="auto"/>
        </w:rPr>
      </w:pPr>
    </w:p>
    <w:p>
      <w:pPr>
        <w:ind w:left="580" w:hanging="572"/>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76" w:lineRule="exact"/>
        <w:rPr>
          <w:rFonts w:ascii="Arial" w:cs="Arial" w:eastAsia="Arial" w:hAnsi="Arial"/>
          <w:sz w:val="18"/>
          <w:szCs w:val="18"/>
          <w:color w:val="auto"/>
        </w:rPr>
      </w:pPr>
    </w:p>
    <w:p>
      <w:pPr>
        <w:ind w:left="580" w:right="80" w:hanging="572"/>
        <w:spacing w:after="0" w:line="268"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37" w:lineRule="exact"/>
        <w:rPr>
          <w:rFonts w:ascii="Arial" w:cs="Arial" w:eastAsia="Arial" w:hAnsi="Arial"/>
          <w:sz w:val="18"/>
          <w:szCs w:val="18"/>
          <w:color w:val="auto"/>
        </w:rPr>
      </w:pPr>
    </w:p>
    <w:p>
      <w:pPr>
        <w:ind w:left="580" w:right="560" w:hanging="572"/>
        <w:spacing w:after="0" w:line="268"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Internal Revenue Service that must be met to elect and maintain REIT status;</w:t>
      </w:r>
    </w:p>
    <w:p>
      <w:pPr>
        <w:spacing w:after="0" w:line="37" w:lineRule="exact"/>
        <w:rPr>
          <w:rFonts w:ascii="Arial" w:cs="Arial" w:eastAsia="Arial" w:hAnsi="Arial"/>
          <w:sz w:val="18"/>
          <w:szCs w:val="18"/>
          <w:color w:val="auto"/>
        </w:rPr>
      </w:pPr>
    </w:p>
    <w:p>
      <w:pPr>
        <w:ind w:left="580" w:right="860" w:hanging="572"/>
        <w:spacing w:after="0" w:line="268"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Treasury regulations; and</w:t>
      </w:r>
    </w:p>
    <w:p>
      <w:pPr>
        <w:spacing w:after="0" w:line="37" w:lineRule="exact"/>
        <w:rPr>
          <w:rFonts w:ascii="Arial" w:cs="Arial" w:eastAsia="Arial" w:hAnsi="Arial"/>
          <w:sz w:val="18"/>
          <w:szCs w:val="18"/>
          <w:color w:val="auto"/>
        </w:rPr>
      </w:pPr>
    </w:p>
    <w:p>
      <w:pPr>
        <w:ind w:left="580" w:hanging="572"/>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5"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believe we have issued sufficient common shares with sufficient diversity of ownership to satisfy requirements 5 and 6 set forth above. In addition, our declaration of trust restricts the ownership and transfer of the common shares so that we should continue to satisfy requirements 5 and 6. The provisions of our declaration of trust restricting the ownership and transfer of the common shares are described in “Description of Shares of Beneficial Ownership–Restrictions on Ownership and Transfer.”</w:t>
      </w:r>
    </w:p>
    <w:p>
      <w:pPr>
        <w:spacing w:after="0" w:line="130" w:lineRule="exact"/>
        <w:rPr>
          <w:sz w:val="20"/>
          <w:szCs w:val="20"/>
          <w:color w:val="auto"/>
        </w:rPr>
      </w:pPr>
    </w:p>
    <w:p>
      <w:pPr>
        <w:ind w:right="180" w:firstLine="571"/>
        <w:spacing w:after="0" w:line="289"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which are taxable REIT subsidiaries. Accordingly, they are not subject to federal corporate income taxation, though they may be subject to state and local taxation.</w:t>
      </w:r>
    </w:p>
    <w:p>
      <w:pPr>
        <w:spacing w:after="0" w:line="105" w:lineRule="exact"/>
        <w:rPr>
          <w:sz w:val="20"/>
          <w:szCs w:val="20"/>
          <w:color w:val="auto"/>
        </w:rPr>
      </w:pPr>
    </w:p>
    <w:p>
      <w:pPr>
        <w:ind w:right="160" w:firstLine="571"/>
        <w:spacing w:after="0" w:line="298" w:lineRule="auto"/>
        <w:rPr>
          <w:sz w:val="20"/>
          <w:szCs w:val="20"/>
          <w:color w:val="auto"/>
        </w:rPr>
      </w:pPr>
      <w:r>
        <w:rPr>
          <w:rFonts w:ascii="Arial" w:cs="Arial" w:eastAsia="Arial" w:hAnsi="Arial"/>
          <w:sz w:val="16"/>
          <w:szCs w:val="16"/>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w:t>
      </w:r>
    </w:p>
    <w:p>
      <w:pPr>
        <w:spacing w:after="0" w:line="99" w:lineRule="exact"/>
        <w:rPr>
          <w:sz w:val="20"/>
          <w:szCs w:val="20"/>
          <w:color w:val="auto"/>
        </w:rPr>
      </w:pPr>
    </w:p>
    <w:p>
      <w:pPr>
        <w:ind w:left="580"/>
        <w:spacing w:after="0"/>
        <w:tabs>
          <w:tab w:leader="none" w:pos="1720" w:val="left"/>
        </w:tabs>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 must satisfy two gross income tests annually to maintain our qualification as a REIT:</w:t>
      </w:r>
    </w:p>
    <w:p>
      <w:pPr>
        <w:spacing w:after="0" w:line="77" w:lineRule="exact"/>
        <w:rPr>
          <w:sz w:val="20"/>
          <w:szCs w:val="20"/>
          <w:color w:val="auto"/>
        </w:rPr>
      </w:pPr>
    </w:p>
    <w:p>
      <w:pPr>
        <w:ind w:left="800" w:right="60" w:hanging="225"/>
        <w:spacing w:after="0" w:line="255" w:lineRule="auto"/>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least 75% of our gross income (excluding gross income from prohibited transactions) for each taxable year must consist of defined types of income that we derive, directly or indirectly, from investments relating to real property or mortgages on real property or temporary investment income (the “75% gross income test”). Qualifying income for purposes of the 75% gross income test includes “rents from real property,” interest on debt secured by mortgages on real property or on interests in real property, and dividends or other distributions on and gain from the sale of shares in other REITs; and</w:t>
      </w:r>
    </w:p>
    <w:p>
      <w:pPr>
        <w:spacing w:after="0" w:line="48" w:lineRule="exact"/>
        <w:rPr>
          <w:rFonts w:ascii="Arial" w:cs="Arial" w:eastAsia="Arial" w:hAnsi="Arial"/>
          <w:sz w:val="18"/>
          <w:szCs w:val="18"/>
          <w:color w:val="auto"/>
        </w:rPr>
      </w:pPr>
    </w:p>
    <w:p>
      <w:pPr>
        <w:ind w:left="800" w:hanging="225"/>
        <w:spacing w:after="0" w:line="259" w:lineRule="auto"/>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58"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Rent that we receive from real property that we own and lease to tenants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qualify as “rents from real property” (which is qualifying income for purposes of the 75% and 95% gross income tests) only if several conditions are met under the REIT tax rules:</w:t>
      </w:r>
    </w:p>
    <w:p>
      <w:pPr>
        <w:spacing w:after="0" w:line="46" w:lineRule="exact"/>
        <w:rPr>
          <w:sz w:val="20"/>
          <w:szCs w:val="20"/>
          <w:color w:val="auto"/>
        </w:rPr>
      </w:pPr>
    </w:p>
    <w:p>
      <w:pPr>
        <w:ind w:left="800" w:right="60" w:hanging="225"/>
        <w:spacing w:after="0" w:line="259" w:lineRule="auto"/>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rent must not be based, in whole or in part, on the income or profits of any person although, generally, rent may be based on a fixed percentage or percentages of receipts or sales. We have not entered into any lease based in whole or part on the net income of any person and do not anticipate entering into such arrangements.</w:t>
      </w:r>
    </w:p>
    <w:p>
      <w:pPr>
        <w:spacing w:after="0" w:line="45" w:lineRule="exact"/>
        <w:rPr>
          <w:rFonts w:ascii="Arial" w:cs="Arial" w:eastAsia="Arial" w:hAnsi="Arial"/>
          <w:sz w:val="18"/>
          <w:szCs w:val="18"/>
          <w:color w:val="auto"/>
        </w:rPr>
      </w:pPr>
    </w:p>
    <w:p>
      <w:pPr>
        <w:ind w:left="800" w:hanging="225"/>
        <w:spacing w:after="0" w:line="287" w:lineRule="auto"/>
        <w:tabs>
          <w:tab w:leader="none" w:pos="8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neither we nor someone who owns 10% or more of our shares may own 10% or more of a tenant from whom we receive rent.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is not material and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28" w:lineRule="exact"/>
        <w:rPr>
          <w:rFonts w:ascii="Arial" w:cs="Arial" w:eastAsia="Arial" w:hAnsi="Arial"/>
          <w:sz w:val="16"/>
          <w:szCs w:val="16"/>
          <w:color w:val="auto"/>
        </w:rPr>
      </w:pPr>
    </w:p>
    <w:p>
      <w:pPr>
        <w:ind w:left="800" w:right="60" w:hanging="225"/>
        <w:spacing w:after="0" w:line="254" w:lineRule="auto"/>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rent from a taxable REIT subsidiary which would, but for this exception, be considered rent from a related party tenant, the space leased to the taxable REIT subsidiary must be part of a property at least 90 percent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is not material and will not jeopardize our status as a REIT.</w:t>
      </w:r>
    </w:p>
    <w:p>
      <w:pPr>
        <w:spacing w:after="0" w:line="49" w:lineRule="exact"/>
        <w:rPr>
          <w:rFonts w:ascii="Arial" w:cs="Arial" w:eastAsia="Arial" w:hAnsi="Arial"/>
          <w:sz w:val="18"/>
          <w:szCs w:val="18"/>
          <w:color w:val="auto"/>
        </w:rPr>
      </w:pPr>
    </w:p>
    <w:p>
      <w:pPr>
        <w:ind w:left="800" w:right="200" w:hanging="225"/>
        <w:spacing w:after="0" w:line="298" w:lineRule="auto"/>
        <w:tabs>
          <w:tab w:leader="none" w:pos="8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rent attributable to any personal property leased in connection with a lease of property is no more than 15% of the total rent received under the lease. In general, we have not leased a significant amount of personal property under our current leases. If any incidental personal property has been leased, we believe that rent under each lease from the personal property would be less than 15% of total rent from that lease. If we lease personal property in connection with a future lease, we intend to satisfy the 15% test described above.</w:t>
      </w:r>
    </w:p>
    <w:p>
      <w:pPr>
        <w:spacing w:after="0" w:line="18" w:lineRule="exact"/>
        <w:rPr>
          <w:rFonts w:ascii="Arial" w:cs="Arial" w:eastAsia="Arial" w:hAnsi="Arial"/>
          <w:sz w:val="16"/>
          <w:szCs w:val="16"/>
          <w:color w:val="auto"/>
        </w:rPr>
      </w:pPr>
    </w:p>
    <w:p>
      <w:pPr>
        <w:ind w:left="800" w:hanging="225"/>
        <w:spacing w:after="0" w:line="290" w:lineRule="auto"/>
        <w:tabs>
          <w:tab w:leader="none" w:pos="8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generally must not operate or manage our property or furnish or render services to our tenants, other than through an “independent contractor” who is adequately compensated and from whom we do not derive revenue, or through a taxable REIT subsidiary. We may provide services directly, if the services are “usually or customarily rendered” in connection with the rental of space for occupancy only and are not otherwise considered “rendered to the occupant.”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Based on the foregoing, we believe that rent from leases should qualify as “rents from real property” for purposes of the 75% and 95% gross income tests.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However, there can be no complete assurance that the IRS will not assert successfully a contrary position and, therefore, prevent us from qualifying as a REIT.</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an ongoing basis, we will use our best efforts not to:</w:t>
      </w:r>
    </w:p>
    <w:p>
      <w:pPr>
        <w:spacing w:after="0" w:line="77" w:lineRule="exact"/>
        <w:rPr>
          <w:sz w:val="20"/>
          <w:szCs w:val="20"/>
          <w:color w:val="auto"/>
        </w:rPr>
      </w:pPr>
    </w:p>
    <w:p>
      <w:pPr>
        <w:ind w:left="800" w:right="180" w:hanging="225"/>
        <w:spacing w:after="0" w:line="268"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37" w:lineRule="exact"/>
        <w:rPr>
          <w:rFonts w:ascii="Arial" w:cs="Arial" w:eastAsia="Arial" w:hAnsi="Arial"/>
          <w:sz w:val="18"/>
          <w:szCs w:val="18"/>
          <w:color w:val="auto"/>
        </w:rPr>
      </w:pPr>
    </w:p>
    <w:p>
      <w:pPr>
        <w:ind w:left="800" w:right="360" w:hanging="225"/>
        <w:spacing w:after="0" w:line="259"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45" w:lineRule="exact"/>
        <w:rPr>
          <w:rFonts w:ascii="Arial" w:cs="Arial" w:eastAsia="Arial" w:hAnsi="Arial"/>
          <w:sz w:val="18"/>
          <w:szCs w:val="18"/>
          <w:color w:val="auto"/>
        </w:rPr>
      </w:pPr>
    </w:p>
    <w:p>
      <w:pPr>
        <w:ind w:left="800" w:right="120" w:hanging="225"/>
        <w:spacing w:after="0" w:line="268"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37" w:lineRule="exact"/>
        <w:rPr>
          <w:rFonts w:ascii="Arial" w:cs="Arial" w:eastAsia="Arial" w:hAnsi="Arial"/>
          <w:sz w:val="18"/>
          <w:szCs w:val="18"/>
          <w:color w:val="auto"/>
        </w:rPr>
      </w:pPr>
    </w:p>
    <w:p>
      <w:pPr>
        <w:jc w:val="both"/>
        <w:ind w:left="800" w:right="40" w:hanging="225"/>
        <w:spacing w:after="0" w:line="259"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perform services considered to be rendered to the occupant of the property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Because the Code provisions applicable to REITs are complex, however, we may fail to meet one or more of the foregoing.</w:t>
      </w:r>
    </w:p>
    <w:p>
      <w:pPr>
        <w:spacing w:after="0" w:line="158" w:lineRule="exact"/>
        <w:rPr>
          <w:sz w:val="20"/>
          <w:szCs w:val="20"/>
          <w:color w:val="auto"/>
        </w:rPr>
      </w:pPr>
    </w:p>
    <w:p>
      <w:pPr>
        <w:ind w:right="260" w:firstLine="571"/>
        <w:spacing w:after="0" w:line="306"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12" w:lineRule="exact"/>
        <w:rPr>
          <w:sz w:val="20"/>
          <w:szCs w:val="20"/>
          <w:color w:val="auto"/>
        </w:rPr>
      </w:pPr>
    </w:p>
    <w:p>
      <w:pPr>
        <w:ind w:left="800" w:right="320" w:hanging="225"/>
        <w:spacing w:after="0" w:line="325" w:lineRule="auto"/>
        <w:tabs>
          <w:tab w:leader="none" w:pos="8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an debt owed to the REIT secured by the property;</w:t>
      </w:r>
    </w:p>
    <w:p>
      <w:pPr>
        <w:spacing w:after="0" w:line="1" w:lineRule="exact"/>
        <w:rPr>
          <w:rFonts w:ascii="Arial" w:cs="Arial" w:eastAsia="Arial" w:hAnsi="Arial"/>
          <w:sz w:val="16"/>
          <w:szCs w:val="16"/>
          <w:color w:val="auto"/>
        </w:rPr>
      </w:pPr>
    </w:p>
    <w:p>
      <w:pPr>
        <w:ind w:left="800" w:hanging="225"/>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85" w:lineRule="exact"/>
        <w:rPr>
          <w:sz w:val="20"/>
          <w:szCs w:val="20"/>
          <w:color w:val="auto"/>
        </w:rPr>
      </w:pPr>
    </w:p>
    <w:p>
      <w:pPr>
        <w:ind w:right="260" w:firstLine="571"/>
        <w:spacing w:after="0" w:line="259"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46" w:lineRule="exact"/>
        <w:rPr>
          <w:sz w:val="20"/>
          <w:szCs w:val="20"/>
          <w:color w:val="auto"/>
        </w:rPr>
      </w:pPr>
    </w:p>
    <w:p>
      <w:pPr>
        <w:ind w:left="800" w:right="300" w:hanging="225"/>
        <w:spacing w:after="0" w:line="268"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37" w:lineRule="exact"/>
        <w:rPr>
          <w:rFonts w:ascii="Arial" w:cs="Arial" w:eastAsia="Arial" w:hAnsi="Arial"/>
          <w:sz w:val="18"/>
          <w:szCs w:val="18"/>
          <w:color w:val="auto"/>
        </w:rPr>
      </w:pPr>
    </w:p>
    <w:p>
      <w:pPr>
        <w:ind w:left="800" w:right="220" w:hanging="225"/>
        <w:spacing w:after="0" w:line="259"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45" w:lineRule="exact"/>
        <w:rPr>
          <w:rFonts w:ascii="Arial" w:cs="Arial" w:eastAsia="Arial" w:hAnsi="Arial"/>
          <w:sz w:val="18"/>
          <w:szCs w:val="18"/>
          <w:color w:val="auto"/>
        </w:rPr>
      </w:pPr>
    </w:p>
    <w:p>
      <w:pPr>
        <w:ind w:left="800" w:right="80" w:hanging="225"/>
        <w:spacing w:after="0" w:line="268"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20" w:hanging="225"/>
        <w:spacing w:after="0" w:line="370" w:lineRule="auto"/>
        <w:tabs>
          <w:tab w:leader="none" w:pos="8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49"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b w:val="1"/>
          <w:bCs w:val="1"/>
          <w:i w:val="1"/>
          <w:iCs w:val="1"/>
          <w:color w:val="auto"/>
        </w:rPr>
        <w:t>Tax on Prohibited Transactions</w:t>
      </w:r>
      <w:r>
        <w:rPr>
          <w:rFonts w:ascii="Arial" w:cs="Arial" w:eastAsia="Arial" w:hAnsi="Arial"/>
          <w:sz w:val="16"/>
          <w:szCs w:val="16"/>
          <w:color w:val="auto"/>
        </w:rPr>
        <w:t>. A REIT will incur a 100% tax on net income derived from any “prohibited transaction.” A “prohibited transaction”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is a sale or other disposition of property (other than foreclosure property) that the REIT holds primarily for sale to customers in the ordinary course of a trade or business. We believe that none of our assets are held for sale to customers and that a sale of any such asset would not be in the ordinary course of its business. Whether a REIT holds an asset “primarily for sale to customers in the ordinary course of a trade or business” depends, however, on the facts and circumstances in effect from time to time, including those related to a particular asset. Nevertheless, we will attempt to comply with the terms of safe-harbor provisions in the Code prescribing when an asset sale will not be characterized as a prohibited transaction. We may fail to comply with such safe-harbor provisions or may own property that could be characterized as property held “primarily for sale to customers in the ordinary course of a trade or business.”</w:t>
      </w:r>
    </w:p>
    <w:p>
      <w:pPr>
        <w:spacing w:after="0" w:line="105"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99"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we attach a schedule of the sources of our income to our tax return, and any incorrect information on the schedule was not due to fraud with intent to evade tax.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07"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8"/>
          <w:szCs w:val="18"/>
          <w:b w:val="1"/>
          <w:bCs w:val="1"/>
          <w:i w:val="1"/>
          <w:iCs w:val="1"/>
          <w:color w:val="auto"/>
        </w:rPr>
        <w:t>Asset Tests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To maintain our qualification as a REIT, we also must satisfy two asset tests at the close of each quarter of each taxable year:</w:t>
      </w:r>
    </w:p>
    <w:p>
      <w:pPr>
        <w:spacing w:after="0" w:line="77" w:lineRule="exact"/>
        <w:rPr>
          <w:sz w:val="20"/>
          <w:szCs w:val="20"/>
          <w:color w:val="auto"/>
        </w:rPr>
      </w:pPr>
    </w:p>
    <w:p>
      <w:pPr>
        <w:ind w:left="800" w:right="440" w:hanging="225"/>
        <w:spacing w:after="0" w:line="268" w:lineRule="auto"/>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government securities, “real estate assets,” or qualifying temporary investments (the “75% asset test”).</w:t>
      </w:r>
    </w:p>
    <w:p>
      <w:pPr>
        <w:spacing w:after="0" w:line="37" w:lineRule="exact"/>
        <w:rPr>
          <w:rFonts w:ascii="Arial" w:cs="Arial" w:eastAsia="Arial" w:hAnsi="Arial"/>
          <w:sz w:val="18"/>
          <w:szCs w:val="18"/>
          <w:color w:val="auto"/>
        </w:rPr>
      </w:pPr>
    </w:p>
    <w:p>
      <w:pPr>
        <w:ind w:left="1260" w:right="460" w:hanging="455"/>
        <w:spacing w:after="0" w:line="268" w:lineRule="auto"/>
        <w:tabs>
          <w:tab w:leader="none" w:pos="12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the properties qualify as real estate assets.</w:t>
      </w:r>
    </w:p>
    <w:p>
      <w:pPr>
        <w:spacing w:after="0" w:line="37" w:lineRule="exact"/>
        <w:rPr>
          <w:rFonts w:ascii="Arial" w:cs="Arial" w:eastAsia="Arial" w:hAnsi="Arial"/>
          <w:sz w:val="18"/>
          <w:szCs w:val="18"/>
          <w:color w:val="auto"/>
        </w:rPr>
      </w:pPr>
    </w:p>
    <w:p>
      <w:pPr>
        <w:ind w:left="1260" w:right="60" w:hanging="455"/>
        <w:spacing w:after="0" w:line="259" w:lineRule="auto"/>
        <w:tabs>
          <w:tab w:leader="none" w:pos="12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45" w:lineRule="exact"/>
        <w:rPr>
          <w:rFonts w:ascii="Arial" w:cs="Arial" w:eastAsia="Arial" w:hAnsi="Arial"/>
          <w:sz w:val="18"/>
          <w:szCs w:val="18"/>
          <w:color w:val="auto"/>
        </w:rPr>
      </w:pPr>
    </w:p>
    <w:p>
      <w:pPr>
        <w:ind w:left="1260" w:right="120" w:hanging="455"/>
        <w:spacing w:after="0" w:line="268" w:lineRule="auto"/>
        <w:tabs>
          <w:tab w:leader="none" w:pos="12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37" w:lineRule="exact"/>
        <w:rPr>
          <w:rFonts w:ascii="Arial" w:cs="Arial" w:eastAsia="Arial" w:hAnsi="Arial"/>
          <w:sz w:val="18"/>
          <w:szCs w:val="18"/>
          <w:color w:val="auto"/>
        </w:rPr>
      </w:pPr>
    </w:p>
    <w:p>
      <w:pPr>
        <w:ind w:left="800" w:hanging="225"/>
        <w:spacing w:after="0" w:line="259" w:lineRule="auto"/>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investments not included in the 75% asset test, (A) the value of our interest in any one issuer’s securities (which does not include our equity ownership of other REITs, any qualified REIT subsidiary, or any taxable REIT subsidiary) may not exceed 5% of the value of our total assets (the “5% asset test”), (B) we may not own more than 10% of the voting power or value of any one issuer’s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80"/>
        <w:spacing w:after="0" w:line="259" w:lineRule="auto"/>
        <w:rPr>
          <w:sz w:val="20"/>
          <w:szCs w:val="20"/>
          <w:color w:val="auto"/>
        </w:rPr>
      </w:pPr>
      <w:r>
        <w:rPr>
          <w:rFonts w:ascii="Arial" w:cs="Arial" w:eastAsia="Arial" w:hAnsi="Arial"/>
          <w:sz w:val="18"/>
          <w:szCs w:val="18"/>
          <w:color w:val="auto"/>
        </w:rPr>
        <w:t>outstanding securities, which does not include our equity ownership in other REITs, any qualified REIT subsidiary, or any taxable REIT subsidiary (the “10% asset test”), and (C) the value of our securities in one or more taxable REIT subsidiaries may not exceed 20% of the value of our total assets.</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58"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we failed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29"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30" w:lineRule="exact"/>
        <w:rPr>
          <w:sz w:val="20"/>
          <w:szCs w:val="20"/>
          <w:color w:val="auto"/>
        </w:rPr>
      </w:pPr>
    </w:p>
    <w:p>
      <w:pPr>
        <w:ind w:firstLine="571"/>
        <w:spacing w:after="0" w:line="332" w:lineRule="auto"/>
        <w:rPr>
          <w:sz w:val="20"/>
          <w:szCs w:val="20"/>
          <w:color w:val="auto"/>
        </w:rPr>
      </w:pPr>
      <w:r>
        <w:rPr>
          <w:rFonts w:ascii="Arial" w:cs="Arial" w:eastAsia="Arial" w:hAnsi="Arial"/>
          <w:sz w:val="16"/>
          <w:szCs w:val="16"/>
          <w:color w:val="auto"/>
        </w:rPr>
        <w:t>We must pay such distributions in the taxable year to which they relate, or in the following taxable year if we declare the distribution before we timely file our federal income tax return for such year and pay the distribution on or before the first regular dividend payment date after such declaration.</w:t>
      </w:r>
    </w:p>
    <w:p>
      <w:pPr>
        <w:spacing w:after="0" w:line="72"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We will pay federal income tax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05"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w:t>
      </w:r>
    </w:p>
    <w:p>
      <w:pPr>
        <w:spacing w:after="0" w:line="107"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stock. We have complied, and we intend to continue to comply, with such requirements.</w:t>
      </w:r>
    </w:p>
    <w:p>
      <w:pPr>
        <w:spacing w:after="0" w:line="127"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failed to qualify as a REIT in any taxable year, and no relief provision applied, we would be subject to federal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any applicable alternative minimum tax) on our taxable income at regular corporate rates. In calculating our taxable income in a year in which we failed to qualify as a REIT, we would not be able to deduct amounts paid out to shareholders. In fact, we would not be required to distribute any amounts to shareholders in such year. In such event, to the extent of our current and accumulated earnings and profits, all distributions to shareholders would be taxable as ordinary income.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83"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As long as we qualify as a REIT, a taxable “U.S. shareholder” must take into account distributions out of our current or accumulated earnings and profits (and that we do not designate as capital gain dividends or retained long-term capital gain) as ordinary income. A corporate U.S. shareholder will not qualify for the dividends received deduction generally available to corporations. As used herein, the term “U.S. shareholder” means a holder of common shares that for U.S. federal income tax purposes is</w:t>
      </w:r>
    </w:p>
    <w:p>
      <w:pPr>
        <w:spacing w:after="0" w:line="49" w:lineRule="exact"/>
        <w:rPr>
          <w:sz w:val="20"/>
          <w:szCs w:val="20"/>
          <w:color w:val="auto"/>
        </w:rPr>
      </w:pPr>
    </w:p>
    <w:p>
      <w:pPr>
        <w:ind w:left="800" w:hanging="225"/>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03" w:lineRule="exact"/>
        <w:rPr>
          <w:rFonts w:ascii="Arial" w:cs="Arial" w:eastAsia="Arial" w:hAnsi="Arial"/>
          <w:sz w:val="18"/>
          <w:szCs w:val="18"/>
          <w:color w:val="auto"/>
        </w:rPr>
      </w:pPr>
    </w:p>
    <w:p>
      <w:pPr>
        <w:ind w:left="800" w:right="140" w:hanging="225"/>
        <w:spacing w:after="0" w:line="268" w:lineRule="auto"/>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corporation, partnership, or other entity created or organized in or under the laws of the United States or of a political subdivision thereof unless, in the case of a partnership, Treasury Regulations provide otherwise;</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03" w:lineRule="exact"/>
        <w:rPr>
          <w:rFonts w:ascii="Arial" w:cs="Arial" w:eastAsia="Arial" w:hAnsi="Arial"/>
          <w:sz w:val="18"/>
          <w:szCs w:val="18"/>
          <w:color w:val="auto"/>
        </w:rPr>
      </w:pPr>
    </w:p>
    <w:p>
      <w:pPr>
        <w:ind w:left="800" w:right="120" w:hanging="225"/>
        <w:spacing w:after="0" w:line="298" w:lineRule="auto"/>
        <w:tabs>
          <w:tab w:leader="none" w:pos="8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trust with respect to which (A) a U.S. court is able to exercise primary supervision over the administration of such trust and (B) one or more U.S. persons have the authority to control all substantial decisions of the trust. Notwithstanding the preceding sentence, to the extent provided in the Treasury Regulations, some trusts in existence on August 20, 1996, and treated as United States persons prior to this date that elect to continue to be treated as United States persons, shall be considered United States shareholders.</w:t>
      </w:r>
    </w:p>
    <w:p>
      <w:pPr>
        <w:spacing w:after="0" w:line="99"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A U.S. shareholder will recognize distributions that we designate as capital gain dividends as long-term capital gain (to the extent they do not exceed our actual net capital gain for the taxable year) without regard to the period for which the U.S. shareholder has held its common shares. Subject to certain limitations, we will designate our capital gain dividends as either 20% or 25% rate distributions. A corporate U.S. shareholder, however, may be required to treat up to 20% of certain capital gain dividends as ordinary income.</w:t>
      </w:r>
    </w:p>
    <w:p>
      <w:pPr>
        <w:spacing w:after="0" w:line="130" w:lineRule="exact"/>
        <w:rPr>
          <w:sz w:val="20"/>
          <w:szCs w:val="20"/>
          <w:color w:val="auto"/>
        </w:rPr>
      </w:pPr>
    </w:p>
    <w:p>
      <w:pPr>
        <w:jc w:val="both"/>
        <w:ind w:right="220" w:firstLine="571"/>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U.S. shareholder would be taxed on its proportionate share of our undistributed long-term capital gain. The U.S. shareholder would receive a credit or refund for its proportionate share of the tax we paid. The U.S. shareholder would increase the basis in its stock by the amount of its proportionate share of our undistributed long-term capital gain, minus its share of the tax we paid.</w:t>
      </w:r>
    </w:p>
    <w:p>
      <w:pPr>
        <w:spacing w:after="0" w:line="130" w:lineRule="exact"/>
        <w:rPr>
          <w:sz w:val="20"/>
          <w:szCs w:val="20"/>
          <w:color w:val="auto"/>
        </w:rPr>
      </w:pPr>
    </w:p>
    <w:p>
      <w:pPr>
        <w:ind w:right="160" w:firstLine="571"/>
        <w:spacing w:after="0" w:line="332" w:lineRule="auto"/>
        <w:rPr>
          <w:sz w:val="20"/>
          <w:szCs w:val="20"/>
          <w:color w:val="auto"/>
        </w:rPr>
      </w:pPr>
      <w:r>
        <w:rPr>
          <w:rFonts w:ascii="Arial" w:cs="Arial" w:eastAsia="Arial" w:hAnsi="Arial"/>
          <w:sz w:val="16"/>
          <w:szCs w:val="16"/>
          <w:color w:val="auto"/>
        </w:rPr>
        <w:t>A U.S. shareholder will not incur tax on a distribution to the extent it exceeds our current and accumulated earnings and profits if such distribution does not exceed the adjusted basis of the U.S. shareholder’s common shares. Instead, such distribution in excess of earnings and profits will reduce the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adjusted basis of such common shares. To the extent a distribution exceeds both our current and accumulated earnings and profits and the U.S. shareholder’s adjusted basis in its common shares, the U.S. shareholder will recognize long-term capital gain (or short-term capital gain if the common shares have been held for one year or less), assuming the common shares are a capital asset in the hands of the U.S. shareholder. In addition, if we declare a distribution in October, November, or December of any year that is payable to a U.S. shareholder of record on a specified date in any such month, such distribution shall be treated as both paid by us and received by the U.S. shareholder on December 31 of such year, provided that we actually pay the distribution during January of the following calendar year. We will notify U.S. shareholders after the close of our taxable year as to the portions of the distributions attributable to that year that constitute ordinary income or capital gain dividends.</w:t>
      </w:r>
    </w:p>
    <w:p>
      <w:pPr>
        <w:spacing w:after="0" w:line="105" w:lineRule="exact"/>
        <w:rPr>
          <w:sz w:val="20"/>
          <w:szCs w:val="20"/>
          <w:color w:val="auto"/>
        </w:rPr>
      </w:pPr>
    </w:p>
    <w:p>
      <w:pPr>
        <w:ind w:right="100" w:firstLine="571"/>
        <w:spacing w:after="0" w:line="314" w:lineRule="auto"/>
        <w:rPr>
          <w:sz w:val="20"/>
          <w:szCs w:val="20"/>
          <w:color w:val="auto"/>
        </w:rPr>
      </w:pPr>
      <w:r>
        <w:rPr>
          <w:rFonts w:ascii="Arial" w:cs="Arial" w:eastAsia="Arial" w:hAnsi="Arial"/>
          <w:sz w:val="15"/>
          <w:szCs w:val="15"/>
          <w:b w:val="1"/>
          <w:bCs w:val="1"/>
          <w:i w:val="1"/>
          <w:iCs w:val="1"/>
          <w:color w:val="auto"/>
        </w:rPr>
        <w:t xml:space="preserve">Taxation of U.S. Shareholders on the Disposition of the Common Shares. </w:t>
      </w:r>
      <w:r>
        <w:rPr>
          <w:rFonts w:ascii="Arial" w:cs="Arial" w:eastAsia="Arial" w:hAnsi="Arial"/>
          <w:sz w:val="15"/>
          <w:szCs w:val="15"/>
          <w:color w:val="auto"/>
        </w:rPr>
        <w:t>In general, a U.S. shareholder who is not a dealer in securities must treat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any gain or loss realized upon a taxable disposition of the common shares as long-term capital gain or loss if the U.S. shareholder has held the common stock for more than one year and otherwise as short-term capital gain or loss. However, a U.S. shareholder must treat any loss upon a sale or exchange of common shares held by such shareholder for six months or less (after applying certain holding period rules) as a long-term capital loss to the extent of capital gain dividends and other distributions from us that such U.S. shareholder treats as long-term capital gain. All or a portion of any loss a U.S. shareholder realizes upon a taxable disposition of the common shares may be disallowed if the U.S. shareholder purchases additional common shares within 30 days before or after the disposition.</w:t>
      </w:r>
    </w:p>
    <w:p>
      <w:pPr>
        <w:spacing w:after="0" w:line="91" w:lineRule="exact"/>
        <w:rPr>
          <w:sz w:val="20"/>
          <w:szCs w:val="20"/>
          <w:color w:val="auto"/>
        </w:rPr>
      </w:pPr>
    </w:p>
    <w:p>
      <w:pPr>
        <w:ind w:right="20" w:firstLine="571"/>
        <w:spacing w:after="0" w:line="285"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for 2003 is 38.6%. The maximum tax rate on long-term capital gain applicable to non-corporate taxpayers is generally 20% for sales and exchanges of assets held for more than one year. The maximum tax rate on long-term capital gain from the sale or exchange of “Section 1250 property” (i.e., depreciable real property) is 25% to the extent that such gain would have been treated as ordinary income if the property were “Section 1245 property.” With respect to distributions that we designate as capital gain dividends and any retained capital gain that it is deemed to distribute, we may designate (subject to certain limits) whether such a distribution is taxable to our non-corporate shareholders at a 20% or 25% rate. Thus, the tax rate differential between capital gain and ordinary income for non-corporate taxpayers may be significant. A U.S. shareholder required to include retained long-term capital gains in income will be deemed to have paid, in the taxable year of the inclusion, its proportionate share of the tax paid by us in respect of such undistributed net capital gains. U.S. shareholders subject to these rules will be allowed a credit or a refund, as the case may be, for the tax deemed to have been paid by such shareholders. U.S. shareholders will increase their basis in their common shares by the difference between the amount of such includible gains and the tax deemed paid by the U.S. shareholder in respect of such gains. In addition, the characterization of income as capital gain or ordinary income may affect the deductibility of capital losses. A non-corporate taxpayer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13"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b w:val="1"/>
          <w:bCs w:val="1"/>
          <w:i w:val="1"/>
          <w:iCs w:val="1"/>
          <w:color w:val="auto"/>
        </w:rPr>
        <w:t xml:space="preserve">Information Reporting Requirements and Backup Withholding. </w:t>
      </w:r>
      <w:r>
        <w:rPr>
          <w:rFonts w:ascii="Arial" w:cs="Arial" w:eastAsia="Arial" w:hAnsi="Arial"/>
          <w:sz w:val="18"/>
          <w:szCs w:val="18"/>
          <w:color w:val="auto"/>
        </w:rPr>
        <w:t>We will report to our shareholders and to the IRS the amount of distributions we pay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each calendar year, and the amount of tax we withhold, if any. Under the backup withholding rules, a shareholder may be subject to backup withholding (at the rate of 30% for 2003) with respect to distributions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Any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amount paid as backup withholding will be creditable against the shareholder’s income tax liability. In addition, we may be required to withhold a portion of capital gain distributions to any shareholders who fail to certify their non-foreign status to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83" w:lineRule="exact"/>
        <w:rPr>
          <w:sz w:val="20"/>
          <w:szCs w:val="20"/>
          <w:color w:val="auto"/>
        </w:rPr>
      </w:pPr>
    </w:p>
    <w:p>
      <w:pPr>
        <w:ind w:right="20" w:firstLine="571"/>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common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it were a pension trust) divided by our total gross income for the year in which we pay the dividends. The UBTI rule applies to a pension trust holding more than 10% of our shares only if:</w:t>
      </w:r>
    </w:p>
    <w:p>
      <w:pPr>
        <w:spacing w:after="0" w:line="34" w:lineRule="exact"/>
        <w:rPr>
          <w:sz w:val="20"/>
          <w:szCs w:val="20"/>
          <w:color w:val="auto"/>
        </w:rPr>
      </w:pPr>
    </w:p>
    <w:p>
      <w:pPr>
        <w:ind w:left="800" w:hanging="225"/>
        <w:spacing w:after="0"/>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03"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37" w:lineRule="exact"/>
        <w:rPr>
          <w:rFonts w:ascii="Arial" w:cs="Arial" w:eastAsia="Arial" w:hAnsi="Arial"/>
          <w:sz w:val="18"/>
          <w:szCs w:val="18"/>
          <w:color w:val="auto"/>
        </w:rPr>
      </w:pPr>
    </w:p>
    <w:p>
      <w:pPr>
        <w:ind w:left="800" w:right="640" w:hanging="225"/>
        <w:spacing w:after="0" w:line="332" w:lineRule="auto"/>
        <w:tabs>
          <w:tab w:leader="none" w:pos="8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72"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83" w:lineRule="exact"/>
        <w:rPr>
          <w:sz w:val="20"/>
          <w:szCs w:val="20"/>
          <w:color w:val="auto"/>
        </w:rPr>
      </w:pPr>
    </w:p>
    <w:p>
      <w:pPr>
        <w:ind w:right="240" w:firstLine="571"/>
        <w:spacing w:after="0" w:line="335" w:lineRule="auto"/>
        <w:rPr>
          <w:sz w:val="20"/>
          <w:szCs w:val="20"/>
          <w:color w:val="auto"/>
        </w:rPr>
      </w:pPr>
      <w:r>
        <w:rPr>
          <w:rFonts w:ascii="Arial" w:cs="Arial" w:eastAsia="Arial" w:hAnsi="Arial"/>
          <w:sz w:val="15"/>
          <w:szCs w:val="15"/>
          <w:color w:val="auto"/>
        </w:rPr>
        <w:t>The rules governing U.S. federal income taxation of nonresident alien individuals, foreign corporations, foreign partnerships, and other foreign shareholders (collectively, “non-U.S. shareholders”) are complex. This section is only a summary of such rules. We urge non-U.S. shareholders to consult their own tax advisors to determine the impact of federal, state, and local income tax laws on ownership of common shares, including any reporting requirements.</w:t>
      </w:r>
    </w:p>
    <w:p>
      <w:pPr>
        <w:spacing w:after="0" w:line="75" w:lineRule="exact"/>
        <w:rPr>
          <w:sz w:val="20"/>
          <w:szCs w:val="20"/>
          <w:color w:val="auto"/>
        </w:rPr>
      </w:pPr>
    </w:p>
    <w:p>
      <w:pPr>
        <w:jc w:val="both"/>
        <w:ind w:right="160" w:firstLine="571"/>
        <w:spacing w:after="0" w:line="306"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gross amount of the distribution ordinarily will apply to such distribution unless an applicable tax treaty reduces or eliminates the tax. However, if a distribution is treated as effectively connected with the non-U.S. shareholder’s conduct of a U.S. trade or business, the non-U.S. shareholder generally will be subject to federal income tax on the distribution at graduated rates, in the same manner as U.S. shareholders are taxed with respect to such distributions (and also may be subject to the 30% branch profits tax in the case of a non-U.S. shareholder that is a non-U.S. corporation). We plan to withhold U.S. income tax at the rate of 30% on the gross amount of any such distribution paid to a non-U.S. shareholder unless (i) a lower treaty rate applies and the non-U.S. shareholder files IRS Form W-8BEN with us evidencing eligibility for that reduced rate, (ii) the non-U.S. shareholder files an IRS Form W-8ECI with us claiming that the distribution is effectively connected income, or (iii) the non-U.S. shareholder holds shares through a “qualified intermediary” that has elected to perform any necessary withholding itself.</w:t>
      </w:r>
    </w:p>
    <w:p>
      <w:pPr>
        <w:spacing w:after="0" w:line="105"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such distribution does not exceed the adjusted basis of its common shares. Instead, such distribution in excess of earnings and profits will reduce the adjusted basis of such common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common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05" w:lineRule="exact"/>
        <w:rPr>
          <w:sz w:val="20"/>
          <w:szCs w:val="20"/>
          <w:color w:val="auto"/>
        </w:rPr>
      </w:pPr>
    </w:p>
    <w:p>
      <w:pPr>
        <w:ind w:right="40" w:firstLine="571"/>
        <w:spacing w:after="0" w:line="286"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color w:val="auto"/>
        </w:rPr>
        <w:t>. For any year in which we qualify as a REIT, a non-U.S. shareholder will incur tax on distributions that are attributable to gain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U.S. shareholders (subject to applicable alternative minimum tax and a special alternative minimum tax in the case of a nonresident alien individual). A non-U.S. corporate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11"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27" w:lineRule="exact"/>
        <w:rPr>
          <w:sz w:val="20"/>
          <w:szCs w:val="20"/>
          <w:color w:val="auto"/>
        </w:rPr>
      </w:pPr>
    </w:p>
    <w:p>
      <w:pPr>
        <w:jc w:val="both"/>
        <w:ind w:right="440" w:firstLine="571"/>
        <w:spacing w:after="0" w:line="306"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shares as long as we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“domestically controlled REIT.” A “domestically controlled REIT” is a REIT in which at all times during a specified testing period non-U.S. persons held, directly or indirectly, less than 50% in value of the stock. We anticipate that we will continue to be a “domestically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controlled REIT.” In addition, a non-U.S. shareholder that owns, actually or constructively, 5% or less of outstanding common shares at all times during a specified testing period will not incur tax under FIRPTA if the common shares are “regularly traded” on an established securities market. If neither of these exceptions were to apply, the gain on the sale of the common shares would be taxed under FIRPTA, in which case a non-U.S. shareholder would be taxed in the same manner as U.S. shareholders with respect to such gain (subject to applicable alternative minimum tax and a special alternative minimum tax in the case of nonresident alien individuals.</w:t>
      </w:r>
    </w:p>
    <w:p>
      <w:pPr>
        <w:spacing w:after="0" w:line="129"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w:t>
      </w:r>
    </w:p>
    <w:p>
      <w:pPr>
        <w:spacing w:after="0" w:line="99"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b w:val="1"/>
          <w:bCs w:val="1"/>
          <w:i w:val="1"/>
          <w:iCs w:val="1"/>
          <w:color w:val="auto"/>
        </w:rPr>
        <w:t>Backup Withholding</w:t>
      </w:r>
      <w:r>
        <w:rPr>
          <w:rFonts w:ascii="Arial" w:cs="Arial" w:eastAsia="Arial" w:hAnsi="Arial"/>
          <w:sz w:val="16"/>
          <w:szCs w:val="16"/>
          <w:color w:val="auto"/>
        </w:rPr>
        <w:t>. Backup withholding tax (which generally is withholding tax, imposed at the rate of 30% in 2003, on certain payments to persons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fail to furnish certain information under the United States information reporting requirements) and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26" w:lineRule="exact"/>
        <w:rPr>
          <w:sz w:val="20"/>
          <w:szCs w:val="20"/>
          <w:color w:val="auto"/>
        </w:rPr>
      </w:pPr>
    </w:p>
    <w:p>
      <w:pPr>
        <w:ind w:left="800" w:hanging="225"/>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U.S. shareholders) for U.S. tax purposes; or</w:t>
      </w:r>
    </w:p>
    <w:p>
      <w:pPr>
        <w:spacing w:after="0" w:line="103" w:lineRule="exact"/>
        <w:rPr>
          <w:rFonts w:ascii="Arial" w:cs="Arial" w:eastAsia="Arial" w:hAnsi="Arial"/>
          <w:sz w:val="18"/>
          <w:szCs w:val="18"/>
          <w:color w:val="auto"/>
        </w:rPr>
      </w:pPr>
    </w:p>
    <w:p>
      <w:pPr>
        <w:ind w:left="800" w:right="140" w:hanging="225"/>
        <w:spacing w:after="0" w:line="268" w:lineRule="auto"/>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50% or more of its income or capital interest are held by U.S. persons or if it is engaged in the conduct of a trade or business in the U.S.,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 non-U.S. shareholder may obtain a refund of excess amounts withheld under the backup withholding rules by filing the appropriate claim for refund with the IRS.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Consequences</w:t>
      </w:r>
    </w:p>
    <w:p>
      <w:pPr>
        <w:spacing w:after="0" w:line="83" w:lineRule="exact"/>
        <w:rPr>
          <w:sz w:val="20"/>
          <w:szCs w:val="20"/>
          <w:color w:val="auto"/>
        </w:rPr>
      </w:pPr>
    </w:p>
    <w:p>
      <w:pPr>
        <w:ind w:right="40" w:firstLine="571"/>
        <w:spacing w:after="0" w:line="335" w:lineRule="auto"/>
        <w:rPr>
          <w:sz w:val="20"/>
          <w:szCs w:val="20"/>
          <w:color w:val="auto"/>
        </w:rPr>
      </w:pPr>
      <w:r>
        <w:rPr>
          <w:rFonts w:ascii="Arial" w:cs="Arial" w:eastAsia="Arial" w:hAnsi="Arial"/>
          <w:sz w:val="15"/>
          <w:szCs w:val="15"/>
          <w:b w:val="1"/>
          <w:bCs w:val="1"/>
          <w:i w:val="1"/>
          <w:iCs w:val="1"/>
          <w:color w:val="auto"/>
        </w:rPr>
        <w:t>State and Local Taxes</w:t>
      </w:r>
      <w:r>
        <w:rPr>
          <w:rFonts w:ascii="Arial" w:cs="Arial" w:eastAsia="Arial" w:hAnsi="Arial"/>
          <w:sz w:val="15"/>
          <w:szCs w:val="15"/>
          <w:color w:val="auto"/>
        </w:rPr>
        <w:t>. We and/or you may be subject to state and local tax in various states and localities, including those states and localities in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We may sell securities from time to time in one or more transactions on a negotiated or competitive bid basis to or through one or more underwriters or dealers on a firm commitment or best efforts basis, in the over-the-counter market, on any national securities exchange or automated quotation system on which the securities may be listed or traded, in privately negotiated transactions, to or through a market maker, or through any other legally available means. In addition, the sales will be made at market prices prevailing at the time of sale, at prices related to such prevailing market prices, or at negotiated prices. We may also sell securities directly to institutional investors or other purchasers or through agents. We will identify any underwriter, dealer or agent involved in the offer and sale of securities, and any applicable commissions, discounts and other items constituting compensation to such underwriters, dealers or agents, in a prospectus supplement. Underwriters and agents from time to time may include Brinson Patrick Securities Corporation.</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77" w:lineRule="exact"/>
        <w:rPr>
          <w:sz w:val="20"/>
          <w:szCs w:val="20"/>
          <w:color w:val="auto"/>
        </w:rPr>
      </w:pPr>
    </w:p>
    <w:p>
      <w:pPr>
        <w:ind w:left="800" w:right="420" w:hanging="225"/>
        <w:spacing w:after="0" w:line="268" w:lineRule="auto"/>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85"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93"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05"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18"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72" w:lineRule="exact"/>
        <w:rPr>
          <w:sz w:val="20"/>
          <w:szCs w:val="20"/>
          <w:color w:val="auto"/>
        </w:rPr>
      </w:pPr>
    </w:p>
    <w:p>
      <w:pPr>
        <w:jc w:val="both"/>
        <w:ind w:right="300" w:firstLine="571"/>
        <w:spacing w:after="0" w:line="259" w:lineRule="auto"/>
        <w:rPr>
          <w:sz w:val="20"/>
          <w:szCs w:val="20"/>
          <w:color w:val="auto"/>
        </w:rPr>
      </w:pPr>
      <w:r>
        <w:rPr>
          <w:rFonts w:ascii="Arial" w:cs="Arial" w:eastAsia="Arial" w:hAnsi="Arial"/>
          <w:sz w:val="18"/>
          <w:szCs w:val="18"/>
          <w:color w:val="auto"/>
        </w:rPr>
        <w:t>The securities may or may not be listed on a national securities exchange or traded in the over-the-counter market (other than the common shares, the Series A preferred shares and the Series B preferred shares, each of which are quoted on The New York Stock Exchange). No assurance can be given as to the liquidity of the trading market for any such securities.</w:t>
      </w:r>
    </w:p>
    <w:p>
      <w:pPr>
        <w:spacing w:after="0" w:line="127" w:lineRule="exact"/>
        <w:rPr>
          <w:sz w:val="20"/>
          <w:szCs w:val="20"/>
          <w:color w:val="auto"/>
        </w:rPr>
      </w:pPr>
    </w:p>
    <w:p>
      <w:pPr>
        <w:ind w:right="20" w:firstLine="571"/>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15" w:lineRule="exact"/>
        <w:rPr>
          <w:sz w:val="20"/>
          <w:szCs w:val="20"/>
          <w:color w:val="auto"/>
        </w:rPr>
      </w:pPr>
    </w:p>
    <w:p>
      <w:pPr>
        <w:ind w:right="480" w:firstLine="571"/>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140" w:firstLine="571"/>
        <w:spacing w:after="0" w:line="335" w:lineRule="auto"/>
        <w:rPr>
          <w:sz w:val="20"/>
          <w:szCs w:val="20"/>
          <w:color w:val="auto"/>
        </w:rPr>
      </w:pPr>
      <w:r>
        <w:rPr>
          <w:rFonts w:ascii="Arial" w:cs="Arial" w:eastAsia="Arial" w:hAnsi="Arial"/>
          <w:sz w:val="15"/>
          <w:szCs w:val="15"/>
          <w:color w:val="auto"/>
        </w:rPr>
        <w:t>Certain legal matters in connection with any offering of securities made by this prospectus will be passed upon for us by Shaw Pittman LLP, a law partnership including professional corporations. In addition, the description of federal income tax consequences contained in this prospectus under “Federal Income Tax Consequences” is, to the extent that it constitutes matters of law, summaries of legal matters or legal conclusions, the opinion of Shaw Pittman LLP.</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jc w:val="both"/>
        <w:ind w:right="20" w:firstLine="571"/>
        <w:spacing w:after="0" w:line="323" w:lineRule="auto"/>
        <w:rPr>
          <w:sz w:val="20"/>
          <w:szCs w:val="20"/>
          <w:color w:val="auto"/>
        </w:rPr>
      </w:pPr>
      <w:r>
        <w:rPr>
          <w:rFonts w:ascii="Arial" w:cs="Arial" w:eastAsia="Arial" w:hAnsi="Arial"/>
          <w:sz w:val="15"/>
          <w:szCs w:val="15"/>
          <w:color w:val="auto"/>
        </w:rPr>
        <w:t>The consolidated balance sheet as of December 31, 2002 and the consolidated statements of operations, common shareholders’ equity and cash flows for the year ended December 31, 2002 appearing in our Annual Report on Form 10-K for the fiscal year ended December 31, 2002 and incorporated by reference into this prospectus and elsewhere in the registration statement, have been audited by Grant Thornton LLP, independent public accountants, as indicated in their report with respect thereto, and are incorporated by reference herein and therein in reliance upon the authority of said firm as experts in giving said report.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NOTICE REGARDING ARTHUR ANDERSEN LLP</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On June 4, 2002, we announced that we had appointed Grant Thornton LLP as our independent auditor for fiscal year 2002, replacing Arthur Andersen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151"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Section 11(a) of the Securities Act of 1933, as amended, provides that if any part of a registration statement at the time it becomes effective contains an untrue statement of a material fact or an omission to state a material fact required to be stated therein or necessary to make the statements therein not misleading, any person acquiring a security pursuant to the registration statement (unless it is proved that at the time of the acquisition the person knew of the untruth or omission) may sue, among others, every accountant who has consented to be named as having prepared or certified any part of the registration statement or as having prepared or certified any report or valuation which is used in connection with the registration statement with respect to the statement in the registration statement, report or valuation which purports to have been prepared or certified by the accountant.</w:t>
      </w:r>
    </w:p>
    <w:p>
      <w:pPr>
        <w:spacing w:after="0" w:line="107"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Prior to the date of this prospectus, the Arthur Andersen partners who reviewed our audited financial statements, as of December 31, 2001 and for each of the years ended December 31, 2001 and 2000, resigned from Arthur Andersen. As a result, after reasonable efforts, we have been unable to obtain Arthur Andersen’s written consent to the incorporation by reference into this registration statement of its audit reports with respect to those financial statements.</w:t>
      </w:r>
    </w:p>
    <w:p>
      <w:pPr>
        <w:spacing w:after="0" w:line="93" w:lineRule="exact"/>
        <w:rPr>
          <w:sz w:val="20"/>
          <w:szCs w:val="20"/>
          <w:color w:val="auto"/>
        </w:rPr>
      </w:pPr>
    </w:p>
    <w:p>
      <w:pPr>
        <w:ind w:right="320" w:firstLine="571"/>
        <w:spacing w:after="0" w:line="259" w:lineRule="auto"/>
        <w:rPr>
          <w:sz w:val="20"/>
          <w:szCs w:val="20"/>
          <w:color w:val="auto"/>
        </w:rPr>
      </w:pPr>
      <w:r>
        <w:rPr>
          <w:rFonts w:ascii="Arial" w:cs="Arial" w:eastAsia="Arial" w:hAnsi="Arial"/>
          <w:sz w:val="18"/>
          <w:szCs w:val="18"/>
          <w:color w:val="auto"/>
        </w:rPr>
        <w:t>Under these circumstances, Rule 437a under the Securities Act permits us to file this registration statement without a written consent from Arthur Andersen. Accordingly, Arthur Andersen will not be liable to you under Section 11(a) of the Securities Act because it has not consented to being named as an expert in the registration statement.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file annual, quarterly and special reports, proxy statements and other information with the SEC. Our SEC filings are available to the public at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Public Reference Section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Room 1200</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27" w:lineRule="exact"/>
        <w:rPr>
          <w:sz w:val="20"/>
          <w:szCs w:val="20"/>
          <w:color w:val="auto"/>
        </w:rPr>
      </w:pPr>
    </w:p>
    <w:p>
      <w:pPr>
        <w:ind w:firstLine="571"/>
        <w:spacing w:after="0" w:line="314" w:lineRule="auto"/>
        <w:rPr>
          <w:sz w:val="20"/>
          <w:szCs w:val="20"/>
          <w:color w:val="auto"/>
        </w:rPr>
      </w:pPr>
      <w:r>
        <w:rPr>
          <w:rFonts w:ascii="Arial" w:cs="Arial" w:eastAsia="Arial" w:hAnsi="Arial"/>
          <w:sz w:val="15"/>
          <w:szCs w:val="15"/>
          <w:color w:val="auto"/>
        </w:rPr>
        <w:t>The SEC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documents listed below as well as any future filings made with the SEC under Sections 13(a), 13(c), 14, or 15(d) of the Securities Exchange Act (Exchange Act File No. 1-07533) made from the date of this prospectus until we sell all of the securities under this prospectus as supplemented.</w:t>
      </w:r>
    </w:p>
    <w:p>
      <w:pPr>
        <w:spacing w:after="0" w:line="72" w:lineRule="exact"/>
        <w:rPr>
          <w:sz w:val="20"/>
          <w:szCs w:val="20"/>
          <w:color w:val="auto"/>
        </w:rPr>
      </w:pPr>
    </w:p>
    <w:p>
      <w:pPr>
        <w:ind w:left="800" w:hanging="225"/>
        <w:spacing w:after="0"/>
        <w:tabs>
          <w:tab w:leader="none" w:pos="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2002;</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2003;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March 25, 2003.</w:t>
      </w:r>
    </w:p>
    <w:p>
      <w:pPr>
        <w:spacing w:after="0" w:line="185"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 xml:space="preserve">Copies of these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Amendments to these filings will be posted to our website as soon as reasonably practical after filing with the SEC. In addition, you may request a copy of these filings and any amendments thereto at no cost, by writing or telephoning us. Those copies will not include exhibits to those documents unless the exhibits are specifically incorporated by reference in the documents or unless you specifically request them. You may also request copies of any exhibits to the registration statement.</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Please direct your request to:</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Vice President, Capital Markets and Investor Relations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1626 E. Jefferson Street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(301) 998-8100 or (301) 658-8980</w:t>
      </w:r>
    </w:p>
    <w:p>
      <w:pPr>
        <w:spacing w:after="0" w:line="151"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Our prospectus does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02"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left="4820"/>
        <w:spacing w:after="0"/>
        <w:rPr>
          <w:sz w:val="20"/>
          <w:szCs w:val="20"/>
          <w:color w:val="auto"/>
        </w:rPr>
      </w:pPr>
      <w:r>
        <w:rPr>
          <w:rFonts w:ascii="Arial" w:cs="Arial" w:eastAsia="Arial" w:hAnsi="Arial"/>
          <w:sz w:val="32"/>
          <w:szCs w:val="32"/>
          <w:b w:val="1"/>
          <w:bCs w:val="1"/>
          <w:color w:val="32406B"/>
        </w:rPr>
        <w:t>$125,000,000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24130</wp:posOffset>
            </wp:positionV>
            <wp:extent cx="2143760" cy="814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560"/>
        <w:spacing w:after="0"/>
        <w:rPr>
          <w:sz w:val="20"/>
          <w:szCs w:val="20"/>
          <w:color w:val="auto"/>
        </w:rPr>
      </w:pPr>
      <w:r>
        <w:rPr>
          <w:rFonts w:ascii="Arial" w:cs="Arial" w:eastAsia="Arial" w:hAnsi="Arial"/>
          <w:sz w:val="24"/>
          <w:szCs w:val="24"/>
          <w:b w:val="1"/>
          <w:bCs w:val="1"/>
          <w:color w:val="32406B"/>
        </w:rPr>
        <w:t>5.65% Notes due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186055</wp:posOffset>
            </wp:positionV>
            <wp:extent cx="19812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32406B"/>
        </w:rPr>
        <w:t>PROSPECTUS SUPPLEMENT</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32406B"/>
        </w:rPr>
        <w:t>November 29,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126365</wp:posOffset>
            </wp:positionV>
            <wp:extent cx="19812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32406B"/>
        </w:rPr>
        <w:t>Wachovia Securities</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32406B"/>
        </w:rPr>
        <w:t>Citigroup</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32406B"/>
        </w:rPr>
        <w:t>Bear, Stearns &amp; Co. Inc.</w:t>
      </w:r>
    </w:p>
    <w:p>
      <w:pPr>
        <w:spacing w:after="0" w:line="156"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32406B"/>
        </w:rPr>
        <w:t>Merrill Lynch &amp; Co.</w:t>
      </w:r>
    </w:p>
    <w:p>
      <w:pPr>
        <w:spacing w:after="0" w:line="15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32406B"/>
        </w:rPr>
        <w:t>Commerzbank Corporates and Markets</w:t>
      </w:r>
    </w:p>
    <w:p>
      <w:pPr>
        <w:spacing w:after="0" w:line="179"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32406B"/>
        </w:rPr>
        <w:t>JPMorgan</w:t>
      </w:r>
    </w:p>
    <w:p>
      <w:pPr>
        <w:spacing w:after="0" w:line="156"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32406B"/>
        </w:rPr>
        <w:t>PNC Capital Markets, Inc.</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lvl w:ilvl="1">
      <w:lvlJc w:val="left"/>
      <w:lvlText w:val="Ø"/>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decimal"/>
      <w:start w:val="2"/>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lvl w:ilvl="1">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1)"/>
      <w:numFmt w:val="decimal"/>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lvl w:ilvl="1">
      <w:lvlJc w:val="left"/>
      <w:lvlText w:val="•"/>
      <w:numFmt w:val="bullet"/>
      <w:start w:val="1"/>
    </w:lvl>
  </w:abstractNum>
  <w:abstractNum w:abstractNumId="26">
    <w:nsid w:val="23F9C13C"/>
    <w:multiLevelType w:val="hybridMultilevel"/>
    <w:lvl w:ilvl="0">
      <w:lvlJc w:val="left"/>
      <w:lvlText w:val="•"/>
      <w:numFmt w:val="bullet"/>
      <w:start w:val="1"/>
    </w:lvl>
    <w:lvl w:ilvl="1">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1."/>
      <w:numFmt w:val="decimal"/>
      <w:start w:val="1"/>
    </w:lvl>
    <w:lvl w:ilvl="1">
      <w:lvlJc w:val="left"/>
      <w:lvlText w:val="(%2)"/>
      <w:numFmt w:val="lowerLetter"/>
      <w:start w:val="1"/>
    </w:lvl>
  </w:abstractNum>
  <w:abstractNum w:abstractNumId="33">
    <w:nsid w:val="47398C89"/>
    <w:multiLevelType w:val="hybridMultilevel"/>
    <w:lvl w:ilvl="0">
      <w:lvlJc w:val="left"/>
      <w:lvlText w:val="%1."/>
      <w:numFmt w:val="decimal"/>
      <w:start w:val="7"/>
    </w:lvl>
    <w:lvl w:ilvl="1">
      <w:lvlJc w:val="left"/>
      <w:lvlText w:val="(%2)"/>
      <w:numFmt w:val="lowerLetter"/>
      <w:start w:val="1"/>
    </w:lvl>
  </w:abstractNum>
  <w:abstractNum w:abstractNumId="34">
    <w:nsid w:val="354FE9F9"/>
    <w:multiLevelType w:val="hybridMultilevel"/>
    <w:lvl w:ilvl="0">
      <w:lvlJc w:val="left"/>
      <w:lvlText w:val="%1"/>
      <w:numFmt w:val="decimal"/>
      <w:start w:val="1"/>
    </w:lvl>
    <w:lvl w:ilvl="1">
      <w:lvlJc w:val="left"/>
      <w:lvlText w:val="(%2)"/>
      <w:numFmt w:val="lowerLetter"/>
      <w:start w:val="4"/>
    </w:lvl>
  </w:abstractNum>
  <w:abstractNum w:abstractNumId="35">
    <w:nsid w:val="15B5AF5C"/>
    <w:multiLevelType w:val="hybridMultilevel"/>
    <w:lvl w:ilvl="0">
      <w:lvlJc w:val="left"/>
      <w:lvlText w:val="%1."/>
      <w:numFmt w:val="decimal"/>
      <w:start w:val="8"/>
    </w:lvl>
    <w:lvl w:ilvl="1">
      <w:lvlJc w:val="left"/>
      <w:lvlText w:val="%2"/>
      <w:numFmt w:val="lowerLetter"/>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lvl w:ilvl="1">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a"/>
      <w:numFmt w:val="bullet"/>
      <w:start w:val="1"/>
    </w:lvl>
    <w:lvl w:ilvl="1">
      <w:lvlJc w:val="left"/>
      <w:lvlText w:val="•"/>
      <w:numFmt w:val="bullet"/>
      <w:start w:val="1"/>
    </w:lvl>
  </w:abstractNum>
  <w:abstractNum w:abstractNumId="40">
    <w:nsid w:val="61574095"/>
    <w:multiLevelType w:val="hybridMultilevel"/>
    <w:lvl w:ilvl="0">
      <w:lvlJc w:val="left"/>
      <w:lvlText w:val="•"/>
      <w:numFmt w:val="bullet"/>
      <w:start w:val="1"/>
    </w:lvl>
    <w:lvl w:ilvl="1">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
      <w:numFmt w:val="bullet"/>
      <w:start w:val="1"/>
    </w:lvl>
  </w:abstractNum>
  <w:abstractNum w:abstractNumId="58">
    <w:nsid w:val="799D0247"/>
    <w:multiLevelType w:val="hybridMultilevel"/>
    <w:lvl w:ilvl="0">
      <w:lvlJc w:val="left"/>
      <w:lvlText w:val="•"/>
      <w:numFmt w:val="bullet"/>
      <w:start w:val="1"/>
    </w:lvl>
    <w:lvl w:ilvl="1">
      <w:lvlJc w:val="left"/>
      <w:lvlText w:val="•"/>
      <w:numFmt w:val="bullet"/>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
      <w:numFmt w:val="bullet"/>
      <w:start w:val="1"/>
    </w:lvl>
  </w:abstractNum>
  <w:abstractNum w:abstractNumId="70">
    <w:nsid w:val="11447B73"/>
    <w:multiLevelType w:val="hybridMultilevel"/>
    <w:lvl w:ilvl="0">
      <w:lvlJc w:val="left"/>
      <w:lvlText w:val="%1."/>
      <w:numFmt w:val="decimal"/>
      <w:start w:val="1"/>
    </w:lvl>
  </w:abstractNum>
  <w:abstractNum w:abstractNumId="71">
    <w:nsid w:val="42963E5A"/>
    <w:multiLevelType w:val="hybridMultilevel"/>
    <w:lvl w:ilvl="0">
      <w:lvlJc w:val="left"/>
      <w:lvlText w:val="•"/>
      <w:numFmt w:val="bullet"/>
      <w:start w:val="1"/>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
      <w:numFmt w:val="bullet"/>
      <w:start w:val="1"/>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
      <w:numFmt w:val="bullet"/>
      <w:start w:val="1"/>
    </w:lvl>
  </w:abstractNum>
  <w:abstractNum w:abstractNumId="77">
    <w:nsid w:val="4962813B"/>
    <w:multiLevelType w:val="hybridMultilevel"/>
    <w:lvl w:ilvl="0">
      <w:lvlJc w:val="left"/>
      <w:lvlText w:val="•"/>
      <w:numFmt w:val="bullet"/>
      <w:start w:val="1"/>
    </w:lvl>
    <w:lvl w:ilvl="1">
      <w:lvlJc w:val="left"/>
      <w:lvlText w:val="•"/>
      <w:numFmt w:val="bullet"/>
      <w:start w:val="1"/>
    </w:lvl>
  </w:abstractNum>
  <w:abstractNum w:abstractNumId="78">
    <w:nsid w:val="60B6DF70"/>
    <w:multiLevelType w:val="hybridMultilevel"/>
    <w:lvl w:ilvl="0">
      <w:lvlJc w:val="left"/>
      <w:lvlText w:val="•"/>
      <w:numFmt w:val="bullet"/>
      <w:start w:val="1"/>
    </w:lvl>
  </w:abstractNum>
  <w:abstractNum w:abstractNumId="79">
    <w:nsid w:val="6A5EE64"/>
    <w:multiLevelType w:val="hybridMultilevel"/>
    <w:lvl w:ilvl="0">
      <w:lvlJc w:val="left"/>
      <w:lvlText w:val="•"/>
      <w:numFmt w:val="bullet"/>
      <w:start w:val="1"/>
    </w:lvl>
  </w:abstractNum>
  <w:abstractNum w:abstractNumId="80">
    <w:nsid w:val="14330624"/>
    <w:multiLevelType w:val="hybridMultilevel"/>
    <w:lvl w:ilvl="0">
      <w:lvlJc w:val="left"/>
      <w:lvlText w:val="•"/>
      <w:numFmt w:val="bullet"/>
      <w:start w:val="1"/>
    </w:lvl>
  </w:abstractNum>
  <w:abstractNum w:abstractNumId="81">
    <w:nsid w:val="7FFFCA11"/>
    <w:multiLevelType w:val="hybridMultilevel"/>
    <w:lvl w:ilvl="0">
      <w:lvlJc w:val="left"/>
      <w:lvlText w:val="•"/>
      <w:numFmt w:val="bullet"/>
      <w:start w:val="1"/>
    </w:lvl>
  </w:abstractNum>
  <w:abstractNum w:abstractNumId="82">
    <w:nsid w:val="1A2770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2019-12-13T00:45:02Z</dcterms:created>
  <dcterms:modified xsi:type="dcterms:W3CDTF">2019-12-13T00:45:02Z</dcterms:modified>
</cp:coreProperties>
</file>