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154940</wp:posOffset>
            </wp:positionH>
            <wp:positionV relativeFrom="page">
              <wp:posOffset>154940</wp:posOffset>
            </wp:positionV>
            <wp:extent cx="725233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29845"/>
                    </a:xfrm>
                    <a:prstGeom prst="rect">
                      <a:avLst/>
                    </a:prstGeom>
                    <a:noFill/>
                  </pic:spPr>
                </pic:pic>
              </a:graphicData>
            </a:graphic>
          </wp:anchor>
        </w:drawing>
        <w:t>SECURITIES AND EXCHANGE COMMISSION</w:t>
      </w:r>
    </w:p>
    <w:p>
      <w:pPr>
        <w:spacing w:after="0" w:line="31" w:lineRule="exact"/>
        <w:rPr>
          <w:sz w:val="24"/>
          <w:szCs w:val="24"/>
          <w:color w:val="auto"/>
        </w:rPr>
      </w:pPr>
    </w:p>
    <w:p>
      <w:pPr>
        <w:ind w:left="46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163195</wp:posOffset>
            </wp:positionV>
            <wp:extent cx="1249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183515</wp:posOffset>
            </wp:positionV>
            <wp:extent cx="1249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519"/>
        <w:spacing w:after="0"/>
        <w:rPr>
          <w:sz w:val="20"/>
          <w:szCs w:val="20"/>
          <w:color w:val="auto"/>
        </w:rPr>
      </w:pPr>
      <w:r>
        <w:rPr>
          <w:rFonts w:ascii="Arial" w:cs="Arial" w:eastAsia="Arial" w:hAnsi="Arial"/>
          <w:sz w:val="21"/>
          <w:szCs w:val="21"/>
          <w:b w:val="1"/>
          <w:bCs w:val="1"/>
          <w:color w:val="auto"/>
        </w:rPr>
        <w:t>CURRENT REPORT</w:t>
      </w:r>
    </w:p>
    <w:p>
      <w:pPr>
        <w:spacing w:after="0" w:line="147" w:lineRule="exact"/>
        <w:rPr>
          <w:sz w:val="24"/>
          <w:szCs w:val="24"/>
          <w:color w:val="auto"/>
        </w:rPr>
      </w:pPr>
    </w:p>
    <w:p>
      <w:pPr>
        <w:jc w:val="center"/>
        <w:ind w:right="-5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71" w:lineRule="exact"/>
        <w:rPr>
          <w:sz w:val="24"/>
          <w:szCs w:val="24"/>
          <w:color w:val="auto"/>
        </w:rPr>
      </w:pPr>
    </w:p>
    <w:p>
      <w:pPr>
        <w:ind w:left="3260"/>
        <w:spacing w:after="0"/>
        <w:rPr>
          <w:sz w:val="20"/>
          <w:szCs w:val="20"/>
          <w:color w:val="auto"/>
        </w:rPr>
      </w:pPr>
      <w:r>
        <w:rPr>
          <w:rFonts w:ascii="Arial" w:cs="Arial" w:eastAsia="Arial" w:hAnsi="Arial"/>
          <w:sz w:val="17"/>
          <w:szCs w:val="17"/>
          <w:b w:val="1"/>
          <w:bCs w:val="1"/>
          <w:color w:val="auto"/>
        </w:rPr>
        <w:t>Date of Report (Date of earliest event reported) November 3,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182245</wp:posOffset>
            </wp:positionV>
            <wp:extent cx="1249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519"/>
        <w:spacing w:after="0"/>
        <w:rPr>
          <w:sz w:val="20"/>
          <w:szCs w:val="20"/>
          <w:color w:val="auto"/>
        </w:rPr>
      </w:pPr>
      <w:r>
        <w:rPr>
          <w:rFonts w:ascii="Arial" w:cs="Arial" w:eastAsia="Arial" w:hAnsi="Arial"/>
          <w:sz w:val="43"/>
          <w:szCs w:val="43"/>
          <w:b w:val="1"/>
          <w:bCs w:val="1"/>
          <w:color w:val="auto"/>
        </w:rPr>
        <w:t>Federal Realty Investment Trust</w:t>
      </w:r>
    </w:p>
    <w:p>
      <w:pPr>
        <w:spacing w:after="0" w:line="45" w:lineRule="exact"/>
        <w:rPr>
          <w:sz w:val="24"/>
          <w:szCs w:val="24"/>
          <w:color w:val="auto"/>
        </w:rPr>
      </w:pPr>
    </w:p>
    <w:p>
      <w:pPr>
        <w:ind w:left="424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159385</wp:posOffset>
            </wp:positionV>
            <wp:extent cx="1249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ectPr>
          <w:pgSz w:w="11900" w:h="16838" w:orient="portrait"/>
          <w:cols w:equalWidth="0" w:num="1">
            <w:col w:w="10920"/>
          </w:cols>
          <w:pgMar w:left="240" w:top="353" w:right="739"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232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54" w:lineRule="exact"/>
        <w:rPr>
          <w:sz w:val="24"/>
          <w:szCs w:val="24"/>
          <w:color w:val="auto"/>
        </w:rPr>
      </w:pPr>
    </w:p>
    <w:p>
      <w:pPr>
        <w:sectPr>
          <w:pgSz w:w="11900" w:h="16838" w:orient="portrait"/>
          <w:cols w:equalWidth="0" w:num="3">
            <w:col w:w="4840" w:space="720"/>
            <w:col w:w="2900" w:space="720"/>
            <w:col w:w="1740"/>
          </w:cols>
          <w:pgMar w:left="240" w:top="353" w:right="7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2" w:lineRule="exact"/>
        <w:rPr>
          <w:sz w:val="24"/>
          <w:szCs w:val="24"/>
          <w:color w:val="auto"/>
        </w:rPr>
      </w:pPr>
    </w:p>
    <w:p>
      <w:pPr>
        <w:jc w:val="center"/>
        <w:ind w:right="4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800"/>
        <w:spacing w:after="0"/>
        <w:rPr>
          <w:sz w:val="20"/>
          <w:szCs w:val="20"/>
          <w:color w:val="auto"/>
        </w:rPr>
      </w:pPr>
      <w:r>
        <w:rPr>
          <w:rFonts w:ascii="Arial" w:cs="Arial" w:eastAsia="Arial" w:hAnsi="Arial"/>
          <w:sz w:val="13"/>
          <w:szCs w:val="13"/>
          <w:b w:val="1"/>
          <w:bCs w:val="1"/>
          <w:color w:val="auto"/>
        </w:rPr>
        <w:t>(IRS Employer</w:t>
      </w:r>
    </w:p>
    <w:p>
      <w:pPr>
        <w:jc w:val="center"/>
        <w:ind w:right="800"/>
        <w:spacing w:after="0"/>
        <w:rPr>
          <w:sz w:val="20"/>
          <w:szCs w:val="20"/>
          <w:color w:val="auto"/>
        </w:rPr>
      </w:pPr>
      <w:r>
        <w:rPr>
          <w:rFonts w:ascii="Arial" w:cs="Arial" w:eastAsia="Arial" w:hAnsi="Arial"/>
          <w:sz w:val="12"/>
          <w:szCs w:val="12"/>
          <w:b w:val="1"/>
          <w:bCs w:val="1"/>
          <w:color w:val="auto"/>
        </w:rPr>
        <w:t>Identification No.)</w:t>
      </w:r>
    </w:p>
    <w:p>
      <w:pPr>
        <w:spacing w:after="0" w:line="154" w:lineRule="exact"/>
        <w:rPr>
          <w:sz w:val="24"/>
          <w:szCs w:val="24"/>
          <w:color w:val="auto"/>
        </w:rPr>
      </w:pPr>
    </w:p>
    <w:p>
      <w:pPr>
        <w:sectPr>
          <w:pgSz w:w="11900" w:h="16838" w:orient="portrait"/>
          <w:cols w:equalWidth="0" w:num="3">
            <w:col w:w="4360" w:space="720"/>
            <w:col w:w="3280" w:space="720"/>
            <w:col w:w="1840"/>
          </w:cols>
          <w:pgMar w:left="240" w:top="353" w:right="739" w:bottom="1440" w:gutter="0" w:footer="0" w:header="0"/>
          <w:type w:val="continuous"/>
        </w:sectPr>
      </w:pPr>
    </w:p>
    <w:p>
      <w:pPr>
        <w:ind w:left="110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5" w:lineRule="exact"/>
        <w:rPr>
          <w:sz w:val="24"/>
          <w:szCs w:val="24"/>
          <w:color w:val="auto"/>
        </w:rPr>
      </w:pPr>
    </w:p>
    <w:p>
      <w:pPr>
        <w:sectPr>
          <w:pgSz w:w="11900" w:h="16838" w:orient="portrait"/>
          <w:cols w:equalWidth="0" w:num="2">
            <w:col w:w="7540" w:space="720"/>
            <w:col w:w="2660"/>
          </w:cols>
          <w:pgMar w:left="240" w:top="353" w:right="739" w:bottom="1440" w:gutter="0" w:footer="0" w:header="0"/>
          <w:type w:val="continuous"/>
        </w:sectPr>
      </w:pPr>
    </w:p>
    <w:p>
      <w:pPr>
        <w:ind w:left="17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3" w:lineRule="exact"/>
        <w:rPr>
          <w:sz w:val="24"/>
          <w:szCs w:val="24"/>
          <w:color w:val="auto"/>
        </w:rPr>
      </w:pPr>
    </w:p>
    <w:p>
      <w:pPr>
        <w:sectPr>
          <w:pgSz w:w="11900" w:h="16838" w:orient="portrait"/>
          <w:cols w:equalWidth="0" w:num="2">
            <w:col w:w="7660" w:space="720"/>
            <w:col w:w="2540"/>
          </w:cols>
          <w:pgMar w:left="240" w:top="353" w:right="739" w:bottom="1440" w:gutter="0" w:footer="0" w:header="0"/>
          <w:type w:val="continuous"/>
        </w:sectPr>
      </w:pPr>
    </w:p>
    <w:p>
      <w:pPr>
        <w:ind w:left="3280"/>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182245</wp:posOffset>
            </wp:positionV>
            <wp:extent cx="1249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line="29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96"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65" w:lineRule="exact"/>
        <w:rPr>
          <w:rFonts w:ascii="MS PGothic" w:cs="MS PGothic" w:eastAsia="MS PGothic" w:hAnsi="MS PGothic"/>
          <w:sz w:val="17"/>
          <w:szCs w:val="17"/>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65" w:lineRule="exact"/>
        <w:rPr>
          <w:rFonts w:ascii="MS PGothic" w:cs="MS PGothic" w:eastAsia="MS PGothic" w:hAnsi="MS PGothic"/>
          <w:sz w:val="17"/>
          <w:szCs w:val="17"/>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65" w:lineRule="exact"/>
        <w:rPr>
          <w:rFonts w:ascii="MS PGothic" w:cs="MS PGothic" w:eastAsia="MS PGothic" w:hAnsi="MS PGothic"/>
          <w:sz w:val="17"/>
          <w:szCs w:val="17"/>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176530</wp:posOffset>
            </wp:positionV>
            <wp:extent cx="725233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9845"/>
                    </a:xfrm>
                    <a:prstGeom prst="rect">
                      <a:avLst/>
                    </a:prstGeom>
                    <a:noFill/>
                  </pic:spPr>
                </pic:pic>
              </a:graphicData>
            </a:graphic>
          </wp:anchor>
        </w:drawing>
      </w:r>
    </w:p>
    <w:p>
      <w:pPr>
        <w:sectPr>
          <w:pgSz w:w="11900" w:h="16838" w:orient="portrait"/>
          <w:cols w:equalWidth="0" w:num="1">
            <w:col w:w="10920"/>
          </w:cols>
          <w:pgMar w:left="240" w:top="353" w:right="739" w:bottom="1440" w:gutter="0" w:footer="0" w:header="0"/>
          <w:type w:val="continuous"/>
        </w:sectPr>
      </w:pPr>
    </w:p>
    <w:bookmarkStart w:id="1" w:name="page2"/>
    <w:bookmarkEnd w:id="1"/>
    <w:p>
      <w:pPr>
        <w:ind w:firstLine="456"/>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845" cy="27305"/>
                    </a:xfrm>
                    <a:prstGeom prst="rect">
                      <a:avLst/>
                    </a:prstGeom>
                    <a:noFill/>
                  </pic:spPr>
                </pic:pic>
              </a:graphicData>
            </a:graphic>
          </wp:anchor>
        </w:drawing>
        <w:t>On November 3, 2004, Federal Realty Investment Trust (the “Trust”) filed a Form 8-K, dated November 3, 2004, for the purpose of furnishing supplemental data pertaining to its operations, as well as a press release, relating to its financial results for the quarter ended September 30, 2004. The supplemental data and press release were furnished as Exhibit 99.1 to that Form 8-K.</w:t>
      </w:r>
    </w:p>
    <w:p>
      <w:pPr>
        <w:spacing w:after="0" w:line="11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Trust is amending the November 3 Form 8-K to replace the “Reconciliation of Net Income to FFO Guidance” at September 30, 2004 that was set forth as Item 12 of the Supplemental Information included in Exhibit 99.1 of that Form 8-K with the “Reconciliation of Net Income Guidance to FFO Guidance “ at September 30, 2004 set forth as Item 12 of the Supplemental Information included in Exhibit 99.1 of this Form 8-K/A. In accordance with applicable rules of the Securities and Exchange Commission, the Trust is refurnishing Exhibit 99.1 in its entirety.</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2.02. Results of Operations and Financial Condition.</w:t>
      </w:r>
    </w:p>
    <w:p>
      <w:pPr>
        <w:spacing w:after="0" w:line="92"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color w:val="auto"/>
        </w:rPr>
        <w:t>The information contained in this Form 8-K/A, including the exhibit hereto, is being furnished under Item 2.02 - Results of Operations and Financial Condition, and shall not be deemed “filed” for any purpose, including for the purposes of Section 18 of the Securities Exchange Act of 1934, as amended (the “Exchange Act”), or otherwise subject to the liabilities of that Section. The information in this Form 8-K/A shall not be deemed incorporated by reference into any filing under the Securities Act of 1933, as amended, or under the Exchange Act, regardless of any general incorporation language in such filing.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92" w:lineRule="exact"/>
        <w:rPr>
          <w:sz w:val="20"/>
          <w:szCs w:val="20"/>
          <w:color w:val="auto"/>
        </w:rPr>
      </w:pPr>
    </w:p>
    <w:p>
      <w:pPr>
        <w:ind w:left="920" w:hanging="458"/>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86"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portfolio information at September 30, 2004 (including press release dated November 3, 2004)</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172" w:lineRule="exact"/>
        <w:rPr>
          <w:sz w:val="20"/>
          <w:szCs w:val="20"/>
          <w:color w:val="auto"/>
        </w:rPr>
      </w:pPr>
    </w:p>
    <w:p>
      <w:pPr>
        <w:ind w:right="60" w:firstLine="456"/>
        <w:spacing w:after="0" w:line="29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90"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FEDERAL REALTY INVESTMENT TRUST</w:t>
      </w:r>
    </w:p>
    <w:p>
      <w:pPr>
        <w:spacing w:after="0" w:line="239"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November 5, 2004</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85090</wp:posOffset>
            </wp:positionV>
            <wp:extent cx="3543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3300" cy="8255"/>
                    </a:xfrm>
                    <a:prstGeom prst="rect">
                      <a:avLst/>
                    </a:prstGeom>
                    <a:noFill/>
                  </pic:spPr>
                </pic:pic>
              </a:graphicData>
            </a:graphic>
          </wp:anchor>
        </w:drawing>
      </w:r>
    </w:p>
    <w:p>
      <w:pPr>
        <w:spacing w:after="0" w:line="2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Larry E. Finger</w:t>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Senior Vice President,</w:t>
      </w:r>
    </w:p>
    <w:p>
      <w:pPr>
        <w:spacing w:after="0" w:line="1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Chief Financial Officer and Treasurer</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278" w:right="299" w:bottom="1440" w:gutter="0" w:footer="0" w:header="0"/>
        </w:sectPr>
      </w:pPr>
    </w:p>
    <w:bookmarkStart w:id="2" w:name="page3"/>
    <w:bookmarkEnd w:id="2"/>
    <w:p>
      <w:pPr>
        <w:jc w:val="right"/>
        <w:ind w:right="38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845" cy="27305"/>
                    </a:xfrm>
                    <a:prstGeom prst="rect">
                      <a:avLst/>
                    </a:prstGeom>
                    <a:noFill/>
                  </pic:spPr>
                </pic:pic>
              </a:graphicData>
            </a:graphic>
          </wp:anchor>
        </w:drawing>
        <w:t>EXHIBIT INDEX</w:t>
      </w:r>
    </w:p>
    <w:p>
      <w:pPr>
        <w:spacing w:after="0" w:line="161" w:lineRule="exact"/>
        <w:rPr>
          <w:sz w:val="20"/>
          <w:szCs w:val="20"/>
          <w:color w:val="auto"/>
        </w:rPr>
      </w:pPr>
    </w:p>
    <w:p>
      <w:pPr>
        <w:spacing w:after="0"/>
        <w:tabs>
          <w:tab w:leader="none" w:pos="940" w:val="left"/>
        </w:tabs>
        <w:rPr>
          <w:sz w:val="20"/>
          <w:szCs w:val="20"/>
          <w:color w:val="auto"/>
        </w:rPr>
      </w:pPr>
      <w:r>
        <w:rPr>
          <w:rFonts w:ascii="Arial" w:cs="Arial" w:eastAsia="Arial" w:hAnsi="Arial"/>
          <w:sz w:val="13"/>
          <w:szCs w:val="13"/>
          <w:b w:val="1"/>
          <w:bCs w:val="1"/>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960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10"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September 30, 2004</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278"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r>
      <w:tr>
        <w:trPr>
          <w:trHeight w:val="361"/>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gridSpan w:val="2"/>
          </w:tcPr>
          <w:p>
            <w:pPr>
              <w:jc w:val="center"/>
              <w:ind w:right="1120"/>
              <w:spacing w:after="0"/>
              <w:rPr>
                <w:sz w:val="20"/>
                <w:szCs w:val="20"/>
                <w:color w:val="auto"/>
              </w:rPr>
            </w:pPr>
            <w:r>
              <w:rPr>
                <w:rFonts w:ascii="Arial" w:cs="Arial" w:eastAsia="Arial" w:hAnsi="Arial"/>
                <w:sz w:val="17"/>
                <w:szCs w:val="17"/>
                <w:b w:val="1"/>
                <w:bCs w:val="1"/>
                <w:color w:val="auto"/>
              </w:rPr>
              <w:t>FEDERAL REALTY INVESTMENT TRUST</w:t>
            </w:r>
          </w:p>
        </w:tc>
        <w:tc>
          <w:tcPr>
            <w:tcW w:w="2440" w:type="dxa"/>
            <w:vAlign w:val="bottom"/>
          </w:tcPr>
          <w:p>
            <w:pPr>
              <w:spacing w:after="0"/>
              <w:rPr>
                <w:sz w:val="24"/>
                <w:szCs w:val="24"/>
                <w:color w:val="auto"/>
              </w:rPr>
            </w:pPr>
          </w:p>
        </w:tc>
      </w:tr>
      <w:tr>
        <w:trPr>
          <w:trHeight w:val="354"/>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gridSpan w:val="2"/>
          </w:tcPr>
          <w:p>
            <w:pPr>
              <w:jc w:val="center"/>
              <w:ind w:right="1120"/>
              <w:spacing w:after="0"/>
              <w:rPr>
                <w:sz w:val="20"/>
                <w:szCs w:val="20"/>
                <w:color w:val="auto"/>
              </w:rPr>
            </w:pPr>
            <w:r>
              <w:rPr>
                <w:rFonts w:ascii="Arial" w:cs="Arial" w:eastAsia="Arial" w:hAnsi="Arial"/>
                <w:sz w:val="17"/>
                <w:szCs w:val="17"/>
                <w:color w:val="auto"/>
                <w:w w:val="93"/>
              </w:rPr>
              <w:t>Supplemental Information</w:t>
            </w:r>
          </w:p>
        </w:tc>
        <w:tc>
          <w:tcPr>
            <w:tcW w:w="2440" w:type="dxa"/>
            <w:vAlign w:val="bottom"/>
          </w:tcPr>
          <w:p>
            <w:pPr>
              <w:spacing w:after="0"/>
              <w:rPr>
                <w:sz w:val="24"/>
                <w:szCs w:val="24"/>
                <w:color w:val="auto"/>
              </w:rPr>
            </w:pPr>
          </w:p>
        </w:tc>
      </w:tr>
      <w:tr>
        <w:trPr>
          <w:trHeight w:val="221"/>
        </w:trPr>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20" w:type="dxa"/>
            <w:vAlign w:val="bottom"/>
            <w:gridSpan w:val="2"/>
          </w:tcPr>
          <w:p>
            <w:pPr>
              <w:jc w:val="center"/>
              <w:ind w:right="1100"/>
              <w:spacing w:after="0"/>
              <w:rPr>
                <w:sz w:val="20"/>
                <w:szCs w:val="20"/>
                <w:color w:val="auto"/>
              </w:rPr>
            </w:pPr>
            <w:r>
              <w:rPr>
                <w:rFonts w:ascii="Arial" w:cs="Arial" w:eastAsia="Arial" w:hAnsi="Arial"/>
                <w:sz w:val="17"/>
                <w:szCs w:val="17"/>
                <w:color w:val="auto"/>
                <w:w w:val="90"/>
              </w:rPr>
              <w:t>September 30, 2004</w:t>
            </w:r>
          </w:p>
        </w:tc>
        <w:tc>
          <w:tcPr>
            <w:tcW w:w="2440" w:type="dxa"/>
            <w:vAlign w:val="bottom"/>
          </w:tcPr>
          <w:p>
            <w:pPr>
              <w:spacing w:after="0"/>
              <w:rPr>
                <w:sz w:val="19"/>
                <w:szCs w:val="19"/>
                <w:color w:val="auto"/>
              </w:rPr>
            </w:pPr>
          </w:p>
        </w:tc>
      </w:tr>
      <w:tr>
        <w:trPr>
          <w:trHeight w:val="361"/>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gridSpan w:val="2"/>
          </w:tcPr>
          <w:p>
            <w:pPr>
              <w:jc w:val="center"/>
              <w:ind w:right="1120"/>
              <w:spacing w:after="0"/>
              <w:rPr>
                <w:sz w:val="20"/>
                <w:szCs w:val="20"/>
                <w:color w:val="auto"/>
              </w:rPr>
            </w:pPr>
            <w:r>
              <w:rPr>
                <w:rFonts w:ascii="Arial" w:cs="Arial" w:eastAsia="Arial" w:hAnsi="Arial"/>
                <w:sz w:val="17"/>
                <w:szCs w:val="17"/>
                <w:b w:val="1"/>
                <w:bCs w:val="1"/>
                <w:color w:val="auto"/>
              </w:rPr>
              <w:t>TABLE OF CONTENTS</w:t>
            </w:r>
          </w:p>
        </w:tc>
        <w:tc>
          <w:tcPr>
            <w:tcW w:w="2440" w:type="dxa"/>
            <w:vAlign w:val="bottom"/>
          </w:tcPr>
          <w:p>
            <w:pPr>
              <w:spacing w:after="0"/>
              <w:rPr>
                <w:sz w:val="24"/>
                <w:szCs w:val="24"/>
                <w:color w:val="auto"/>
              </w:rPr>
            </w:pPr>
          </w:p>
        </w:tc>
      </w:tr>
      <w:tr>
        <w:trPr>
          <w:trHeight w:val="323"/>
        </w:trPr>
        <w:tc>
          <w:tcPr>
            <w:tcW w:w="560" w:type="dxa"/>
            <w:vAlign w:val="bottom"/>
          </w:tcPr>
          <w:p>
            <w:pPr>
              <w:jc w:val="right"/>
              <w:ind w:right="333"/>
              <w:spacing w:after="0"/>
              <w:rPr>
                <w:sz w:val="20"/>
                <w:szCs w:val="20"/>
                <w:color w:val="auto"/>
              </w:rPr>
            </w:pPr>
            <w:r>
              <w:rPr>
                <w:rFonts w:ascii="Arial" w:cs="Arial" w:eastAsia="Arial" w:hAnsi="Arial"/>
                <w:sz w:val="17"/>
                <w:szCs w:val="17"/>
                <w:color w:val="auto"/>
                <w:w w:val="84"/>
              </w:rPr>
              <w:t>1.</w:t>
            </w:r>
          </w:p>
        </w:tc>
        <w:tc>
          <w:tcPr>
            <w:tcW w:w="8420" w:type="dxa"/>
            <w:vAlign w:val="bottom"/>
            <w:gridSpan w:val="8"/>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Third Quarter 2004 Earnings Press Release</w:t>
              </w:r>
            </w:hyperlink>
          </w:p>
        </w:tc>
        <w:tc>
          <w:tcPr>
            <w:tcW w:w="24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33"/>
        </w:trPr>
        <w:tc>
          <w:tcPr>
            <w:tcW w:w="560" w:type="dxa"/>
            <w:vAlign w:val="bottom"/>
          </w:tcPr>
          <w:p>
            <w:pPr>
              <w:jc w:val="right"/>
              <w:ind w:right="333"/>
              <w:spacing w:after="0"/>
              <w:rPr>
                <w:sz w:val="20"/>
                <w:szCs w:val="20"/>
                <w:color w:val="auto"/>
              </w:rPr>
            </w:pPr>
            <w:r>
              <w:rPr>
                <w:rFonts w:ascii="Arial" w:cs="Arial" w:eastAsia="Arial" w:hAnsi="Arial"/>
                <w:sz w:val="17"/>
                <w:szCs w:val="17"/>
                <w:color w:val="auto"/>
                <w:w w:val="84"/>
              </w:rPr>
              <w:t>2.</w:t>
            </w:r>
          </w:p>
        </w:tc>
        <w:tc>
          <w:tcPr>
            <w:tcW w:w="3000" w:type="dxa"/>
            <w:vAlign w:val="bottom"/>
            <w:tcBorders>
              <w:top w:val="single" w:sz="8" w:color="0000EE"/>
            </w:tcBorders>
            <w:gridSpan w:val="6"/>
          </w:tcPr>
          <w:p>
            <w:pPr>
              <w:spacing w:after="0"/>
              <w:rPr>
                <w:sz w:val="20"/>
                <w:szCs w:val="20"/>
                <w:color w:val="auto"/>
              </w:rPr>
            </w:pPr>
            <w:r>
              <w:rPr>
                <w:rFonts w:ascii="Arial" w:cs="Arial" w:eastAsia="Arial" w:hAnsi="Arial"/>
                <w:sz w:val="17"/>
                <w:szCs w:val="17"/>
                <w:color w:val="auto"/>
              </w:rPr>
              <w:t>Financial Highlights</w:t>
            </w:r>
          </w:p>
        </w:tc>
        <w:tc>
          <w:tcPr>
            <w:tcW w:w="5420" w:type="dxa"/>
            <w:vAlign w:val="bottom"/>
            <w:gridSpan w:val="2"/>
          </w:tcPr>
          <w:p>
            <w:pPr>
              <w:spacing w:after="0"/>
              <w:rPr>
                <w:sz w:val="24"/>
                <w:szCs w:val="24"/>
                <w:color w:val="auto"/>
              </w:rPr>
            </w:pPr>
          </w:p>
        </w:tc>
        <w:tc>
          <w:tcPr>
            <w:tcW w:w="2440" w:type="dxa"/>
            <w:vAlign w:val="bottom"/>
          </w:tcPr>
          <w:p>
            <w:pPr>
              <w:spacing w:after="0"/>
              <w:rPr>
                <w:sz w:val="24"/>
                <w:szCs w:val="24"/>
                <w:color w:val="auto"/>
              </w:rPr>
            </w:pPr>
          </w:p>
        </w:tc>
      </w:tr>
      <w:tr>
        <w:trPr>
          <w:trHeight w:val="182"/>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920" w:type="dxa"/>
            <w:vAlign w:val="bottom"/>
            <w:gridSpan w:val="7"/>
          </w:tcPr>
          <w:p>
            <w:pPr>
              <w:spacing w:after="0" w:line="182" w:lineRule="exact"/>
              <w:rPr>
                <w:rFonts w:ascii="Arial" w:cs="Arial" w:eastAsia="Arial" w:hAnsi="Arial"/>
                <w:sz w:val="17"/>
                <w:szCs w:val="17"/>
                <w:color w:val="0000EE"/>
              </w:rPr>
            </w:pPr>
            <w:hyperlink w:anchor="page11">
              <w:r>
                <w:rPr>
                  <w:rFonts w:ascii="Arial" w:cs="Arial" w:eastAsia="Arial" w:hAnsi="Arial"/>
                  <w:sz w:val="17"/>
                  <w:szCs w:val="17"/>
                  <w:color w:val="0000EE"/>
                </w:rPr>
                <w:t>Summarized Operating Results</w:t>
              </w:r>
            </w:hyperlink>
          </w:p>
        </w:tc>
        <w:tc>
          <w:tcPr>
            <w:tcW w:w="2440" w:type="dxa"/>
            <w:vAlign w:val="bottom"/>
          </w:tcPr>
          <w:p>
            <w:pPr>
              <w:jc w:val="right"/>
              <w:spacing w:after="0" w:line="182" w:lineRule="exact"/>
              <w:rPr>
                <w:sz w:val="20"/>
                <w:szCs w:val="20"/>
                <w:color w:val="auto"/>
              </w:rPr>
            </w:pPr>
            <w:r>
              <w:rPr>
                <w:rFonts w:ascii="Arial" w:cs="Arial" w:eastAsia="Arial" w:hAnsi="Arial"/>
                <w:sz w:val="17"/>
                <w:szCs w:val="17"/>
                <w:color w:val="auto"/>
              </w:rPr>
              <w:t>8</w:t>
            </w: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Borders>
              <w:top w:val="single" w:sz="8" w:color="0000EE"/>
            </w:tcBorders>
            <w:gridSpan w:val="3"/>
          </w:tcPr>
          <w:p>
            <w:pPr>
              <w:spacing w:after="0" w:line="194" w:lineRule="exact"/>
              <w:rPr>
                <w:rFonts w:ascii="Arial" w:cs="Arial" w:eastAsia="Arial" w:hAnsi="Arial"/>
                <w:sz w:val="17"/>
                <w:szCs w:val="17"/>
                <w:color w:val="0000EE"/>
              </w:rPr>
            </w:pPr>
            <w:hyperlink w:anchor="page13">
              <w:r>
                <w:rPr>
                  <w:rFonts w:ascii="Arial" w:cs="Arial" w:eastAsia="Arial" w:hAnsi="Arial"/>
                  <w:sz w:val="17"/>
                  <w:szCs w:val="17"/>
                  <w:color w:val="0000EE"/>
                </w:rPr>
                <w:t>Summarized Balance Sheet</w:t>
              </w:r>
            </w:hyperlink>
          </w:p>
        </w:tc>
        <w:tc>
          <w:tcPr>
            <w:tcW w:w="5740" w:type="dxa"/>
            <w:vAlign w:val="bottom"/>
            <w:gridSpan w:val="4"/>
          </w:tcPr>
          <w:p>
            <w:pPr>
              <w:spacing w:after="0"/>
              <w:rPr>
                <w:sz w:val="16"/>
                <w:szCs w:val="16"/>
                <w:color w:val="auto"/>
              </w:rPr>
            </w:pPr>
          </w:p>
        </w:tc>
        <w:tc>
          <w:tcPr>
            <w:tcW w:w="2440" w:type="dxa"/>
            <w:vAlign w:val="bottom"/>
          </w:tcPr>
          <w:p>
            <w:pPr>
              <w:jc w:val="right"/>
              <w:spacing w:after="0" w:line="194" w:lineRule="exact"/>
              <w:rPr>
                <w:sz w:val="20"/>
                <w:szCs w:val="20"/>
                <w:color w:val="auto"/>
              </w:rPr>
            </w:pPr>
            <w:r>
              <w:rPr>
                <w:rFonts w:ascii="Arial" w:cs="Arial" w:eastAsia="Arial" w:hAnsi="Arial"/>
                <w:sz w:val="17"/>
                <w:szCs w:val="17"/>
                <w:color w:val="auto"/>
              </w:rPr>
              <w:t>9</w:t>
            </w:r>
          </w:p>
        </w:tc>
      </w:tr>
      <w:tr>
        <w:trPr>
          <w:trHeight w:val="20"/>
        </w:trPr>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920" w:type="dxa"/>
            <w:vAlign w:val="bottom"/>
            <w:gridSpan w:val="7"/>
          </w:tcPr>
          <w:p>
            <w:pPr>
              <w:spacing w:after="0" w:line="194" w:lineRule="exact"/>
              <w:rPr>
                <w:rFonts w:ascii="Arial" w:cs="Arial" w:eastAsia="Arial" w:hAnsi="Arial"/>
                <w:sz w:val="17"/>
                <w:szCs w:val="17"/>
                <w:color w:val="0000EE"/>
              </w:rPr>
            </w:pPr>
            <w:hyperlink w:anchor="page14">
              <w:r>
                <w:rPr>
                  <w:rFonts w:ascii="Arial" w:cs="Arial" w:eastAsia="Arial" w:hAnsi="Arial"/>
                  <w:sz w:val="17"/>
                  <w:szCs w:val="17"/>
                  <w:color w:val="0000EE"/>
                </w:rPr>
                <w:t>Funds From Operations / Summary of Capital Expenditures</w:t>
              </w:r>
            </w:hyperlink>
          </w:p>
        </w:tc>
        <w:tc>
          <w:tcPr>
            <w:tcW w:w="2440" w:type="dxa"/>
            <w:vAlign w:val="bottom"/>
          </w:tcPr>
          <w:p>
            <w:pPr>
              <w:jc w:val="right"/>
              <w:spacing w:after="0" w:line="194" w:lineRule="exact"/>
              <w:rPr>
                <w:sz w:val="20"/>
                <w:szCs w:val="20"/>
                <w:color w:val="auto"/>
              </w:rPr>
            </w:pPr>
            <w:r>
              <w:rPr>
                <w:rFonts w:ascii="Arial" w:cs="Arial" w:eastAsia="Arial" w:hAnsi="Arial"/>
                <w:sz w:val="17"/>
                <w:szCs w:val="17"/>
                <w:color w:val="auto"/>
              </w:rPr>
              <w:t>10</w:t>
            </w: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Borders>
              <w:top w:val="single" w:sz="8" w:color="0000EE"/>
            </w:tcBorders>
            <w:gridSpan w:val="6"/>
          </w:tcPr>
          <w:p>
            <w:pPr>
              <w:spacing w:after="0" w:line="194" w:lineRule="exact"/>
              <w:rPr>
                <w:rFonts w:ascii="Arial" w:cs="Arial" w:eastAsia="Arial" w:hAnsi="Arial"/>
                <w:sz w:val="17"/>
                <w:szCs w:val="17"/>
                <w:color w:val="0000EE"/>
              </w:rPr>
            </w:pPr>
            <w:hyperlink w:anchor="page15">
              <w:r>
                <w:rPr>
                  <w:rFonts w:ascii="Arial" w:cs="Arial" w:eastAsia="Arial" w:hAnsi="Arial"/>
                  <w:sz w:val="17"/>
                  <w:szCs w:val="17"/>
                  <w:color w:val="0000EE"/>
                </w:rPr>
                <w:t>Market Data / Capital Availability</w:t>
              </w:r>
            </w:hyperlink>
          </w:p>
        </w:tc>
        <w:tc>
          <w:tcPr>
            <w:tcW w:w="3760" w:type="dxa"/>
            <w:vAlign w:val="bottom"/>
          </w:tcPr>
          <w:p>
            <w:pPr>
              <w:spacing w:after="0"/>
              <w:rPr>
                <w:sz w:val="16"/>
                <w:szCs w:val="16"/>
                <w:color w:val="auto"/>
              </w:rPr>
            </w:pPr>
          </w:p>
        </w:tc>
        <w:tc>
          <w:tcPr>
            <w:tcW w:w="2440" w:type="dxa"/>
            <w:vAlign w:val="bottom"/>
          </w:tcPr>
          <w:p>
            <w:pPr>
              <w:jc w:val="right"/>
              <w:spacing w:after="0" w:line="194" w:lineRule="exact"/>
              <w:rPr>
                <w:sz w:val="20"/>
                <w:szCs w:val="20"/>
                <w:color w:val="auto"/>
              </w:rPr>
            </w:pPr>
            <w:r>
              <w:rPr>
                <w:rFonts w:ascii="Arial" w:cs="Arial" w:eastAsia="Arial" w:hAnsi="Arial"/>
                <w:sz w:val="17"/>
                <w:szCs w:val="17"/>
                <w:color w:val="auto"/>
              </w:rPr>
              <w:t>11</w:t>
            </w: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40" w:type="dxa"/>
            <w:vAlign w:val="bottom"/>
            <w:tcBorders>
              <w:top w:val="single" w:sz="8" w:color="0000EE"/>
              <w:bottom w:val="single" w:sz="8" w:color="0000EE"/>
            </w:tcBorders>
            <w:gridSpan w:val="2"/>
          </w:tcPr>
          <w:p>
            <w:pPr>
              <w:spacing w:after="0" w:line="194" w:lineRule="exact"/>
              <w:rPr>
                <w:rFonts w:ascii="Arial" w:cs="Arial" w:eastAsia="Arial" w:hAnsi="Arial"/>
                <w:sz w:val="17"/>
                <w:szCs w:val="17"/>
                <w:color w:val="0000EE"/>
                <w:w w:val="92"/>
              </w:rPr>
            </w:pPr>
            <w:hyperlink w:anchor="page16">
              <w:r>
                <w:rPr>
                  <w:rFonts w:ascii="Arial" w:cs="Arial" w:eastAsia="Arial" w:hAnsi="Arial"/>
                  <w:sz w:val="17"/>
                  <w:szCs w:val="17"/>
                  <w:color w:val="0000EE"/>
                  <w:w w:val="92"/>
                </w:rPr>
                <w:t>Components of Rental Income</w:t>
              </w:r>
            </w:hyperlink>
          </w:p>
        </w:tc>
        <w:tc>
          <w:tcPr>
            <w:tcW w:w="240" w:type="dxa"/>
            <w:vAlign w:val="bottom"/>
            <w:tcBorders>
              <w:top w:val="single" w:sz="8" w:color="0000EE"/>
            </w:tcBorders>
            <w:gridSpan w:val="2"/>
          </w:tcPr>
          <w:p>
            <w:pPr>
              <w:spacing w:after="0"/>
              <w:rPr>
                <w:sz w:val="16"/>
                <w:szCs w:val="16"/>
                <w:color w:val="auto"/>
              </w:rPr>
            </w:pPr>
          </w:p>
        </w:tc>
        <w:tc>
          <w:tcPr>
            <w:tcW w:w="5540" w:type="dxa"/>
            <w:vAlign w:val="bottom"/>
            <w:gridSpan w:val="3"/>
          </w:tcPr>
          <w:p>
            <w:pPr>
              <w:spacing w:after="0"/>
              <w:rPr>
                <w:sz w:val="16"/>
                <w:szCs w:val="16"/>
                <w:color w:val="auto"/>
              </w:rPr>
            </w:pPr>
          </w:p>
        </w:tc>
        <w:tc>
          <w:tcPr>
            <w:tcW w:w="2440" w:type="dxa"/>
            <w:vAlign w:val="bottom"/>
          </w:tcPr>
          <w:p>
            <w:pPr>
              <w:jc w:val="right"/>
              <w:spacing w:after="0" w:line="194" w:lineRule="exact"/>
              <w:rPr>
                <w:sz w:val="20"/>
                <w:szCs w:val="20"/>
                <w:color w:val="auto"/>
              </w:rPr>
            </w:pPr>
            <w:r>
              <w:rPr>
                <w:rFonts w:ascii="Arial" w:cs="Arial" w:eastAsia="Arial" w:hAnsi="Arial"/>
                <w:sz w:val="17"/>
                <w:szCs w:val="17"/>
                <w:color w:val="auto"/>
              </w:rPr>
              <w:t>12</w:t>
            </w:r>
          </w:p>
        </w:tc>
      </w:tr>
    </w:tbl>
    <w:p>
      <w:pPr>
        <w:spacing w:after="0" w:line="125" w:lineRule="exact"/>
        <w:rPr>
          <w:sz w:val="20"/>
          <w:szCs w:val="20"/>
          <w:color w:val="auto"/>
        </w:rPr>
      </w:pPr>
    </w:p>
    <w:p>
      <w:pPr>
        <w:ind w:left="560" w:hanging="553"/>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980" w:type="dxa"/>
            <w:vAlign w:val="bottom"/>
            <w:gridSpan w:val="7"/>
          </w:tcPr>
          <w:p>
            <w:pPr>
              <w:spacing w:after="0"/>
              <w:rPr>
                <w:rFonts w:ascii="Arial" w:cs="Arial" w:eastAsia="Arial" w:hAnsi="Arial"/>
                <w:sz w:val="17"/>
                <w:szCs w:val="17"/>
                <w:color w:val="0000EE"/>
              </w:rPr>
            </w:pPr>
            <w:hyperlink w:anchor="page17">
              <w:r>
                <w:rPr>
                  <w:rFonts w:ascii="Arial" w:cs="Arial" w:eastAsia="Arial" w:hAnsi="Arial"/>
                  <w:sz w:val="17"/>
                  <w:szCs w:val="17"/>
                  <w:color w:val="0000EE"/>
                </w:rPr>
                <w:t>Summary of Outstanding Debt</w:t>
              </w:r>
            </w:hyperlink>
          </w:p>
        </w:tc>
        <w:tc>
          <w:tcPr>
            <w:tcW w:w="33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20" w:type="dxa"/>
            <w:vAlign w:val="bottom"/>
            <w:tcBorders>
              <w:top w:val="single" w:sz="8" w:color="0000EE"/>
              <w:bottom w:val="single" w:sz="8" w:color="0000EE"/>
            </w:tcBorders>
            <w:gridSpan w:val="3"/>
          </w:tcPr>
          <w:p>
            <w:pPr>
              <w:spacing w:after="0" w:line="194" w:lineRule="exact"/>
              <w:rPr>
                <w:rFonts w:ascii="Arial" w:cs="Arial" w:eastAsia="Arial" w:hAnsi="Arial"/>
                <w:sz w:val="17"/>
                <w:szCs w:val="17"/>
                <w:color w:val="0000EE"/>
                <w:w w:val="94"/>
              </w:rPr>
            </w:pPr>
            <w:hyperlink w:anchor="page19">
              <w:r>
                <w:rPr>
                  <w:rFonts w:ascii="Arial" w:cs="Arial" w:eastAsia="Arial" w:hAnsi="Arial"/>
                  <w:sz w:val="17"/>
                  <w:szCs w:val="17"/>
                  <w:color w:val="0000EE"/>
                  <w:w w:val="94"/>
                </w:rPr>
                <w:t>Summary of Debt Maturities</w:t>
              </w:r>
            </w:hyperlink>
          </w:p>
        </w:tc>
        <w:tc>
          <w:tcPr>
            <w:tcW w:w="120" w:type="dxa"/>
            <w:vAlign w:val="bottom"/>
            <w:tcBorders>
              <w:top w:val="single" w:sz="8" w:color="0000EE"/>
            </w:tcBorders>
          </w:tcPr>
          <w:p>
            <w:pPr>
              <w:spacing w:after="0"/>
              <w:rPr>
                <w:sz w:val="16"/>
                <w:szCs w:val="16"/>
                <w:color w:val="auto"/>
              </w:rPr>
            </w:pPr>
          </w:p>
        </w:tc>
        <w:tc>
          <w:tcPr>
            <w:tcW w:w="4840" w:type="dxa"/>
            <w:vAlign w:val="bottom"/>
            <w:gridSpan w:val="3"/>
          </w:tcPr>
          <w:p>
            <w:pPr>
              <w:spacing w:after="0"/>
              <w:rPr>
                <w:sz w:val="16"/>
                <w:szCs w:val="16"/>
                <w:color w:val="auto"/>
              </w:rPr>
            </w:pPr>
          </w:p>
        </w:tc>
        <w:tc>
          <w:tcPr>
            <w:tcW w:w="3380" w:type="dxa"/>
            <w:vAlign w:val="bottom"/>
          </w:tcPr>
          <w:p>
            <w:pPr>
              <w:jc w:val="right"/>
              <w:spacing w:after="0" w:line="194" w:lineRule="exact"/>
              <w:rPr>
                <w:sz w:val="20"/>
                <w:szCs w:val="20"/>
                <w:color w:val="auto"/>
              </w:rPr>
            </w:pPr>
            <w:r>
              <w:rPr>
                <w:rFonts w:ascii="Arial" w:cs="Arial" w:eastAsia="Arial" w:hAnsi="Arial"/>
                <w:sz w:val="17"/>
                <w:szCs w:val="17"/>
                <w:color w:val="auto"/>
              </w:rPr>
              <w:t>14</w:t>
            </w:r>
          </w:p>
        </w:tc>
      </w:tr>
      <w:tr>
        <w:trPr>
          <w:trHeight w:val="301"/>
        </w:trPr>
        <w:tc>
          <w:tcPr>
            <w:tcW w:w="560" w:type="dxa"/>
            <w:vAlign w:val="bottom"/>
          </w:tcPr>
          <w:p>
            <w:pPr>
              <w:jc w:val="right"/>
              <w:ind w:right="333"/>
              <w:spacing w:after="0"/>
              <w:rPr>
                <w:sz w:val="20"/>
                <w:szCs w:val="20"/>
                <w:color w:val="auto"/>
              </w:rPr>
            </w:pPr>
            <w:r>
              <w:rPr>
                <w:rFonts w:ascii="Arial" w:cs="Arial" w:eastAsia="Arial" w:hAnsi="Arial"/>
                <w:sz w:val="17"/>
                <w:szCs w:val="17"/>
                <w:color w:val="auto"/>
                <w:w w:val="84"/>
              </w:rPr>
              <w:t>4.</w:t>
            </w:r>
          </w:p>
        </w:tc>
        <w:tc>
          <w:tcPr>
            <w:tcW w:w="4260" w:type="dxa"/>
            <w:vAlign w:val="bottom"/>
            <w:tcBorders>
              <w:bottom w:val="single" w:sz="8" w:color="0000EE"/>
            </w:tcBorders>
            <w:gridSpan w:val="7"/>
          </w:tcPr>
          <w:p>
            <w:pPr>
              <w:spacing w:after="0"/>
              <w:rPr>
                <w:rFonts w:ascii="Arial" w:cs="Arial" w:eastAsia="Arial" w:hAnsi="Arial"/>
                <w:sz w:val="17"/>
                <w:szCs w:val="17"/>
                <w:color w:val="0000EE"/>
                <w:w w:val="91"/>
              </w:rPr>
            </w:pPr>
            <w:hyperlink w:anchor="page20">
              <w:r>
                <w:rPr>
                  <w:rFonts w:ascii="Arial" w:cs="Arial" w:eastAsia="Arial" w:hAnsi="Arial"/>
                  <w:sz w:val="17"/>
                  <w:szCs w:val="17"/>
                  <w:color w:val="0000EE"/>
                  <w:w w:val="91"/>
                </w:rPr>
                <w:t>Summary of Redevelopment Opportunities and Santana Row</w:t>
              </w:r>
            </w:hyperlink>
          </w:p>
        </w:tc>
        <w:tc>
          <w:tcPr>
            <w:tcW w:w="322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1"/>
        </w:trPr>
        <w:tc>
          <w:tcPr>
            <w:tcW w:w="560" w:type="dxa"/>
            <w:vAlign w:val="bottom"/>
          </w:tcPr>
          <w:p>
            <w:pPr>
              <w:jc w:val="right"/>
              <w:ind w:right="333"/>
              <w:spacing w:after="0"/>
              <w:rPr>
                <w:sz w:val="20"/>
                <w:szCs w:val="20"/>
                <w:color w:val="auto"/>
              </w:rPr>
            </w:pPr>
            <w:r>
              <w:rPr>
                <w:rFonts w:ascii="Arial" w:cs="Arial" w:eastAsia="Arial" w:hAnsi="Arial"/>
                <w:sz w:val="17"/>
                <w:szCs w:val="17"/>
                <w:color w:val="auto"/>
                <w:w w:val="84"/>
              </w:rPr>
              <w:t>5.</w:t>
            </w:r>
          </w:p>
        </w:tc>
        <w:tc>
          <w:tcPr>
            <w:tcW w:w="248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22">
              <w:r>
                <w:rPr>
                  <w:rFonts w:ascii="Arial" w:cs="Arial" w:eastAsia="Arial" w:hAnsi="Arial"/>
                  <w:sz w:val="17"/>
                  <w:szCs w:val="17"/>
                  <w:color w:val="0000EE"/>
                  <w:w w:val="93"/>
                </w:rPr>
                <w:t>2004 Acquisitions and Dispositions</w:t>
              </w:r>
            </w:hyperlink>
          </w:p>
        </w:tc>
        <w:tc>
          <w:tcPr>
            <w:tcW w:w="5000" w:type="dxa"/>
            <w:vAlign w:val="bottom"/>
            <w:gridSpan w:val="5"/>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01"/>
        </w:trPr>
        <w:tc>
          <w:tcPr>
            <w:tcW w:w="560" w:type="dxa"/>
            <w:vAlign w:val="bottom"/>
          </w:tcPr>
          <w:p>
            <w:pPr>
              <w:jc w:val="right"/>
              <w:ind w:right="333"/>
              <w:spacing w:after="0"/>
              <w:rPr>
                <w:sz w:val="20"/>
                <w:szCs w:val="20"/>
                <w:color w:val="auto"/>
              </w:rPr>
            </w:pPr>
            <w:r>
              <w:rPr>
                <w:rFonts w:ascii="Arial" w:cs="Arial" w:eastAsia="Arial" w:hAnsi="Arial"/>
                <w:sz w:val="17"/>
                <w:szCs w:val="17"/>
                <w:color w:val="auto"/>
                <w:w w:val="84"/>
              </w:rPr>
              <w:t>6.</w:t>
            </w:r>
          </w:p>
        </w:tc>
        <w:tc>
          <w:tcPr>
            <w:tcW w:w="7480" w:type="dxa"/>
            <w:vAlign w:val="bottom"/>
            <w:gridSpan w:val="8"/>
          </w:tcPr>
          <w:p>
            <w:pPr>
              <w:spacing w:after="0"/>
              <w:rPr>
                <w:rFonts w:ascii="Arial" w:cs="Arial" w:eastAsia="Arial" w:hAnsi="Arial"/>
                <w:sz w:val="17"/>
                <w:szCs w:val="17"/>
                <w:color w:val="0000EE"/>
              </w:rPr>
            </w:pPr>
            <w:hyperlink w:anchor="page23">
              <w:r>
                <w:rPr>
                  <w:rFonts w:ascii="Arial" w:cs="Arial" w:eastAsia="Arial" w:hAnsi="Arial"/>
                  <w:sz w:val="17"/>
                  <w:szCs w:val="17"/>
                  <w:color w:val="0000EE"/>
                </w:rPr>
                <w:t>Real Estate Status Report</w:t>
              </w:r>
            </w:hyperlink>
          </w:p>
        </w:tc>
        <w:tc>
          <w:tcPr>
            <w:tcW w:w="33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
        </w:trPr>
        <w:tc>
          <w:tcPr>
            <w:tcW w:w="56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01"/>
        </w:trPr>
        <w:tc>
          <w:tcPr>
            <w:tcW w:w="560" w:type="dxa"/>
            <w:vAlign w:val="bottom"/>
          </w:tcPr>
          <w:p>
            <w:pPr>
              <w:jc w:val="right"/>
              <w:ind w:right="333"/>
              <w:spacing w:after="0"/>
              <w:rPr>
                <w:sz w:val="20"/>
                <w:szCs w:val="20"/>
                <w:color w:val="auto"/>
              </w:rPr>
            </w:pPr>
            <w:r>
              <w:rPr>
                <w:rFonts w:ascii="Arial" w:cs="Arial" w:eastAsia="Arial" w:hAnsi="Arial"/>
                <w:sz w:val="17"/>
                <w:szCs w:val="17"/>
                <w:color w:val="auto"/>
                <w:w w:val="84"/>
              </w:rPr>
              <w:t>7.</w:t>
            </w:r>
          </w:p>
        </w:tc>
        <w:tc>
          <w:tcPr>
            <w:tcW w:w="290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29">
              <w:r>
                <w:rPr>
                  <w:rFonts w:ascii="Arial" w:cs="Arial" w:eastAsia="Arial" w:hAnsi="Arial"/>
                  <w:sz w:val="17"/>
                  <w:szCs w:val="17"/>
                  <w:color w:val="0000EE"/>
                  <w:w w:val="92"/>
                </w:rPr>
                <w:t>Shopping Center / Street Retail Summary</w:t>
              </w:r>
            </w:hyperlink>
          </w:p>
        </w:tc>
        <w:tc>
          <w:tcPr>
            <w:tcW w:w="4580" w:type="dxa"/>
            <w:vAlign w:val="bottom"/>
            <w:gridSpan w:val="2"/>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17"/>
                <w:szCs w:val="17"/>
                <w:color w:val="auto"/>
              </w:rPr>
              <w:t>19</w:t>
            </w:r>
          </w:p>
        </w:tc>
      </w:tr>
    </w:tbl>
    <w:p>
      <w:pPr>
        <w:spacing w:after="0" w:line="125" w:lineRule="exact"/>
        <w:rPr>
          <w:sz w:val="20"/>
          <w:szCs w:val="20"/>
          <w:color w:val="auto"/>
        </w:rPr>
      </w:pPr>
    </w:p>
    <w:p>
      <w:pPr>
        <w:ind w:left="560" w:hanging="553"/>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Leasing Summary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20" w:type="dxa"/>
            <w:vAlign w:val="bottom"/>
            <w:gridSpan w:val="6"/>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Retail Leasing Summary – Comparable</w:t>
              </w:r>
            </w:hyperlink>
          </w:p>
        </w:tc>
        <w:tc>
          <w:tcPr>
            <w:tcW w:w="68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
        </w:trPr>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20" w:type="dxa"/>
            <w:vAlign w:val="bottom"/>
            <w:gridSpan w:val="6"/>
          </w:tcPr>
          <w:p>
            <w:pPr>
              <w:spacing w:after="0" w:line="194" w:lineRule="exact"/>
              <w:rPr>
                <w:rFonts w:ascii="Arial" w:cs="Arial" w:eastAsia="Arial" w:hAnsi="Arial"/>
                <w:sz w:val="17"/>
                <w:szCs w:val="17"/>
                <w:color w:val="0000EE"/>
              </w:rPr>
            </w:pPr>
            <w:hyperlink w:anchor="page31">
              <w:r>
                <w:rPr>
                  <w:rFonts w:ascii="Arial" w:cs="Arial" w:eastAsia="Arial" w:hAnsi="Arial"/>
                  <w:sz w:val="17"/>
                  <w:szCs w:val="17"/>
                  <w:color w:val="0000EE"/>
                </w:rPr>
                <w:t>Retail Leasing Summary – Non-comparable</w:t>
              </w:r>
            </w:hyperlink>
          </w:p>
        </w:tc>
        <w:tc>
          <w:tcPr>
            <w:tcW w:w="6840" w:type="dxa"/>
            <w:vAlign w:val="bottom"/>
          </w:tcPr>
          <w:p>
            <w:pPr>
              <w:jc w:val="right"/>
              <w:spacing w:after="0" w:line="194" w:lineRule="exact"/>
              <w:rPr>
                <w:sz w:val="20"/>
                <w:szCs w:val="20"/>
                <w:color w:val="auto"/>
              </w:rPr>
            </w:pPr>
            <w:r>
              <w:rPr>
                <w:rFonts w:ascii="Arial" w:cs="Arial" w:eastAsia="Arial" w:hAnsi="Arial"/>
                <w:sz w:val="17"/>
                <w:szCs w:val="17"/>
                <w:color w:val="auto"/>
              </w:rPr>
              <w:t>21</w:t>
            </w:r>
          </w:p>
        </w:tc>
      </w:tr>
      <w:tr>
        <w:trPr>
          <w:trHeight w:val="20"/>
        </w:trPr>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301"/>
        </w:trPr>
        <w:tc>
          <w:tcPr>
            <w:tcW w:w="560" w:type="dxa"/>
            <w:vAlign w:val="bottom"/>
          </w:tcPr>
          <w:p>
            <w:pPr>
              <w:spacing w:after="0"/>
              <w:rPr>
                <w:sz w:val="20"/>
                <w:szCs w:val="20"/>
                <w:color w:val="auto"/>
              </w:rPr>
            </w:pPr>
            <w:r>
              <w:rPr>
                <w:rFonts w:ascii="Arial" w:cs="Arial" w:eastAsia="Arial" w:hAnsi="Arial"/>
                <w:sz w:val="17"/>
                <w:szCs w:val="17"/>
                <w:color w:val="auto"/>
              </w:rPr>
              <w:t>9.</w:t>
            </w:r>
          </w:p>
        </w:tc>
        <w:tc>
          <w:tcPr>
            <w:tcW w:w="4020" w:type="dxa"/>
            <w:vAlign w:val="bottom"/>
            <w:gridSpan w:val="7"/>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Lease Expirations</w:t>
              </w:r>
            </w:hyperlink>
          </w:p>
        </w:tc>
        <w:tc>
          <w:tcPr>
            <w:tcW w:w="68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
        </w:trPr>
        <w:tc>
          <w:tcPr>
            <w:tcW w:w="5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301"/>
        </w:trPr>
        <w:tc>
          <w:tcPr>
            <w:tcW w:w="560" w:type="dxa"/>
            <w:vAlign w:val="bottom"/>
          </w:tcPr>
          <w:p>
            <w:pPr>
              <w:spacing w:after="0"/>
              <w:rPr>
                <w:sz w:val="20"/>
                <w:szCs w:val="20"/>
                <w:color w:val="auto"/>
              </w:rPr>
            </w:pPr>
            <w:r>
              <w:rPr>
                <w:rFonts w:ascii="Arial" w:cs="Arial" w:eastAsia="Arial" w:hAnsi="Arial"/>
                <w:sz w:val="17"/>
                <w:szCs w:val="17"/>
                <w:color w:val="auto"/>
              </w:rPr>
              <w:t>10.</w:t>
            </w:r>
          </w:p>
        </w:tc>
        <w:tc>
          <w:tcPr>
            <w:tcW w:w="4020" w:type="dxa"/>
            <w:vAlign w:val="bottom"/>
            <w:gridSpan w:val="7"/>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Portfolio Leasing Statistics</w:t>
              </w:r>
            </w:hyperlink>
          </w:p>
        </w:tc>
        <w:tc>
          <w:tcPr>
            <w:tcW w:w="68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
        </w:trPr>
        <w:tc>
          <w:tcPr>
            <w:tcW w:w="56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301"/>
        </w:trPr>
        <w:tc>
          <w:tcPr>
            <w:tcW w:w="560" w:type="dxa"/>
            <w:vAlign w:val="bottom"/>
          </w:tcPr>
          <w:p>
            <w:pPr>
              <w:spacing w:after="0"/>
              <w:rPr>
                <w:sz w:val="20"/>
                <w:szCs w:val="20"/>
                <w:color w:val="auto"/>
              </w:rPr>
            </w:pPr>
            <w:r>
              <w:rPr>
                <w:rFonts w:ascii="Arial" w:cs="Arial" w:eastAsia="Arial" w:hAnsi="Arial"/>
                <w:sz w:val="17"/>
                <w:szCs w:val="17"/>
                <w:color w:val="auto"/>
              </w:rPr>
              <w:t>11.</w:t>
            </w:r>
          </w:p>
        </w:tc>
        <w:tc>
          <w:tcPr>
            <w:tcW w:w="198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34">
              <w:r>
                <w:rPr>
                  <w:rFonts w:ascii="Arial" w:cs="Arial" w:eastAsia="Arial" w:hAnsi="Arial"/>
                  <w:sz w:val="17"/>
                  <w:szCs w:val="17"/>
                  <w:color w:val="0000EE"/>
                  <w:w w:val="90"/>
                </w:rPr>
                <w:t>Summary of Top 25 Tenants</w:t>
              </w:r>
            </w:hyperlink>
          </w:p>
        </w:tc>
        <w:tc>
          <w:tcPr>
            <w:tcW w:w="2040" w:type="dxa"/>
            <w:vAlign w:val="bottom"/>
            <w:gridSpan w:val="3"/>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01"/>
        </w:trPr>
        <w:tc>
          <w:tcPr>
            <w:tcW w:w="560" w:type="dxa"/>
            <w:vAlign w:val="bottom"/>
          </w:tcPr>
          <w:p>
            <w:pPr>
              <w:spacing w:after="0"/>
              <w:rPr>
                <w:sz w:val="20"/>
                <w:szCs w:val="20"/>
                <w:color w:val="auto"/>
              </w:rPr>
            </w:pPr>
            <w:r>
              <w:rPr>
                <w:rFonts w:ascii="Arial" w:cs="Arial" w:eastAsia="Arial" w:hAnsi="Arial"/>
                <w:sz w:val="17"/>
                <w:szCs w:val="17"/>
                <w:color w:val="auto"/>
              </w:rPr>
              <w:t>12.</w:t>
            </w:r>
          </w:p>
        </w:tc>
        <w:tc>
          <w:tcPr>
            <w:tcW w:w="4020" w:type="dxa"/>
            <w:vAlign w:val="bottom"/>
            <w:tcBorders>
              <w:bottom w:val="single" w:sz="8" w:color="0000EE"/>
            </w:tcBorders>
            <w:gridSpan w:val="7"/>
          </w:tcPr>
          <w:p>
            <w:pPr>
              <w:spacing w:after="0"/>
              <w:rPr>
                <w:rFonts w:ascii="Arial" w:cs="Arial" w:eastAsia="Arial" w:hAnsi="Arial"/>
                <w:sz w:val="17"/>
                <w:szCs w:val="17"/>
                <w:color w:val="0000EE"/>
                <w:w w:val="93"/>
              </w:rPr>
            </w:pPr>
            <w:hyperlink w:anchor="page35">
              <w:r>
                <w:rPr>
                  <w:rFonts w:ascii="Arial" w:cs="Arial" w:eastAsia="Arial" w:hAnsi="Arial"/>
                  <w:sz w:val="17"/>
                  <w:szCs w:val="17"/>
                  <w:color w:val="0000EE"/>
                  <w:w w:val="93"/>
                </w:rPr>
                <w:t>Reconciliation of Net Income Guidance to FFO Guidance</w:t>
              </w:r>
            </w:hyperlink>
          </w:p>
        </w:tc>
        <w:tc>
          <w:tcPr>
            <w:tcW w:w="6840" w:type="dxa"/>
            <w:vAlign w:val="bottom"/>
          </w:tcPr>
          <w:p>
            <w:pPr>
              <w:jc w:val="right"/>
              <w:spacing w:after="0"/>
              <w:rPr>
                <w:sz w:val="20"/>
                <w:szCs w:val="20"/>
                <w:color w:val="auto"/>
              </w:rPr>
            </w:pPr>
            <w:r>
              <w:rPr>
                <w:rFonts w:ascii="Arial" w:cs="Arial" w:eastAsia="Arial" w:hAnsi="Arial"/>
                <w:sz w:val="17"/>
                <w:szCs w:val="17"/>
                <w:color w:val="auto"/>
              </w:rPr>
              <w:t>25</w:t>
            </w:r>
          </w:p>
        </w:tc>
      </w:tr>
    </w:tbl>
    <w:p>
      <w:pPr>
        <w:spacing w:after="0" w:line="125" w:lineRule="exact"/>
        <w:rPr>
          <w:sz w:val="20"/>
          <w:szCs w:val="20"/>
          <w:color w:val="auto"/>
        </w:rPr>
      </w:pPr>
    </w:p>
    <w:p>
      <w:pPr>
        <w:ind w:left="560" w:hanging="553"/>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Joint Venture Disclosure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340" w:type="dxa"/>
            <w:vAlign w:val="bottom"/>
            <w:gridSpan w:val="7"/>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Summarized Operating Results</w:t>
              </w:r>
            </w:hyperlink>
          </w:p>
        </w:tc>
        <w:tc>
          <w:tcPr>
            <w:tcW w:w="40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Borders>
              <w:top w:val="single" w:sz="8" w:color="0000EE"/>
            </w:tcBorders>
            <w:gridSpan w:val="5"/>
          </w:tcPr>
          <w:p>
            <w:pPr>
              <w:spacing w:after="0" w:line="194" w:lineRule="exact"/>
              <w:rPr>
                <w:rFonts w:ascii="Arial" w:cs="Arial" w:eastAsia="Arial" w:hAnsi="Arial"/>
                <w:sz w:val="17"/>
                <w:szCs w:val="17"/>
                <w:color w:val="0000EE"/>
              </w:rPr>
            </w:pPr>
            <w:hyperlink w:anchor="page37">
              <w:r>
                <w:rPr>
                  <w:rFonts w:ascii="Arial" w:cs="Arial" w:eastAsia="Arial" w:hAnsi="Arial"/>
                  <w:sz w:val="17"/>
                  <w:szCs w:val="17"/>
                  <w:color w:val="0000EE"/>
                </w:rPr>
                <w:t>Summarized Balance Sheet</w:t>
              </w:r>
            </w:hyperlink>
          </w:p>
        </w:tc>
        <w:tc>
          <w:tcPr>
            <w:tcW w:w="4160" w:type="dxa"/>
            <w:vAlign w:val="bottom"/>
            <w:gridSpan w:val="2"/>
          </w:tcPr>
          <w:p>
            <w:pPr>
              <w:spacing w:after="0"/>
              <w:rPr>
                <w:sz w:val="16"/>
                <w:szCs w:val="16"/>
                <w:color w:val="auto"/>
              </w:rPr>
            </w:pPr>
          </w:p>
        </w:tc>
        <w:tc>
          <w:tcPr>
            <w:tcW w:w="4020" w:type="dxa"/>
            <w:vAlign w:val="bottom"/>
          </w:tcPr>
          <w:p>
            <w:pPr>
              <w:jc w:val="right"/>
              <w:spacing w:after="0" w:line="194" w:lineRule="exact"/>
              <w:rPr>
                <w:sz w:val="20"/>
                <w:szCs w:val="20"/>
                <w:color w:val="auto"/>
              </w:rPr>
            </w:pPr>
            <w:r>
              <w:rPr>
                <w:rFonts w:ascii="Arial" w:cs="Arial" w:eastAsia="Arial" w:hAnsi="Arial"/>
                <w:sz w:val="17"/>
                <w:szCs w:val="17"/>
                <w:color w:val="auto"/>
              </w:rPr>
              <w:t>27</w:t>
            </w:r>
          </w:p>
        </w:tc>
      </w:tr>
      <w:tr>
        <w:trPr>
          <w:trHeight w:val="20"/>
        </w:trPr>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340" w:type="dxa"/>
            <w:vAlign w:val="bottom"/>
            <w:gridSpan w:val="7"/>
          </w:tcPr>
          <w:p>
            <w:pPr>
              <w:spacing w:after="0" w:line="194" w:lineRule="exact"/>
              <w:rPr>
                <w:rFonts w:ascii="Arial" w:cs="Arial" w:eastAsia="Arial" w:hAnsi="Arial"/>
                <w:sz w:val="17"/>
                <w:szCs w:val="17"/>
                <w:color w:val="0000EE"/>
              </w:rPr>
            </w:pPr>
            <w:hyperlink w:anchor="page38">
              <w:r>
                <w:rPr>
                  <w:rFonts w:ascii="Arial" w:cs="Arial" w:eastAsia="Arial" w:hAnsi="Arial"/>
                  <w:sz w:val="17"/>
                  <w:szCs w:val="17"/>
                  <w:color w:val="0000EE"/>
                </w:rPr>
                <w:t>Summary of Outstanding Debt</w:t>
              </w:r>
            </w:hyperlink>
          </w:p>
        </w:tc>
        <w:tc>
          <w:tcPr>
            <w:tcW w:w="4020" w:type="dxa"/>
            <w:vAlign w:val="bottom"/>
          </w:tcPr>
          <w:p>
            <w:pPr>
              <w:jc w:val="right"/>
              <w:spacing w:after="0" w:line="194" w:lineRule="exact"/>
              <w:rPr>
                <w:sz w:val="20"/>
                <w:szCs w:val="20"/>
                <w:color w:val="auto"/>
              </w:rPr>
            </w:pPr>
            <w:r>
              <w:rPr>
                <w:rFonts w:ascii="Arial" w:cs="Arial" w:eastAsia="Arial" w:hAnsi="Arial"/>
                <w:sz w:val="17"/>
                <w:szCs w:val="17"/>
                <w:color w:val="auto"/>
              </w:rPr>
              <w:t>28</w:t>
            </w:r>
          </w:p>
        </w:tc>
      </w:tr>
      <w:tr>
        <w:trPr>
          <w:trHeight w:val="20"/>
        </w:trPr>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340" w:type="dxa"/>
            <w:vAlign w:val="bottom"/>
            <w:gridSpan w:val="7"/>
          </w:tcPr>
          <w:p>
            <w:pPr>
              <w:spacing w:after="0" w:line="194" w:lineRule="exact"/>
              <w:rPr>
                <w:rFonts w:ascii="Arial" w:cs="Arial" w:eastAsia="Arial" w:hAnsi="Arial"/>
                <w:sz w:val="17"/>
                <w:szCs w:val="17"/>
                <w:color w:val="0000EE"/>
              </w:rPr>
            </w:pPr>
            <w:hyperlink w:anchor="page39">
              <w:r>
                <w:rPr>
                  <w:rFonts w:ascii="Arial" w:cs="Arial" w:eastAsia="Arial" w:hAnsi="Arial"/>
                  <w:sz w:val="17"/>
                  <w:szCs w:val="17"/>
                  <w:color w:val="0000EE"/>
                </w:rPr>
                <w:t>2004 Acquisitions and Dispositions</w:t>
              </w:r>
            </w:hyperlink>
          </w:p>
        </w:tc>
        <w:tc>
          <w:tcPr>
            <w:tcW w:w="4020" w:type="dxa"/>
            <w:vAlign w:val="bottom"/>
          </w:tcPr>
          <w:p>
            <w:pPr>
              <w:jc w:val="right"/>
              <w:spacing w:after="0" w:line="194" w:lineRule="exact"/>
              <w:rPr>
                <w:sz w:val="20"/>
                <w:szCs w:val="20"/>
                <w:color w:val="auto"/>
              </w:rPr>
            </w:pPr>
            <w:r>
              <w:rPr>
                <w:rFonts w:ascii="Arial" w:cs="Arial" w:eastAsia="Arial" w:hAnsi="Arial"/>
                <w:sz w:val="17"/>
                <w:szCs w:val="17"/>
                <w:color w:val="auto"/>
              </w:rPr>
              <w:t>29</w:t>
            </w: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tcBorders>
              <w:top w:val="single" w:sz="8" w:color="0000EE"/>
            </w:tcBorders>
            <w:gridSpan w:val="6"/>
          </w:tcPr>
          <w:p>
            <w:pPr>
              <w:spacing w:after="0" w:line="194" w:lineRule="exact"/>
              <w:rPr>
                <w:rFonts w:ascii="Arial" w:cs="Arial" w:eastAsia="Arial" w:hAnsi="Arial"/>
                <w:sz w:val="17"/>
                <w:szCs w:val="17"/>
                <w:color w:val="0000EE"/>
              </w:rPr>
            </w:pPr>
            <w:hyperlink w:anchor="page40">
              <w:r>
                <w:rPr>
                  <w:rFonts w:ascii="Arial" w:cs="Arial" w:eastAsia="Arial" w:hAnsi="Arial"/>
                  <w:sz w:val="17"/>
                  <w:szCs w:val="17"/>
                  <w:color w:val="0000EE"/>
                </w:rPr>
                <w:t>Real Estate Status Report</w:t>
              </w:r>
            </w:hyperlink>
          </w:p>
        </w:tc>
        <w:tc>
          <w:tcPr>
            <w:tcW w:w="3860" w:type="dxa"/>
            <w:vAlign w:val="bottom"/>
          </w:tcPr>
          <w:p>
            <w:pPr>
              <w:spacing w:after="0"/>
              <w:rPr>
                <w:sz w:val="16"/>
                <w:szCs w:val="16"/>
                <w:color w:val="auto"/>
              </w:rPr>
            </w:pPr>
          </w:p>
        </w:tc>
        <w:tc>
          <w:tcPr>
            <w:tcW w:w="4020" w:type="dxa"/>
            <w:vAlign w:val="bottom"/>
          </w:tcPr>
          <w:p>
            <w:pPr>
              <w:jc w:val="right"/>
              <w:spacing w:after="0" w:line="194" w:lineRule="exact"/>
              <w:rPr>
                <w:sz w:val="20"/>
                <w:szCs w:val="20"/>
                <w:color w:val="auto"/>
              </w:rPr>
            </w:pPr>
            <w:r>
              <w:rPr>
                <w:rFonts w:ascii="Arial" w:cs="Arial" w:eastAsia="Arial" w:hAnsi="Arial"/>
                <w:sz w:val="17"/>
                <w:szCs w:val="17"/>
                <w:color w:val="auto"/>
              </w:rPr>
              <w:t>30</w:t>
            </w:r>
          </w:p>
        </w:tc>
      </w:tr>
      <w:tr>
        <w:trPr>
          <w:trHeight w:val="20"/>
        </w:trPr>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301"/>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14.</w:t>
            </w:r>
          </w:p>
        </w:tc>
        <w:tc>
          <w:tcPr>
            <w:tcW w:w="128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41">
              <w:r>
                <w:rPr>
                  <w:rFonts w:ascii="Arial" w:cs="Arial" w:eastAsia="Arial" w:hAnsi="Arial"/>
                  <w:sz w:val="17"/>
                  <w:szCs w:val="17"/>
                  <w:color w:val="0000EE"/>
                  <w:w w:val="90"/>
                </w:rPr>
                <w:t>Glossary of Terms</w:t>
              </w:r>
            </w:hyperlink>
          </w:p>
        </w:tc>
        <w:tc>
          <w:tcPr>
            <w:tcW w:w="5560" w:type="dxa"/>
            <w:vAlign w:val="bottom"/>
            <w:gridSpan w:val="6"/>
          </w:tcPr>
          <w:p>
            <w:pPr>
              <w:spacing w:after="0"/>
              <w:rPr>
                <w:sz w:val="24"/>
                <w:szCs w:val="24"/>
                <w:color w:val="auto"/>
              </w:rPr>
            </w:pPr>
          </w:p>
        </w:tc>
        <w:tc>
          <w:tcPr>
            <w:tcW w:w="4020" w:type="dxa"/>
            <w:vAlign w:val="bottom"/>
          </w:tcPr>
          <w:p>
            <w:pPr>
              <w:jc w:val="right"/>
              <w:spacing w:after="0"/>
              <w:rPr>
                <w:sz w:val="20"/>
                <w:szCs w:val="20"/>
                <w:color w:val="auto"/>
              </w:rPr>
            </w:pPr>
            <w:r>
              <w:rPr>
                <w:rFonts w:ascii="Arial" w:cs="Arial" w:eastAsia="Arial" w:hAnsi="Arial"/>
                <w:sz w:val="17"/>
                <w:szCs w:val="17"/>
                <w:color w:val="auto"/>
              </w:rPr>
              <w:t>31</w:t>
            </w: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9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11, 2004, and include the following:</w:t>
      </w:r>
    </w:p>
    <w:p>
      <w:pPr>
        <w:spacing w:after="0" w:line="34" w:lineRule="exact"/>
        <w:rPr>
          <w:sz w:val="20"/>
          <w:szCs w:val="20"/>
          <w:color w:val="auto"/>
        </w:rPr>
      </w:pPr>
    </w:p>
    <w:p>
      <w:pPr>
        <w:ind w:left="800" w:hanging="338"/>
        <w:spacing w:after="0"/>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85" w:lineRule="exact"/>
        <w:rPr>
          <w:rFonts w:ascii="Arial" w:cs="Arial" w:eastAsia="Arial" w:hAnsi="Arial"/>
          <w:sz w:val="17"/>
          <w:szCs w:val="17"/>
          <w:i w:val="1"/>
          <w:iCs w:val="1"/>
          <w:color w:val="auto"/>
        </w:rPr>
      </w:pPr>
    </w:p>
    <w:p>
      <w:pPr>
        <w:ind w:left="800" w:right="140" w:hanging="338"/>
        <w:spacing w:after="0" w:line="294" w:lineRule="auto"/>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16" w:lineRule="exact"/>
        <w:rPr>
          <w:rFonts w:ascii="Arial" w:cs="Arial" w:eastAsia="Arial" w:hAnsi="Arial"/>
          <w:sz w:val="17"/>
          <w:szCs w:val="17"/>
          <w:i w:val="1"/>
          <w:iCs w:val="1"/>
          <w:color w:val="auto"/>
        </w:rPr>
      </w:pPr>
    </w:p>
    <w:p>
      <w:pPr>
        <w:ind w:left="800" w:right="140" w:hanging="338"/>
        <w:spacing w:after="0" w:line="294" w:lineRule="auto"/>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16" w:lineRule="exact"/>
        <w:rPr>
          <w:rFonts w:ascii="Arial" w:cs="Arial" w:eastAsia="Arial" w:hAnsi="Arial"/>
          <w:sz w:val="17"/>
          <w:szCs w:val="17"/>
          <w:i w:val="1"/>
          <w:iCs w:val="1"/>
          <w:color w:val="auto"/>
        </w:rPr>
      </w:pPr>
    </w:p>
    <w:p>
      <w:pPr>
        <w:ind w:left="800" w:hanging="338"/>
        <w:spacing w:after="0" w:line="273" w:lineRule="auto"/>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33" w:lineRule="exact"/>
        <w:rPr>
          <w:rFonts w:ascii="Arial" w:cs="Arial" w:eastAsia="Arial" w:hAnsi="Arial"/>
          <w:sz w:val="17"/>
          <w:szCs w:val="17"/>
          <w:i w:val="1"/>
          <w:iCs w:val="1"/>
          <w:color w:val="auto"/>
        </w:rPr>
      </w:pPr>
    </w:p>
    <w:p>
      <w:pPr>
        <w:ind w:left="800" w:hanging="338"/>
        <w:spacing w:after="0"/>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85" w:lineRule="exact"/>
        <w:rPr>
          <w:rFonts w:ascii="Arial" w:cs="Arial" w:eastAsia="Arial" w:hAnsi="Arial"/>
          <w:sz w:val="17"/>
          <w:szCs w:val="17"/>
          <w:i w:val="1"/>
          <w:iCs w:val="1"/>
          <w:color w:val="auto"/>
        </w:rPr>
      </w:pPr>
    </w:p>
    <w:p>
      <w:pPr>
        <w:ind w:left="800" w:right="20" w:hanging="338"/>
        <w:spacing w:after="0" w:line="278" w:lineRule="auto"/>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29" w:lineRule="exact"/>
        <w:rPr>
          <w:rFonts w:ascii="Arial" w:cs="Arial" w:eastAsia="Arial" w:hAnsi="Arial"/>
          <w:sz w:val="17"/>
          <w:szCs w:val="17"/>
          <w:i w:val="1"/>
          <w:iCs w:val="1"/>
          <w:color w:val="auto"/>
        </w:rPr>
      </w:pPr>
    </w:p>
    <w:p>
      <w:pPr>
        <w:ind w:left="800" w:right="240" w:hanging="338"/>
        <w:spacing w:after="0" w:line="278" w:lineRule="auto"/>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1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(as amended), our quarterly reports on Form 10-Q, and the risks contained in our Current Report on Form 8-K filed with the Securities and Exchange Commission on March 11, 2004.</w:t>
      </w:r>
    </w:p>
    <w:p>
      <w:pPr>
        <w:sectPr>
          <w:pgSz w:w="11900" w:h="16838" w:orient="portrait"/>
          <w:cols w:equalWidth="0" w:num="1">
            <w:col w:w="11380"/>
          </w:cols>
          <w:pgMar w:left="240" w:top="456"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gridSpan w:val="3"/>
          </w:tcPr>
          <w:p>
            <w:pPr>
              <w:spacing w:after="0"/>
              <w:rPr>
                <w:sz w:val="20"/>
                <w:szCs w:val="20"/>
                <w:color w:val="auto"/>
              </w:rPr>
            </w:pPr>
            <w:r>
              <w:rPr>
                <w:rFonts w:ascii="Arial" w:cs="Arial" w:eastAsia="Arial" w:hAnsi="Arial"/>
                <w:sz w:val="13"/>
                <w:szCs w:val="13"/>
                <w:color w:val="auto"/>
              </w:rPr>
              <w:t>Investor and Media Inquiries</w:t>
            </w:r>
          </w:p>
        </w:tc>
        <w:tc>
          <w:tcPr>
            <w:tcW w:w="2800" w:type="dxa"/>
            <w:vAlign w:val="bottom"/>
          </w:tcPr>
          <w:p>
            <w:pPr>
              <w:spacing w:after="0"/>
              <w:rPr>
                <w:sz w:val="13"/>
                <w:szCs w:val="13"/>
                <w:color w:val="auto"/>
              </w:rPr>
            </w:pPr>
          </w:p>
        </w:tc>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Suzanne O’Neill</w:t>
            </w:r>
          </w:p>
        </w:tc>
        <w:tc>
          <w:tcPr>
            <w:tcW w:w="0" w:type="dxa"/>
            <w:vAlign w:val="bottom"/>
          </w:tcPr>
          <w:p>
            <w:pPr>
              <w:spacing w:after="0"/>
              <w:rPr>
                <w:sz w:val="1"/>
                <w:szCs w:val="1"/>
                <w:color w:val="auto"/>
              </w:rPr>
            </w:pPr>
          </w:p>
        </w:tc>
      </w:tr>
      <w:tr>
        <w:trPr>
          <w:trHeight w:val="130"/>
        </w:trPr>
        <w:tc>
          <w:tcPr>
            <w:tcW w:w="156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3"/>
                <w:szCs w:val="13"/>
                <w:color w:val="auto"/>
              </w:rPr>
              <w:t>Andrew Blocher</w:t>
            </w:r>
          </w:p>
        </w:tc>
        <w:tc>
          <w:tcPr>
            <w:tcW w:w="15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gridSpan w:val="3"/>
          </w:tcPr>
          <w:p>
            <w:pPr>
              <w:spacing w:after="0" w:line="148" w:lineRule="exact"/>
              <w:rPr>
                <w:sz w:val="20"/>
                <w:szCs w:val="20"/>
                <w:color w:val="auto"/>
              </w:rPr>
            </w:pPr>
            <w:r>
              <w:rPr>
                <w:rFonts w:ascii="Arial" w:cs="Arial" w:eastAsia="Arial" w:hAnsi="Arial"/>
                <w:sz w:val="13"/>
                <w:szCs w:val="13"/>
                <w:color w:val="auto"/>
              </w:rPr>
              <w:t>Vice President, Capital Markets &amp; Investor Relations</w:t>
            </w:r>
          </w:p>
        </w:tc>
        <w:tc>
          <w:tcPr>
            <w:tcW w:w="2800" w:type="dxa"/>
            <w:vAlign w:val="bottom"/>
          </w:tcPr>
          <w:p>
            <w:pPr>
              <w:spacing w:after="0"/>
              <w:rPr>
                <w:sz w:val="12"/>
                <w:szCs w:val="12"/>
                <w:color w:val="auto"/>
              </w:rPr>
            </w:pPr>
          </w:p>
        </w:tc>
        <w:tc>
          <w:tcPr>
            <w:tcW w:w="2060" w:type="dxa"/>
            <w:vAlign w:val="bottom"/>
            <w:gridSpan w:val="2"/>
          </w:tcPr>
          <w:p>
            <w:pPr>
              <w:spacing w:after="0" w:line="148" w:lineRule="exact"/>
              <w:rPr>
                <w:sz w:val="20"/>
                <w:szCs w:val="20"/>
                <w:color w:val="auto"/>
              </w:rPr>
            </w:pPr>
            <w:r>
              <w:rPr>
                <w:rFonts w:ascii="Arial" w:cs="Arial" w:eastAsia="Arial" w:hAnsi="Arial"/>
                <w:sz w:val="13"/>
                <w:szCs w:val="13"/>
                <w:color w:val="auto"/>
              </w:rPr>
              <w:t>Manager, Investor Relations</w:t>
            </w:r>
          </w:p>
        </w:tc>
        <w:tc>
          <w:tcPr>
            <w:tcW w:w="0" w:type="dxa"/>
            <w:vAlign w:val="bottom"/>
          </w:tcPr>
          <w:p>
            <w:pPr>
              <w:spacing w:after="0"/>
              <w:rPr>
                <w:sz w:val="1"/>
                <w:szCs w:val="1"/>
                <w:color w:val="auto"/>
              </w:rPr>
            </w:pPr>
          </w:p>
        </w:tc>
      </w:tr>
      <w:tr>
        <w:trPr>
          <w:trHeight w:val="147"/>
        </w:trPr>
        <w:tc>
          <w:tcPr>
            <w:tcW w:w="1540" w:type="dxa"/>
            <w:vAlign w:val="bottom"/>
          </w:tcPr>
          <w:p>
            <w:pPr>
              <w:spacing w:after="0" w:line="148" w:lineRule="exact"/>
              <w:rPr>
                <w:sz w:val="20"/>
                <w:szCs w:val="20"/>
                <w:color w:val="auto"/>
              </w:rPr>
            </w:pPr>
            <w:r>
              <w:rPr>
                <w:rFonts w:ascii="Arial" w:cs="Arial" w:eastAsia="Arial" w:hAnsi="Arial"/>
                <w:sz w:val="13"/>
                <w:szCs w:val="13"/>
                <w:color w:val="auto"/>
              </w:rPr>
              <w:t>301/998-8166</w:t>
            </w: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220" w:type="dxa"/>
            <w:vAlign w:val="bottom"/>
            <w:gridSpan w:val="2"/>
          </w:tcPr>
          <w:p>
            <w:pPr>
              <w:ind w:left="2800"/>
              <w:spacing w:after="0" w:line="148" w:lineRule="exact"/>
              <w:rPr>
                <w:sz w:val="20"/>
                <w:szCs w:val="20"/>
                <w:color w:val="auto"/>
              </w:rPr>
            </w:pPr>
            <w:r>
              <w:rPr>
                <w:rFonts w:ascii="Arial" w:cs="Arial" w:eastAsia="Arial" w:hAnsi="Arial"/>
                <w:sz w:val="13"/>
                <w:szCs w:val="13"/>
                <w:color w:val="auto"/>
              </w:rPr>
              <w:t>301/998-8358</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gridSpan w:val="3"/>
          </w:tcPr>
          <w:p>
            <w:pPr>
              <w:spacing w:after="0" w:line="145" w:lineRule="exact"/>
              <w:rPr>
                <w:sz w:val="20"/>
                <w:szCs w:val="20"/>
                <w:color w:val="auto"/>
              </w:rPr>
            </w:pPr>
            <w:r>
              <w:rPr>
                <w:rFonts w:ascii="Arial" w:cs="Arial" w:eastAsia="Arial" w:hAnsi="Arial"/>
                <w:sz w:val="13"/>
                <w:szCs w:val="13"/>
                <w:i w:val="1"/>
                <w:iCs w:val="1"/>
                <w:color w:val="auto"/>
              </w:rPr>
              <w:t>ablocher@federalrealty.com</w:t>
            </w:r>
          </w:p>
        </w:tc>
        <w:tc>
          <w:tcPr>
            <w:tcW w:w="2800" w:type="dxa"/>
            <w:vAlign w:val="bottom"/>
          </w:tcPr>
          <w:p>
            <w:pPr>
              <w:spacing w:after="0"/>
              <w:rPr>
                <w:sz w:val="12"/>
                <w:szCs w:val="12"/>
                <w:color w:val="auto"/>
              </w:rPr>
            </w:pPr>
          </w:p>
        </w:tc>
        <w:tc>
          <w:tcPr>
            <w:tcW w:w="2060" w:type="dxa"/>
            <w:vAlign w:val="bottom"/>
            <w:gridSpan w:val="2"/>
          </w:tcPr>
          <w:p>
            <w:pPr>
              <w:spacing w:after="0" w:line="145" w:lineRule="exact"/>
              <w:rPr>
                <w:sz w:val="20"/>
                <w:szCs w:val="20"/>
                <w:color w:val="auto"/>
              </w:rPr>
            </w:pPr>
            <w:r>
              <w:rPr>
                <w:rFonts w:ascii="Arial" w:cs="Arial" w:eastAsia="Arial" w:hAnsi="Arial"/>
                <w:sz w:val="13"/>
                <w:szCs w:val="13"/>
                <w:i w:val="1"/>
                <w:iCs w:val="1"/>
                <w:color w:val="auto"/>
              </w:rPr>
              <w:t>soneill@federalrealty.com</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60" w:type="dxa"/>
            <w:vAlign w:val="bottom"/>
            <w:gridSpan w:val="3"/>
          </w:tcPr>
          <w:p>
            <w:pPr>
              <w:jc w:val="center"/>
              <w:ind w:left="220"/>
              <w:spacing w:after="0"/>
              <w:rPr>
                <w:sz w:val="20"/>
                <w:szCs w:val="20"/>
                <w:color w:val="auto"/>
              </w:rPr>
            </w:pPr>
            <w:r>
              <w:rPr>
                <w:rFonts w:ascii="Arial" w:cs="Arial" w:eastAsia="Arial" w:hAnsi="Arial"/>
                <w:sz w:val="17"/>
                <w:szCs w:val="17"/>
                <w:b w:val="1"/>
                <w:bCs w:val="1"/>
                <w:color w:val="auto"/>
              </w:rPr>
              <w:t>FEDERAL REALTY INVESTMENT TRUST ANNOUNCES</w:t>
            </w:r>
          </w:p>
        </w:tc>
        <w:tc>
          <w:tcPr>
            <w:tcW w:w="0" w:type="dxa"/>
            <w:vAlign w:val="bottom"/>
          </w:tcPr>
          <w:p>
            <w:pPr>
              <w:spacing w:after="0"/>
              <w:rPr>
                <w:sz w:val="1"/>
                <w:szCs w:val="1"/>
                <w:color w:val="auto"/>
              </w:rPr>
            </w:pPr>
          </w:p>
        </w:tc>
      </w:tr>
      <w:tr>
        <w:trPr>
          <w:trHeight w:val="227"/>
        </w:trPr>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60" w:type="dxa"/>
            <w:vAlign w:val="bottom"/>
            <w:gridSpan w:val="3"/>
          </w:tcPr>
          <w:p>
            <w:pPr>
              <w:jc w:val="center"/>
              <w:ind w:left="200"/>
              <w:spacing w:after="0"/>
              <w:rPr>
                <w:sz w:val="20"/>
                <w:szCs w:val="20"/>
                <w:color w:val="auto"/>
              </w:rPr>
            </w:pPr>
            <w:r>
              <w:rPr>
                <w:rFonts w:ascii="Arial" w:cs="Arial" w:eastAsia="Arial" w:hAnsi="Arial"/>
                <w:sz w:val="17"/>
                <w:szCs w:val="17"/>
                <w:b w:val="1"/>
                <w:bCs w:val="1"/>
                <w:color w:val="auto"/>
              </w:rPr>
              <w:t>THIRD QUARTER 2004 OPERATING RESULTS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ROCKVILLE, Md. (November 3, 2004) – Federal Realty Investment Trust (NYSE:FRT) today reported operating results for its third quarter ended September 30, 2004.</w:t>
      </w:r>
    </w:p>
    <w:p>
      <w:pPr>
        <w:spacing w:after="0" w:line="26" w:lineRule="exact"/>
        <w:rPr>
          <w:sz w:val="20"/>
          <w:szCs w:val="20"/>
          <w:color w:val="auto"/>
        </w:rPr>
      </w:pPr>
    </w:p>
    <w:p>
      <w:pPr>
        <w:ind w:left="920" w:right="240" w:hanging="458"/>
        <w:spacing w:after="0" w:line="270" w:lineRule="auto"/>
        <w:tabs>
          <w:tab w:leader="none" w:pos="920" w:val="left"/>
        </w:tabs>
        <w:numPr>
          <w:ilvl w:val="0"/>
          <w:numId w:val="7"/>
        </w:numPr>
        <w:rPr>
          <w:rFonts w:ascii="MS PGothic" w:cs="MS PGothic" w:eastAsia="MS PGothic" w:hAnsi="MS PGothic"/>
          <w:sz w:val="17"/>
          <w:szCs w:val="17"/>
          <w:color w:val="auto"/>
        </w:rPr>
      </w:pPr>
      <w:r>
        <w:rPr>
          <w:rFonts w:ascii="Arial" w:cs="Arial" w:eastAsia="Arial" w:hAnsi="Arial"/>
          <w:sz w:val="17"/>
          <w:szCs w:val="17"/>
          <w:b w:val="1"/>
          <w:bCs w:val="1"/>
          <w:color w:val="auto"/>
        </w:rPr>
        <w:t>For the third quarter 2004, Funds from Operations available for common shareholders (FFO) per diluted share was $0.72 and net income available for common shareholders per diluted share was $0.30.</w:t>
      </w:r>
    </w:p>
    <w:p>
      <w:pPr>
        <w:spacing w:after="0" w:line="1" w:lineRule="exact"/>
        <w:rPr>
          <w:rFonts w:ascii="MS PGothic" w:cs="MS PGothic" w:eastAsia="MS PGothic" w:hAnsi="MS PGothic"/>
          <w:sz w:val="17"/>
          <w:szCs w:val="17"/>
          <w:color w:val="auto"/>
        </w:rPr>
      </w:pPr>
    </w:p>
    <w:p>
      <w:pPr>
        <w:ind w:left="920" w:right="240" w:hanging="458"/>
        <w:spacing w:after="0" w:line="262" w:lineRule="auto"/>
        <w:tabs>
          <w:tab w:leader="none" w:pos="920" w:val="left"/>
        </w:tabs>
        <w:numPr>
          <w:ilvl w:val="0"/>
          <w:numId w:val="7"/>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When compared to third quarter 2003, same-center property operating income increased 4.5% including redevelopments and expansions, and 3.3% excluding redevelopment and expansion properties.</w:t>
      </w:r>
    </w:p>
    <w:p>
      <w:pPr>
        <w:spacing w:after="0" w:line="1" w:lineRule="exact"/>
        <w:rPr>
          <w:rFonts w:ascii="MS PGothic" w:cs="MS PGothic" w:eastAsia="MS PGothic" w:hAnsi="MS PGothic"/>
          <w:sz w:val="17"/>
          <w:szCs w:val="17"/>
          <w:color w:val="auto"/>
          <w:highlight w:val="black"/>
        </w:rPr>
      </w:pPr>
    </w:p>
    <w:p>
      <w:pPr>
        <w:ind w:left="920" w:right="100" w:hanging="458"/>
        <w:spacing w:after="0" w:line="262" w:lineRule="auto"/>
        <w:tabs>
          <w:tab w:leader="none" w:pos="920" w:val="left"/>
        </w:tabs>
        <w:numPr>
          <w:ilvl w:val="0"/>
          <w:numId w:val="7"/>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Cash-basis contractual rent increases on lease rollovers were 22% for the third quarter on over 400,000 square feet of retail space for which there was a prior tenant.</w:t>
      </w:r>
    </w:p>
    <w:p>
      <w:pPr>
        <w:spacing w:after="0" w:line="1" w:lineRule="exact"/>
        <w:rPr>
          <w:rFonts w:ascii="MS PGothic" w:cs="MS PGothic" w:eastAsia="MS PGothic" w:hAnsi="MS PGothic"/>
          <w:sz w:val="17"/>
          <w:szCs w:val="17"/>
          <w:color w:val="auto"/>
          <w:highlight w:val="black"/>
        </w:rPr>
      </w:pPr>
    </w:p>
    <w:p>
      <w:pPr>
        <w:ind w:left="920" w:hanging="458"/>
        <w:spacing w:after="0"/>
        <w:tabs>
          <w:tab w:leader="none" w:pos="920" w:val="left"/>
        </w:tabs>
        <w:numPr>
          <w:ilvl w:val="0"/>
          <w:numId w:val="7"/>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The Trust’s portfolio was 94.2% leased at 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Federal Realty reported FFO per diluted share of $0.72 in third quarter 2004, a 9.1% increase over the $0.66 of FFO per diluted share reported in third quarter 2003. Total FFO available for common shareholders was $38.3 million for the third quarter of 2004 compared to $33.3 million for last year’s third quarter. For the nine months ended September 30, 2004, Federal Realty reported FFO of $111.7 million, or $2.14 per diluted share, compared to $89.9 million, or $1.87 per diluted share for the nine months ended September 30, 2003. Federal Realty’s FFO results for the nine months ended September 30, 2003, include a $3.4 million ($0.07 per diluted share) charge relating to the redemption of the Trust’s 7.95% Series A Cumulative Redeemable Preferred Shares.</w:t>
      </w:r>
    </w:p>
    <w:p>
      <w:pPr>
        <w:spacing w:after="0" w:line="102"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Net income available for common shareholders was $15.8 million, and net income available for common shareholders per diluted share was $0.30 for the quarter ended September 30, 2004, versus $21.7 million and</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360"/>
          </w:cols>
          <w:pgMar w:left="240" w:top="456"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THIRD QUARTER 2004 OPERATING RESULTS</w:t>
      </w:r>
    </w:p>
    <w:p>
      <w:pPr>
        <w:spacing w:after="0"/>
        <w:rPr>
          <w:sz w:val="20"/>
          <w:szCs w:val="20"/>
          <w:color w:val="auto"/>
        </w:rPr>
      </w:pPr>
      <w:r>
        <w:rPr>
          <w:rFonts w:ascii="Arial" w:cs="Arial" w:eastAsia="Arial" w:hAnsi="Arial"/>
          <w:sz w:val="13"/>
          <w:szCs w:val="13"/>
          <w:color w:val="auto"/>
        </w:rPr>
        <w:t>Page 2</w:t>
      </w:r>
    </w:p>
    <w:p>
      <w:pPr>
        <w:spacing w:after="0" w:line="1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$0.44, respectively, for the third quarter of 2003. Net income available for common shareholders increased 23.2% from $43.5 million for the nine months ended September 30, 2003, to $53.6 million, for the nine months ended September 30, 2004. Year to date, net income available for common shareholders per diluted share improved from $0.92 in 2003 to $1.04 in 2004. Net income available for common shareholders and net income available for common shareholders per diluted share for the nine months ended September 30, 2003, include the impact of the preferred share redemption charge discussed above.</w:t>
      </w:r>
    </w:p>
    <w:p>
      <w:pPr>
        <w:spacing w:after="0" w:line="99"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available for common shareholders and FFO per diluted share to net income available for common shareholders and net income available for common shareholders per diluted share, respectively, is attached to this press release.</w:t>
      </w:r>
    </w:p>
    <w:p>
      <w:pPr>
        <w:spacing w:after="0" w:line="110"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“Careful execution of the Trust’s business plan has resulted in consistently improving operating results,” commented Donald Wood, Federal Realty’s President and Chief Executive Officer. “By focusing our attention on continually improving our high quality existing portfolio, through leasing and redevelopment, and by opportunistically capitalizing on external growth opportunities, we have uniquely positioned ourselves to improve on our success to date.”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92" w:lineRule="exact"/>
        <w:rPr>
          <w:sz w:val="20"/>
          <w:szCs w:val="20"/>
          <w:color w:val="auto"/>
        </w:rPr>
      </w:pPr>
    </w:p>
    <w:p>
      <w:pPr>
        <w:ind w:right="1000"/>
        <w:spacing w:after="0" w:line="327" w:lineRule="auto"/>
        <w:rPr>
          <w:sz w:val="20"/>
          <w:szCs w:val="20"/>
          <w:color w:val="auto"/>
        </w:rPr>
      </w:pPr>
      <w:r>
        <w:rPr>
          <w:rFonts w:ascii="Arial" w:cs="Arial" w:eastAsia="Arial" w:hAnsi="Arial"/>
          <w:sz w:val="16"/>
          <w:szCs w:val="16"/>
          <w:color w:val="auto"/>
        </w:rPr>
        <w:t>On a same-center basis, including redevelopment and expansion properties, property operating income increased 4.5% over third quarter 2003. When redevelopment and expansion properties are excluded, same-center property operating income increased 3.3% from third quarter 2003.</w:t>
      </w:r>
    </w:p>
    <w:p>
      <w:pPr>
        <w:spacing w:after="0" w:line="74"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Overall, the Trust’s portfolio was 94.2% leased as of September 30, 2004, an improvement of 110 basis points from December 31, 2003. As of September 30, 2004, Federal Realty’s same-center portfolio was 96.5% leased, a 50 basis point improvement over year-end 2003.</w:t>
      </w:r>
    </w:p>
    <w:p>
      <w:pPr>
        <w:spacing w:after="0" w:line="96"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During the third quarter of 2004, the Trust signed 79 leases for 418,000 square feet of retail space. On a comparable space basis (</w:t>
      </w:r>
      <w:r>
        <w:rPr>
          <w:rFonts w:ascii="Arial" w:cs="Arial" w:eastAsia="Arial" w:hAnsi="Arial"/>
          <w:sz w:val="15"/>
          <w:szCs w:val="15"/>
          <w:i w:val="1"/>
          <w:iCs w:val="1"/>
          <w:color w:val="auto"/>
        </w:rPr>
        <w:t>i.e.</w:t>
      </w:r>
      <w:r>
        <w:rPr>
          <w:rFonts w:ascii="Arial" w:cs="Arial" w:eastAsia="Arial" w:hAnsi="Arial"/>
          <w:sz w:val="15"/>
          <w:szCs w:val="15"/>
          <w:color w:val="auto"/>
        </w:rPr>
        <w:t xml:space="preserve"> spaces for which there was a former tenant), the Trust leased 409,000 square feet at a weighted-average cash-basis contractual rent increase per square foot (</w:t>
      </w:r>
      <w:r>
        <w:rPr>
          <w:rFonts w:ascii="Arial" w:cs="Arial" w:eastAsia="Arial" w:hAnsi="Arial"/>
          <w:sz w:val="15"/>
          <w:szCs w:val="15"/>
          <w:i w:val="1"/>
          <w:iCs w:val="1"/>
          <w:color w:val="auto"/>
        </w:rPr>
        <w:t>i.e.</w:t>
      </w:r>
      <w:r>
        <w:rPr>
          <w:rFonts w:ascii="Arial" w:cs="Arial" w:eastAsia="Arial" w:hAnsi="Arial"/>
          <w:sz w:val="15"/>
          <w:szCs w:val="15"/>
          <w:color w:val="auto"/>
        </w:rPr>
        <w:t xml:space="preserve"> excluding the impact of straight-line rents) of 22%. The weighted-average contractual rent on this comparable space for the first year of the new leases is $22.82 per square foot compared to the weighted-average contractual rent of $18.69 per square foot for the last year of the prior leases. The weighted-average contractual rent for the last year of the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20"/>
          </w:cols>
          <w:pgMar w:left="240" w:top="456"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THIRD QUARTER 2004 OPERATING RESULTS</w:t>
      </w:r>
    </w:p>
    <w:p>
      <w:pPr>
        <w:spacing w:after="0"/>
        <w:rPr>
          <w:sz w:val="20"/>
          <w:szCs w:val="20"/>
          <w:color w:val="auto"/>
        </w:rPr>
      </w:pPr>
      <w:r>
        <w:rPr>
          <w:rFonts w:ascii="Arial" w:cs="Arial" w:eastAsia="Arial" w:hAnsi="Arial"/>
          <w:sz w:val="13"/>
          <w:szCs w:val="13"/>
          <w:color w:val="auto"/>
        </w:rPr>
        <w:t>Page 3</w:t>
      </w:r>
    </w:p>
    <w:p>
      <w:pPr>
        <w:spacing w:after="0" w:line="1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prior leases is calculated by including both the minimum rent and the percentage rent actually paid during the last year of those leases. Year to date, the Trust has signed 233 leases for 1.3 million square feet of comparable space, a record for the first three quarters of any year, at a weighted-average cash-basis contractual rent increase per square foot of 18%. On a GAAP basis (</w:t>
      </w:r>
      <w:r>
        <w:rPr>
          <w:rFonts w:ascii="Arial" w:cs="Arial" w:eastAsia="Arial" w:hAnsi="Arial"/>
          <w:sz w:val="17"/>
          <w:szCs w:val="17"/>
          <w:i w:val="1"/>
          <w:iCs w:val="1"/>
          <w:color w:val="auto"/>
        </w:rPr>
        <w:t>i.e.</w:t>
      </w:r>
      <w:r>
        <w:rPr>
          <w:rFonts w:ascii="Arial" w:cs="Arial" w:eastAsia="Arial" w:hAnsi="Arial"/>
          <w:sz w:val="17"/>
          <w:szCs w:val="17"/>
          <w:color w:val="auto"/>
        </w:rPr>
        <w:t xml:space="preserve"> including the impact of straight-line rents), weighted-average rent increases per square foot for comparable space were 33% for the third quarter of 2004. As of September 30, 2004, Federal Realty’s weighted-average contractual rent for retail and commercial space in its portfolio was $18.47 per square foot.</w:t>
      </w:r>
    </w:p>
    <w:p>
      <w:pPr>
        <w:spacing w:after="0" w:line="118" w:lineRule="exact"/>
        <w:rPr>
          <w:sz w:val="20"/>
          <w:szCs w:val="20"/>
          <w:color w:val="auto"/>
        </w:rPr>
      </w:pPr>
    </w:p>
    <w:p>
      <w:pPr>
        <w:jc w:val="both"/>
        <w:ind w:right="80"/>
        <w:spacing w:after="0" w:line="303" w:lineRule="auto"/>
        <w:rPr>
          <w:sz w:val="20"/>
          <w:szCs w:val="20"/>
          <w:color w:val="auto"/>
        </w:rPr>
      </w:pPr>
      <w:r>
        <w:rPr>
          <w:rFonts w:ascii="Arial" w:cs="Arial" w:eastAsia="Arial" w:hAnsi="Arial"/>
          <w:sz w:val="16"/>
          <w:szCs w:val="16"/>
          <w:color w:val="auto"/>
        </w:rPr>
        <w:t>At Santana Row, Federal Realty’s mixed-use community in San Jose, Calif., 92% of the retail space was leased to 115 tenants, with 101 stores open and operating as of September 30, 2004. Phase III (CinéArts Theatre) opened as planned during third quarter 2004. The 255 existing residential units at Santana Row were 98% leased as of September 30, 2004, and the development of the 256 Phase IV residential units remains on schedule and on budget.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9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Federal Realty today narrowed its guidance for 2004 FFO per diluted share to a range of $2.83 to $2.84, and increased guidance for net income per diluted share to a range of $1.30 to $1.31. In addition, management provided initial guidance for 2005 FFO per diluted share of $3.00 to $3.03, and net income per diluted share of $1.24 to $1.27.</w:t>
      </w:r>
    </w:p>
    <w:p>
      <w:pPr>
        <w:spacing w:after="0" w:line="11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guidance for 2004 and 2005 projects real FFO per share growth of 7% in 2004 and 8% to 9% for 2005, after adjusting for Santana Row insurance proceeds and the impact of the 2003 preferred share redemption charge,” commented Larry Finger, Federal Realty’s Senior Vice President and Chief Financial Officer. “Through our internal growth and redevelopment focused operating strategy, we are confident of our ability to produce top tier FFO per share growth while subjecting our investors to the least amount of risk in the sector.”</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Other Quarterly Activities and Recent Developments</w:t>
      </w:r>
    </w:p>
    <w:p>
      <w:pPr>
        <w:spacing w:after="0" w:line="92" w:lineRule="exact"/>
        <w:rPr>
          <w:sz w:val="20"/>
          <w:szCs w:val="20"/>
          <w:color w:val="auto"/>
        </w:rPr>
      </w:pPr>
    </w:p>
    <w:p>
      <w:pPr>
        <w:ind w:left="460" w:right="20" w:hanging="453"/>
        <w:spacing w:after="0" w:line="27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July 12, 2004 – Federal Realty announced that it formed a joint venture with Clarion Lion Properties Fund, a discretionary fund created and advised by ING Clarion Partners. The joint venture intends to acquire up to $350 million of stabilized, supermarket-anchored shopping centers in the Trust’s strategic East Coast and California markets.</w:t>
      </w:r>
    </w:p>
    <w:p>
      <w:pPr>
        <w:spacing w:after="0" w:line="29" w:lineRule="exact"/>
        <w:rPr>
          <w:rFonts w:ascii="Arial" w:cs="Arial" w:eastAsia="Arial" w:hAnsi="Arial"/>
          <w:sz w:val="17"/>
          <w:szCs w:val="17"/>
          <w:color w:val="auto"/>
        </w:rPr>
      </w:pPr>
    </w:p>
    <w:p>
      <w:pPr>
        <w:ind w:left="460" w:right="100" w:hanging="453"/>
        <w:spacing w:after="0" w:line="294"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September 7, 2004 – Federal Realty announced that its Board of Trustees increased the dividend on the Trust’s common shares by $0.06 annually, resulting in an annualized rate of $2.02 per share. This</w:t>
      </w:r>
    </w:p>
    <w:p>
      <w:pPr>
        <w:spacing w:after="0" w:line="96" w:lineRule="exact"/>
        <w:rPr>
          <w:rFonts w:ascii="Arial" w:cs="Arial" w:eastAsia="Arial" w:hAnsi="Arial"/>
          <w:sz w:val="17"/>
          <w:szCs w:val="17"/>
          <w:color w:val="auto"/>
        </w:rPr>
      </w:pPr>
    </w:p>
    <w:p>
      <w:pPr>
        <w:ind w:left="5460" w:hanging="99"/>
        <w:spacing w:after="0"/>
        <w:tabs>
          <w:tab w:leader="none" w:pos="5460" w:val="left"/>
        </w:tabs>
        <w:numPr>
          <w:ilvl w:val="1"/>
          <w:numId w:val="8"/>
        </w:numPr>
        <w:rPr>
          <w:rFonts w:ascii="Arial" w:cs="Arial" w:eastAsia="Arial" w:hAnsi="Arial"/>
          <w:sz w:val="17"/>
          <w:szCs w:val="17"/>
          <w:color w:val="auto"/>
        </w:rPr>
      </w:pPr>
      <w:r>
        <w:rPr>
          <w:rFonts w:ascii="Arial" w:cs="Arial" w:eastAsia="Arial" w:hAnsi="Arial"/>
          <w:sz w:val="17"/>
          <w:szCs w:val="17"/>
          <w:color w:val="auto"/>
        </w:rPr>
        <w:t>MORE -</w:t>
      </w:r>
    </w:p>
    <w:p>
      <w:pPr>
        <w:sectPr>
          <w:pgSz w:w="11900" w:h="16838" w:orient="portrait"/>
          <w:cols w:equalWidth="0" w:num="1">
            <w:col w:w="11360"/>
          </w:cols>
          <w:pgMar w:left="240" w:top="456"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THIRD QUARTER 2004 OPERATING RESULTS</w:t>
      </w:r>
    </w:p>
    <w:p>
      <w:pPr>
        <w:spacing w:after="0"/>
        <w:rPr>
          <w:sz w:val="20"/>
          <w:szCs w:val="20"/>
          <w:color w:val="auto"/>
        </w:rPr>
      </w:pPr>
      <w:r>
        <w:rPr>
          <w:rFonts w:ascii="Arial" w:cs="Arial" w:eastAsia="Arial" w:hAnsi="Arial"/>
          <w:sz w:val="13"/>
          <w:szCs w:val="13"/>
          <w:color w:val="auto"/>
        </w:rPr>
        <w:t>Page 4</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increase represented the 37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consecutive year that Federal Realty had increased its common dividend, the longest consecutive record in the REIT sector.</w:t>
      </w:r>
    </w:p>
    <w:p>
      <w:pPr>
        <w:spacing w:after="0" w:line="65" w:lineRule="exact"/>
        <w:rPr>
          <w:sz w:val="20"/>
          <w:szCs w:val="20"/>
          <w:color w:val="auto"/>
        </w:rPr>
      </w:pPr>
    </w:p>
    <w:p>
      <w:pPr>
        <w:ind w:left="460" w:right="120" w:hanging="453"/>
        <w:spacing w:after="0" w:line="269"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September 21, 2004 – Federal Realty announced the acquisition of two supermarket-anchored shopping centers in the Boston metropolitan area for $38 million. The two properties, Campus Plaza in Bridgewater, Mass., and Pleasant Shops in Weymouth, Mass., were acquired for the Trust’s joint venture with Clarion Lion Properties Fund.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third quarter earnings conference call, which is scheduled for November 4, 2004, at 11 a.m. Eastern Standard Time.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for 30 days by dialing (800) 679-9654.</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shopping centers and Street Retail properties. Federal Realty’s portfolio (excluding joint venture properties) contains approximately 16.8 million square feet located primarily in strategic metropolitan markets in the Northeast, Mid-Atlantic, and California. In addition, the Trust has an ownership interest in approximately 350,000 square feet of retail space through its joint venture with Clarion Lion Properties Fund. Our operating portfolio (excluding joint venture properties) was 94.2% leased to approximately 2,200 national, regional, and local retailers as of September 30, 2004, with no single tenant accounting for more than 2.3% of rental revenue. Federal Realty has paid quarterly dividends to its shareholders continuously since its founding in 1962, and has increased its dividend rate for 37 consecutive years, the longest consecutive record in the REIT industry. Shares of Federal Realty are traded on the NYSE under the symbol FRT.</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Safe Harbor Language</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11, 2004, and include the following: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20"/>
          </w:cols>
          <w:pgMar w:left="240" w:top="456"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THIRD QUARTER 2004 OPERATING RESULTS</w:t>
      </w:r>
    </w:p>
    <w:p>
      <w:pPr>
        <w:spacing w:after="0"/>
        <w:rPr>
          <w:sz w:val="20"/>
          <w:szCs w:val="20"/>
          <w:color w:val="auto"/>
        </w:rPr>
      </w:pPr>
      <w:r>
        <w:rPr>
          <w:rFonts w:ascii="Arial" w:cs="Arial" w:eastAsia="Arial" w:hAnsi="Arial"/>
          <w:sz w:val="13"/>
          <w:szCs w:val="13"/>
          <w:color w:val="auto"/>
        </w:rPr>
        <w:t>Page 5</w:t>
      </w:r>
    </w:p>
    <w:p>
      <w:pPr>
        <w:spacing w:after="0" w:line="133" w:lineRule="exact"/>
        <w:rPr>
          <w:sz w:val="20"/>
          <w:szCs w:val="20"/>
          <w:color w:val="auto"/>
        </w:rPr>
      </w:pPr>
    </w:p>
    <w:p>
      <w:pPr>
        <w:ind w:left="800" w:hanging="338"/>
        <w:spacing w:after="0"/>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that our tenants will not pay rent or that we may be unable to renew leases or re-let space at favorable rents as leases expire;</w:t>
      </w:r>
    </w:p>
    <w:p>
      <w:pPr>
        <w:spacing w:after="0" w:line="64" w:lineRule="exact"/>
        <w:rPr>
          <w:rFonts w:ascii="MS PGothic" w:cs="MS PGothic" w:eastAsia="MS PGothic" w:hAnsi="MS PGothic"/>
          <w:sz w:val="13"/>
          <w:szCs w:val="13"/>
          <w:i w:val="1"/>
          <w:iCs w:val="1"/>
          <w:color w:val="auto"/>
        </w:rPr>
      </w:pPr>
    </w:p>
    <w:p>
      <w:pPr>
        <w:ind w:left="800" w:right="140" w:hanging="338"/>
        <w:spacing w:after="0" w:line="271" w:lineRule="auto"/>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23" w:lineRule="exact"/>
        <w:rPr>
          <w:rFonts w:ascii="MS PGothic" w:cs="MS PGothic" w:eastAsia="MS PGothic" w:hAnsi="MS PGothic"/>
          <w:sz w:val="13"/>
          <w:szCs w:val="13"/>
          <w:i w:val="1"/>
          <w:iCs w:val="1"/>
          <w:color w:val="auto"/>
        </w:rPr>
      </w:pPr>
    </w:p>
    <w:p>
      <w:pPr>
        <w:ind w:left="800" w:hanging="338"/>
        <w:spacing w:after="0"/>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that the number of properties we acquire for our own account, and therefore the amount of capital we invest in acquisitions, may be impacted by our real estate partnership;</w:t>
      </w:r>
    </w:p>
    <w:p>
      <w:pPr>
        <w:spacing w:after="0" w:line="64" w:lineRule="exact"/>
        <w:rPr>
          <w:rFonts w:ascii="MS PGothic" w:cs="MS PGothic" w:eastAsia="MS PGothic" w:hAnsi="MS PGothic"/>
          <w:sz w:val="13"/>
          <w:szCs w:val="13"/>
          <w:i w:val="1"/>
          <w:iCs w:val="1"/>
          <w:color w:val="auto"/>
        </w:rPr>
      </w:pPr>
    </w:p>
    <w:p>
      <w:pPr>
        <w:jc w:val="both"/>
        <w:ind w:left="800" w:hanging="338"/>
        <w:spacing w:after="0" w:line="253" w:lineRule="auto"/>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35" w:lineRule="exact"/>
        <w:rPr>
          <w:rFonts w:ascii="MS PGothic" w:cs="MS PGothic" w:eastAsia="MS PGothic" w:hAnsi="MS PGothic"/>
          <w:sz w:val="13"/>
          <w:szCs w:val="13"/>
          <w:i w:val="1"/>
          <w:iCs w:val="1"/>
          <w:color w:val="auto"/>
        </w:rPr>
      </w:pPr>
    </w:p>
    <w:p>
      <w:pPr>
        <w:ind w:left="800" w:hanging="338"/>
        <w:spacing w:after="0"/>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that our growth will be limited if we cannot obtain additional capital;</w:t>
      </w:r>
    </w:p>
    <w:p>
      <w:pPr>
        <w:spacing w:after="0" w:line="64" w:lineRule="exact"/>
        <w:rPr>
          <w:rFonts w:ascii="MS PGothic" w:cs="MS PGothic" w:eastAsia="MS PGothic" w:hAnsi="MS PGothic"/>
          <w:sz w:val="13"/>
          <w:szCs w:val="13"/>
          <w:i w:val="1"/>
          <w:iCs w:val="1"/>
          <w:color w:val="auto"/>
        </w:rPr>
      </w:pPr>
    </w:p>
    <w:p>
      <w:pPr>
        <w:ind w:left="800" w:right="40" w:hanging="338"/>
        <w:spacing w:after="0" w:line="271" w:lineRule="auto"/>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23" w:lineRule="exact"/>
        <w:rPr>
          <w:rFonts w:ascii="MS PGothic" w:cs="MS PGothic" w:eastAsia="MS PGothic" w:hAnsi="MS PGothic"/>
          <w:sz w:val="13"/>
          <w:szCs w:val="13"/>
          <w:i w:val="1"/>
          <w:iCs w:val="1"/>
          <w:color w:val="auto"/>
        </w:rPr>
      </w:pPr>
    </w:p>
    <w:p>
      <w:pPr>
        <w:ind w:left="800" w:hanging="338"/>
        <w:spacing w:after="0" w:line="271" w:lineRule="auto"/>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4" w:lineRule="exact"/>
        <w:rPr>
          <w:sz w:val="20"/>
          <w:szCs w:val="20"/>
          <w:color w:val="auto"/>
        </w:rPr>
      </w:pPr>
    </w:p>
    <w:p>
      <w:pPr>
        <w:ind w:left="120" w:right="80"/>
        <w:spacing w:after="0" w:line="253" w:lineRule="auto"/>
        <w:rPr>
          <w:sz w:val="20"/>
          <w:szCs w:val="20"/>
          <w:color w:val="auto"/>
        </w:rPr>
      </w:pPr>
      <w:r>
        <w:rPr>
          <w:rFonts w:ascii="Arial" w:cs="Arial" w:eastAsia="Arial" w:hAnsi="Arial"/>
          <w:sz w:val="13"/>
          <w:szCs w:val="13"/>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(as amended), our quarterly reports on Form 10-Q, and the risks contained in our Current Report on Form 8-K filed with the Securities and Exchange Commission on March 11, 2004.</w:t>
      </w:r>
    </w:p>
    <w:p>
      <w:pPr>
        <w:sectPr>
          <w:pgSz w:w="11900" w:h="16838" w:orient="portrait"/>
          <w:cols w:equalWidth="0" w:num="1">
            <w:col w:w="11380"/>
          </w:cols>
          <w:pgMar w:left="240" w:top="456"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Operating Results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6"/>
          </w:tcPr>
          <w:p>
            <w:pPr>
              <w:jc w:val="right"/>
              <w:ind w:right="480"/>
              <w:spacing w:after="0"/>
              <w:rPr>
                <w:sz w:val="20"/>
                <w:szCs w:val="20"/>
                <w:color w:val="auto"/>
              </w:rPr>
            </w:pPr>
            <w:r>
              <w:rPr>
                <w:rFonts w:ascii="Arial" w:cs="Arial" w:eastAsia="Arial" w:hAnsi="Arial"/>
                <w:sz w:val="13"/>
                <w:szCs w:val="13"/>
                <w:b w:val="1"/>
                <w:bCs w:val="1"/>
                <w:color w:val="auto"/>
                <w:w w:val="98"/>
              </w:rPr>
              <w:t>Three months ended</w:t>
            </w:r>
          </w:p>
        </w:tc>
        <w:tc>
          <w:tcPr>
            <w:tcW w:w="100" w:type="dxa"/>
            <w:vAlign w:val="bottom"/>
          </w:tcPr>
          <w:p>
            <w:pPr>
              <w:spacing w:after="0"/>
              <w:rPr>
                <w:sz w:val="13"/>
                <w:szCs w:val="13"/>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5"/>
                <w:szCs w:val="15"/>
                <w:color w:val="auto"/>
              </w:rPr>
            </w:pPr>
          </w:p>
        </w:tc>
        <w:tc>
          <w:tcPr>
            <w:tcW w:w="158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3"/>
                <w:szCs w:val="13"/>
                <w:b w:val="1"/>
                <w:bCs w:val="1"/>
                <w:color w:val="auto"/>
              </w:rPr>
              <w:t>2004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1760" w:type="dxa"/>
            <w:vAlign w:val="bottom"/>
            <w:gridSpan w:val="2"/>
            <w:vMerge w:val="restart"/>
          </w:tcPr>
          <w:p>
            <w:pPr>
              <w:spacing w:after="0"/>
              <w:rPr>
                <w:sz w:val="20"/>
                <w:szCs w:val="20"/>
                <w:color w:val="auto"/>
              </w:rPr>
            </w:pPr>
            <w:r>
              <w:rPr>
                <w:rFonts w:ascii="Arial" w:cs="Arial" w:eastAsia="Arial" w:hAnsi="Arial"/>
                <w:sz w:val="17"/>
                <w:szCs w:val="17"/>
                <w:color w:val="auto"/>
                <w:w w:val="94"/>
              </w:rPr>
              <w:t>OPERATING RESULTS</w:t>
            </w:r>
          </w:p>
        </w:tc>
        <w:tc>
          <w:tcPr>
            <w:tcW w:w="6140" w:type="dxa"/>
            <w:vAlign w:val="bottom"/>
            <w:gridSpan w:val="4"/>
            <w:vMerge w:val="restart"/>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760" w:type="dxa"/>
            <w:vAlign w:val="bottom"/>
            <w:tcBorders>
              <w:bottom w:val="single" w:sz="8" w:color="auto"/>
            </w:tcBorders>
            <w:gridSpan w:val="2"/>
            <w:vMerge w:val="continue"/>
          </w:tcPr>
          <w:p>
            <w:pPr>
              <w:spacing w:after="0"/>
              <w:rPr>
                <w:sz w:val="23"/>
                <w:szCs w:val="23"/>
                <w:color w:val="auto"/>
              </w:rPr>
            </w:pPr>
          </w:p>
        </w:tc>
        <w:tc>
          <w:tcPr>
            <w:tcW w:w="6140" w:type="dxa"/>
            <w:vAlign w:val="bottom"/>
            <w:gridSpan w:val="4"/>
            <w:vMerge w:val="continue"/>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7900" w:type="dxa"/>
            <w:vAlign w:val="bottom"/>
            <w:gridSpan w:val="6"/>
          </w:tcPr>
          <w:p>
            <w:pPr>
              <w:spacing w:after="0"/>
              <w:rPr>
                <w:sz w:val="20"/>
                <w:szCs w:val="20"/>
                <w:color w:val="auto"/>
              </w:rPr>
            </w:pPr>
            <w:r>
              <w:rPr>
                <w:rFonts w:ascii="Arial" w:cs="Arial" w:eastAsia="Arial" w:hAnsi="Arial"/>
                <w:sz w:val="17"/>
                <w:szCs w:val="17"/>
                <w:b w:val="1"/>
                <w:bCs w:val="1"/>
                <w:color w:val="auto"/>
              </w:rPr>
              <w:t>Revenues</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80,424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271,975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238,563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ind w:left="200"/>
              <w:spacing w:after="0"/>
              <w:rPr>
                <w:sz w:val="20"/>
                <w:szCs w:val="20"/>
                <w:color w:val="auto"/>
              </w:rPr>
            </w:pPr>
            <w:r>
              <w:rPr>
                <w:rFonts w:ascii="Arial" w:cs="Arial" w:eastAsia="Arial" w:hAnsi="Arial"/>
                <w:sz w:val="17"/>
                <w:szCs w:val="17"/>
                <w:color w:val="auto"/>
              </w:rPr>
              <w:t>Other property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7,416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4,626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19,030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Mortgage interest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100,157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85,936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294,390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254,466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7"/>
                <w:szCs w:val="17"/>
                <w:b w:val="1"/>
                <w:bCs w:val="1"/>
                <w:color w:val="auto"/>
              </w:rPr>
              <w:t>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Rental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18,952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ind w:left="200"/>
              <w:spacing w:after="0"/>
              <w:rPr>
                <w:sz w:val="20"/>
                <w:szCs w:val="20"/>
                <w:color w:val="auto"/>
              </w:rPr>
            </w:pPr>
            <w:r>
              <w:rPr>
                <w:rFonts w:ascii="Arial" w:cs="Arial" w:eastAsia="Arial" w:hAnsi="Arial"/>
                <w:sz w:val="17"/>
                <w:szCs w:val="17"/>
                <w:color w:val="auto"/>
              </w:rPr>
              <w:t>Real estate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8,897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28,655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gridSpan w:val="5"/>
          </w:tcPr>
          <w:p>
            <w:pPr>
              <w:ind w:left="200"/>
              <w:spacing w:after="0"/>
              <w:rPr>
                <w:sz w:val="20"/>
                <w:szCs w:val="20"/>
                <w:color w:val="auto"/>
              </w:rPr>
            </w:pPr>
            <w:r>
              <w:rPr>
                <w:rFonts w:ascii="Arial" w:cs="Arial" w:eastAsia="Arial" w:hAnsi="Arial"/>
                <w:sz w:val="17"/>
                <w:szCs w:val="17"/>
                <w:color w:val="auto"/>
              </w:rPr>
              <w:t>Depreciation and amortization</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23,666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18,576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67,148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49,646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176,413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148,140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Operating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36,290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117,977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106,326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7900" w:type="dxa"/>
            <w:vAlign w:val="bottom"/>
            <w:gridSpan w:val="6"/>
          </w:tcPr>
          <w:p>
            <w:pPr>
              <w:spacing w:after="0"/>
              <w:rPr>
                <w:sz w:val="20"/>
                <w:szCs w:val="20"/>
                <w:color w:val="auto"/>
              </w:rPr>
            </w:pPr>
            <w:r>
              <w:rPr>
                <w:rFonts w:ascii="Arial" w:cs="Arial" w:eastAsia="Arial" w:hAnsi="Arial"/>
                <w:sz w:val="17"/>
                <w:szCs w:val="17"/>
                <w:color w:val="auto"/>
              </w:rPr>
              <w:t>Interest income</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548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316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1,350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(21,125)</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w w:val="91"/>
              </w:rPr>
              <w:t>(18,719)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(63,835)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(54,550)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7"/>
                <w:szCs w:val="17"/>
                <w:color w:val="auto"/>
              </w:rPr>
              <w:t>Income from real estate partnership</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(936)</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(1,053)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(3,317)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16,834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7900" w:type="dxa"/>
            <w:vAlign w:val="bottom"/>
            <w:gridSpan w:val="6"/>
          </w:tcPr>
          <w:p>
            <w:pPr>
              <w:spacing w:after="0"/>
              <w:rPr>
                <w:sz w:val="20"/>
                <w:szCs w:val="20"/>
                <w:color w:val="auto"/>
              </w:rPr>
            </w:pPr>
            <w:r>
              <w:rPr>
                <w:rFonts w:ascii="Arial" w:cs="Arial" w:eastAsia="Arial" w:hAnsi="Arial"/>
                <w:sz w:val="17"/>
                <w:szCs w:val="17"/>
                <w:color w:val="auto"/>
              </w:rPr>
              <w:t>Discontinued operations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Operating income from discontinued operations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gridSpan w:val="5"/>
          </w:tcPr>
          <w:p>
            <w:pPr>
              <w:ind w:left="200"/>
              <w:spacing w:after="0"/>
              <w:rPr>
                <w:sz w:val="20"/>
                <w:szCs w:val="20"/>
                <w:color w:val="auto"/>
              </w:rPr>
            </w:pPr>
            <w:r>
              <w:rPr>
                <w:rFonts w:ascii="Arial" w:cs="Arial" w:eastAsia="Arial" w:hAnsi="Arial"/>
                <w:sz w:val="17"/>
                <w:szCs w:val="17"/>
                <w:color w:val="auto"/>
              </w:rPr>
              <w:t>Gain on sale of real estate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997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7,172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9,331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Results from operations of discontinued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7,761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18,660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9"/>
              </w:rPr>
              <w:t>24,595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62,238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ind w:left="200"/>
              <w:spacing w:after="0"/>
              <w:rPr>
                <w:sz w:val="20"/>
                <w:szCs w:val="20"/>
                <w:color w:val="auto"/>
              </w:rPr>
            </w:pPr>
            <w:r>
              <w:rPr>
                <w:rFonts w:ascii="Arial" w:cs="Arial" w:eastAsia="Arial" w:hAnsi="Arial"/>
                <w:sz w:val="17"/>
                <w:szCs w:val="17"/>
                <w:color w:val="auto"/>
              </w:rPr>
              <w:t>Dividends on preferred stock</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(8,607)</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(12,215)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Preferred stock redemption fee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Net income available for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21,726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760" w:type="dxa"/>
            <w:vAlign w:val="bottom"/>
            <w:gridSpan w:val="2"/>
          </w:tcPr>
          <w:p>
            <w:pPr>
              <w:spacing w:after="0"/>
              <w:rPr>
                <w:sz w:val="11"/>
                <w:szCs w:val="11"/>
                <w:color w:val="auto"/>
              </w:rPr>
            </w:pPr>
          </w:p>
        </w:tc>
        <w:tc>
          <w:tcPr>
            <w:tcW w:w="1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7900" w:type="dxa"/>
            <w:vAlign w:val="bottom"/>
            <w:gridSpan w:val="6"/>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24,595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ind w:left="840"/>
              <w:spacing w:after="0"/>
              <w:rPr>
                <w:sz w:val="20"/>
                <w:szCs w:val="20"/>
                <w:color w:val="auto"/>
              </w:rPr>
            </w:pPr>
            <w:r>
              <w:rPr>
                <w:rFonts w:ascii="Arial" w:cs="Arial" w:eastAsia="Arial" w:hAnsi="Arial"/>
                <w:sz w:val="17"/>
                <w:szCs w:val="17"/>
                <w:color w:val="auto"/>
              </w:rPr>
              <w:t>Gain on sale of real estate</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(997)</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7"/>
                <w:szCs w:val="17"/>
                <w:color w:val="auto"/>
              </w:rPr>
              <w:t>(7,172)</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(9,331)</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(7,723)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Depreciation and amortization of real estate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16,974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ind w:left="840"/>
              <w:spacing w:after="0"/>
              <w:rPr>
                <w:sz w:val="20"/>
                <w:szCs w:val="20"/>
                <w:color w:val="auto"/>
              </w:rPr>
            </w:pPr>
            <w:r>
              <w:rPr>
                <w:rFonts w:ascii="Arial" w:cs="Arial" w:eastAsia="Arial" w:hAnsi="Arial"/>
                <w:sz w:val="17"/>
                <w:szCs w:val="17"/>
                <w:color w:val="auto"/>
              </w:rPr>
              <w:t>Depreciation on JV real estate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Amortization of initial direct costs of leases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Funds from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35,824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119,272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104,693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ind w:left="840"/>
              <w:spacing w:after="0"/>
              <w:rPr>
                <w:sz w:val="20"/>
                <w:szCs w:val="20"/>
                <w:color w:val="auto"/>
              </w:rPr>
            </w:pPr>
            <w:r>
              <w:rPr>
                <w:rFonts w:ascii="Arial" w:cs="Arial" w:eastAsia="Arial" w:hAnsi="Arial"/>
                <w:sz w:val="17"/>
                <w:szCs w:val="17"/>
                <w:color w:val="auto"/>
              </w:rPr>
              <w:t>Dividends on preferred stock</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(8,607)</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(12,215)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Income attributable to operating partnership units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gridSpan w:val="5"/>
          </w:tcPr>
          <w:p>
            <w:pPr>
              <w:ind w:left="840"/>
              <w:spacing w:after="0"/>
              <w:rPr>
                <w:sz w:val="20"/>
                <w:szCs w:val="20"/>
                <w:color w:val="auto"/>
              </w:rPr>
            </w:pPr>
            <w:r>
              <w:rPr>
                <w:rFonts w:ascii="Arial" w:cs="Arial" w:eastAsia="Arial" w:hAnsi="Arial"/>
                <w:sz w:val="17"/>
                <w:szCs w:val="17"/>
                <w:color w:val="auto"/>
              </w:rPr>
              <w:t>Preferred stock redemption fee</w:t>
            </w:r>
          </w:p>
        </w:tc>
        <w:tc>
          <w:tcPr>
            <w:tcW w:w="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(3,423)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Funds from operations available for common shareholders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33,330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111,697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1280"/>
              <w:spacing w:after="0"/>
              <w:rPr>
                <w:sz w:val="20"/>
                <w:szCs w:val="20"/>
                <w:color w:val="auto"/>
              </w:rPr>
            </w:pPr>
            <w:r>
              <w:rPr>
                <w:rFonts w:ascii="Arial" w:cs="Arial" w:eastAsia="Arial" w:hAnsi="Arial"/>
                <w:sz w:val="17"/>
                <w:szCs w:val="17"/>
                <w:color w:val="auto"/>
              </w:rPr>
              <w:t>Weighted average number of common shares, diluted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50,216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Funds from operations per share available for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760" w:type="dxa"/>
            <w:vAlign w:val="bottom"/>
            <w:gridSpan w:val="2"/>
          </w:tcPr>
          <w:p>
            <w:pPr>
              <w:spacing w:after="0"/>
              <w:rPr>
                <w:sz w:val="11"/>
                <w:szCs w:val="11"/>
                <w:color w:val="auto"/>
              </w:rPr>
            </w:pPr>
          </w:p>
        </w:tc>
        <w:tc>
          <w:tcPr>
            <w:tcW w:w="1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7900" w:type="dxa"/>
            <w:vAlign w:val="bottom"/>
            <w:gridSpan w:val="6"/>
          </w:tcPr>
          <w:p>
            <w:pPr>
              <w:spacing w:after="0"/>
              <w:rPr>
                <w:sz w:val="20"/>
                <w:szCs w:val="20"/>
                <w:color w:val="auto"/>
              </w:rPr>
            </w:pPr>
            <w:r>
              <w:rPr>
                <w:rFonts w:ascii="Arial" w:cs="Arial" w:eastAsia="Arial" w:hAnsi="Arial"/>
                <w:sz w:val="17"/>
                <w:szCs w:val="17"/>
                <w:color w:val="auto"/>
              </w:rPr>
              <w:t>EARNINGS PER COMMON SHARE, BASIC</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gridSpan w:val="5"/>
          </w:tcPr>
          <w:p>
            <w:pPr>
              <w:ind w:left="420"/>
              <w:spacing w:after="0"/>
              <w:rPr>
                <w:sz w:val="20"/>
                <w:szCs w:val="20"/>
                <w:color w:val="auto"/>
              </w:rPr>
            </w:pPr>
            <w:r>
              <w:rPr>
                <w:rFonts w:ascii="Arial" w:cs="Arial" w:eastAsia="Arial" w:hAnsi="Arial"/>
                <w:sz w:val="17"/>
                <w:szCs w:val="17"/>
                <w:color w:val="auto"/>
              </w:rPr>
              <w:t>Income from discontinued operations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0.16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0.20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1700"/>
              <w:spacing w:after="0"/>
              <w:rPr>
                <w:sz w:val="20"/>
                <w:szCs w:val="20"/>
                <w:color w:val="auto"/>
              </w:rPr>
            </w:pPr>
            <w:r>
              <w:rPr>
                <w:rFonts w:ascii="Arial" w:cs="Arial" w:eastAsia="Arial" w:hAnsi="Arial"/>
                <w:sz w:val="17"/>
                <w:szCs w:val="17"/>
                <w:color w:val="auto"/>
              </w:rPr>
              <w:t>Net income available for common shareholders,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620"/>
              <w:spacing w:after="0"/>
              <w:rPr>
                <w:sz w:val="20"/>
                <w:szCs w:val="20"/>
                <w:color w:val="auto"/>
              </w:rPr>
            </w:pPr>
            <w:r>
              <w:rPr>
                <w:rFonts w:ascii="Arial" w:cs="Arial" w:eastAsia="Arial" w:hAnsi="Arial"/>
                <w:sz w:val="17"/>
                <w:szCs w:val="17"/>
                <w:color w:val="auto"/>
              </w:rPr>
              <w:t>Weighted average number of common shares, 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48,935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-3621405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-3621405</wp:posOffset>
            </wp:positionV>
            <wp:extent cx="2095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-3621405</wp:posOffset>
            </wp:positionV>
            <wp:extent cx="381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-3621405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-3621405</wp:posOffset>
            </wp:positionV>
            <wp:extent cx="2095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-3621405</wp:posOffset>
            </wp:positionV>
            <wp:extent cx="381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-3621405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-3621405</wp:posOffset>
            </wp:positionV>
            <wp:extent cx="2095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-3621405</wp:posOffset>
            </wp:positionV>
            <wp:extent cx="64135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350" cy="2984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-1675130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-1675130</wp:posOffset>
            </wp:positionV>
            <wp:extent cx="2095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-1675130</wp:posOffset>
            </wp:positionV>
            <wp:extent cx="381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-1675130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-1675130</wp:posOffset>
            </wp:positionV>
            <wp:extent cx="2095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-1675130</wp:posOffset>
            </wp:positionV>
            <wp:extent cx="381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-1675130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-1675130</wp:posOffset>
            </wp:positionV>
            <wp:extent cx="2095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-1675130</wp:posOffset>
            </wp:positionV>
            <wp:extent cx="381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-1675130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6833870</wp:posOffset>
            </wp:positionH>
            <wp:positionV relativeFrom="paragraph">
              <wp:posOffset>-1675130</wp:posOffset>
            </wp:positionV>
            <wp:extent cx="2095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-1675130</wp:posOffset>
            </wp:positionV>
            <wp:extent cx="381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-1377950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-1377950</wp:posOffset>
            </wp:positionV>
            <wp:extent cx="2095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-1377950</wp:posOffset>
            </wp:positionV>
            <wp:extent cx="381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-1377950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-1377950</wp:posOffset>
            </wp:positionV>
            <wp:extent cx="2095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-1377950</wp:posOffset>
            </wp:positionV>
            <wp:extent cx="381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-1377950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-1377950</wp:posOffset>
            </wp:positionV>
            <wp:extent cx="2095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-1377950</wp:posOffset>
            </wp:positionV>
            <wp:extent cx="381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-1377950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6833870</wp:posOffset>
            </wp:positionH>
            <wp:positionV relativeFrom="paragraph">
              <wp:posOffset>-1377950</wp:posOffset>
            </wp:positionV>
            <wp:extent cx="2095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-1377950</wp:posOffset>
            </wp:positionV>
            <wp:extent cx="381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-1080770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-1080770</wp:posOffset>
            </wp:positionV>
            <wp:extent cx="2095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-1080770</wp:posOffset>
            </wp:positionV>
            <wp:extent cx="381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-1080770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-1080770</wp:posOffset>
            </wp:positionV>
            <wp:extent cx="2095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-1080770</wp:posOffset>
            </wp:positionV>
            <wp:extent cx="381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-1080770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-1080770</wp:posOffset>
            </wp:positionV>
            <wp:extent cx="2095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-1080770</wp:posOffset>
            </wp:positionV>
            <wp:extent cx="381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-1080770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6833870</wp:posOffset>
            </wp:positionH>
            <wp:positionV relativeFrom="paragraph">
              <wp:posOffset>-1080770</wp:posOffset>
            </wp:positionV>
            <wp:extent cx="2095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-1080770</wp:posOffset>
            </wp:positionV>
            <wp:extent cx="381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-231140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-231140</wp:posOffset>
            </wp:positionV>
            <wp:extent cx="2095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-231140</wp:posOffset>
            </wp:positionV>
            <wp:extent cx="381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-231140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-231140</wp:posOffset>
            </wp:positionV>
            <wp:extent cx="2095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-231140</wp:posOffset>
            </wp:positionV>
            <wp:extent cx="381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-231140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-231140</wp:posOffset>
            </wp:positionV>
            <wp:extent cx="2095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-231140</wp:posOffset>
            </wp:positionV>
            <wp:extent cx="381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-231140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6833870</wp:posOffset>
            </wp:positionH>
            <wp:positionV relativeFrom="paragraph">
              <wp:posOffset>-231140</wp:posOffset>
            </wp:positionV>
            <wp:extent cx="2095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-231140</wp:posOffset>
            </wp:positionV>
            <wp:extent cx="381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9" w:orient="portrait"/>
          <w:cols w:equalWidth="0" w:num="1">
            <w:col w:w="11420"/>
          </w:cols>
          <w:pgMar w:left="240" w:top="456"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7880" w:type="dxa"/>
            <w:vAlign w:val="bottom"/>
            <w:gridSpan w:val="2"/>
          </w:tcPr>
          <w:p>
            <w:pPr>
              <w:spacing w:after="0"/>
              <w:rPr>
                <w:sz w:val="20"/>
                <w:szCs w:val="20"/>
                <w:color w:val="auto"/>
              </w:rPr>
            </w:pPr>
            <w:r>
              <w:rPr>
                <w:rFonts w:ascii="Arial" w:cs="Arial" w:eastAsia="Arial" w:hAnsi="Arial"/>
                <w:sz w:val="17"/>
                <w:szCs w:val="17"/>
                <w:color w:val="auto"/>
              </w:rPr>
              <w:t>EARNINGS PER COMMON SHARE, DILUTED</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354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4"/>
        </w:trPr>
        <w:tc>
          <w:tcPr>
            <w:tcW w:w="78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60" w:type="dxa"/>
            <w:vAlign w:val="bottom"/>
            <w:shd w:val="clear" w:color="auto" w:fill="CCEEFF"/>
          </w:tcPr>
          <w:p>
            <w:pPr>
              <w:spacing w:after="0"/>
              <w:rPr>
                <w:sz w:val="18"/>
                <w:szCs w:val="18"/>
                <w:color w:val="auto"/>
              </w:rPr>
            </w:pPr>
          </w:p>
        </w:tc>
      </w:tr>
      <w:tr>
        <w:trPr>
          <w:trHeight w:val="221"/>
        </w:trPr>
        <w:tc>
          <w:tcPr>
            <w:tcW w:w="7880" w:type="dxa"/>
            <w:vAlign w:val="bottom"/>
            <w:gridSpan w:val="2"/>
          </w:tcPr>
          <w:p>
            <w:pPr>
              <w:ind w:left="440"/>
              <w:spacing w:after="0"/>
              <w:rPr>
                <w:sz w:val="20"/>
                <w:szCs w:val="20"/>
                <w:color w:val="auto"/>
              </w:rPr>
            </w:pPr>
            <w:r>
              <w:rPr>
                <w:rFonts w:ascii="Arial" w:cs="Arial" w:eastAsia="Arial" w:hAnsi="Arial"/>
                <w:sz w:val="17"/>
                <w:szCs w:val="17"/>
                <w:color w:val="auto"/>
              </w:rPr>
              <w:t>Income from discontinued operations</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0.15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0.20</w:t>
            </w:r>
          </w:p>
        </w:tc>
        <w:tc>
          <w:tcPr>
            <w:tcW w:w="60" w:type="dxa"/>
            <w:vAlign w:val="bottom"/>
          </w:tcPr>
          <w:p>
            <w:pPr>
              <w:spacing w:after="0"/>
              <w:rPr>
                <w:sz w:val="19"/>
                <w:szCs w:val="19"/>
                <w:color w:val="auto"/>
              </w:rPr>
            </w:pPr>
          </w:p>
        </w:tc>
      </w:tr>
      <w:tr>
        <w:trPr>
          <w:trHeight w:val="100"/>
        </w:trPr>
        <w:tc>
          <w:tcPr>
            <w:tcW w:w="35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0"/>
        </w:trPr>
        <w:tc>
          <w:tcPr>
            <w:tcW w:w="35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4"/>
        </w:trPr>
        <w:tc>
          <w:tcPr>
            <w:tcW w:w="7880" w:type="dxa"/>
            <w:vAlign w:val="bottom"/>
            <w:gridSpan w:val="2"/>
            <w:shd w:val="clear" w:color="auto" w:fill="CCEEFF"/>
          </w:tcPr>
          <w:p>
            <w:pPr>
              <w:ind w:left="1720"/>
              <w:spacing w:after="0"/>
              <w:rPr>
                <w:sz w:val="20"/>
                <w:szCs w:val="20"/>
                <w:color w:val="auto"/>
              </w:rPr>
            </w:pPr>
            <w:r>
              <w:rPr>
                <w:rFonts w:ascii="Arial" w:cs="Arial" w:eastAsia="Arial" w:hAnsi="Arial"/>
                <w:sz w:val="17"/>
                <w:szCs w:val="17"/>
                <w:color w:val="auto"/>
              </w:rPr>
              <w:t>Net income available for common shareholders,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0.92</w:t>
            </w:r>
          </w:p>
        </w:tc>
        <w:tc>
          <w:tcPr>
            <w:tcW w:w="60" w:type="dxa"/>
            <w:vAlign w:val="bottom"/>
            <w:shd w:val="clear" w:color="auto" w:fill="CCEEFF"/>
          </w:tcPr>
          <w:p>
            <w:pPr>
              <w:spacing w:after="0"/>
              <w:rPr>
                <w:sz w:val="18"/>
                <w:szCs w:val="18"/>
                <w:color w:val="auto"/>
              </w:rPr>
            </w:pPr>
          </w:p>
        </w:tc>
      </w:tr>
      <w:tr>
        <w:trPr>
          <w:trHeight w:val="130"/>
        </w:trPr>
        <w:tc>
          <w:tcPr>
            <w:tcW w:w="35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4"/>
        </w:trPr>
        <w:tc>
          <w:tcPr>
            <w:tcW w:w="354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4"/>
        </w:trPr>
        <w:tc>
          <w:tcPr>
            <w:tcW w:w="78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Weighted average number of common shares, diluted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52,934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50,216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48,004</w:t>
            </w:r>
          </w:p>
        </w:tc>
        <w:tc>
          <w:tcPr>
            <w:tcW w:w="60" w:type="dxa"/>
            <w:vAlign w:val="bottom"/>
            <w:shd w:val="clear" w:color="auto" w:fill="CCEEFF"/>
          </w:tcPr>
          <w:p>
            <w:pPr>
              <w:spacing w:after="0"/>
              <w:rPr>
                <w:sz w:val="18"/>
                <w:szCs w:val="18"/>
                <w:color w:val="auto"/>
              </w:rPr>
            </w:pPr>
          </w:p>
        </w:tc>
      </w:tr>
      <w:tr>
        <w:trPr>
          <w:trHeight w:val="130"/>
        </w:trPr>
        <w:tc>
          <w:tcPr>
            <w:tcW w:w="35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5159375</wp:posOffset>
            </wp:positionH>
            <wp:positionV relativeFrom="page">
              <wp:posOffset>88900</wp:posOffset>
            </wp:positionV>
            <wp:extent cx="2230120" cy="27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30120" cy="2730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-326390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-326390</wp:posOffset>
            </wp:positionV>
            <wp:extent cx="2095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-326390</wp:posOffset>
            </wp:positionV>
            <wp:extent cx="381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-326390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-326390</wp:posOffset>
            </wp:positionV>
            <wp:extent cx="2095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-326390</wp:posOffset>
            </wp:positionV>
            <wp:extent cx="381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-326390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-326390</wp:posOffset>
            </wp:positionV>
            <wp:extent cx="2095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-326390</wp:posOffset>
            </wp:positionV>
            <wp:extent cx="64135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350" cy="2984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-29210</wp:posOffset>
            </wp:positionV>
            <wp:extent cx="2095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-29210</wp:posOffset>
            </wp:positionV>
            <wp:extent cx="181419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14195" cy="2984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3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3"/>
                <w:szCs w:val="13"/>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320" w:type="dxa"/>
            <w:vAlign w:val="bottom"/>
          </w:tcPr>
          <w:p>
            <w:pPr>
              <w:spacing w:after="0"/>
              <w:rPr>
                <w:sz w:val="21"/>
                <w:szCs w:val="21"/>
                <w:color w:val="auto"/>
              </w:rPr>
            </w:pPr>
          </w:p>
        </w:tc>
        <w:tc>
          <w:tcPr>
            <w:tcW w:w="1220" w:type="dxa"/>
            <w:vAlign w:val="bottom"/>
            <w:gridSpan w:val="3"/>
          </w:tcPr>
          <w:p>
            <w:pPr>
              <w:ind w:left="80"/>
              <w:spacing w:after="0"/>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934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2,659,903</w:t>
            </w:r>
          </w:p>
        </w:tc>
        <w:tc>
          <w:tcPr>
            <w:tcW w:w="4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2,470,149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(573,246)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(514,177)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Net real estate investments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2,086,657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1,955,972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93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23,437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34,968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7"/>
                <w:szCs w:val="17"/>
                <w:color w:val="auto"/>
              </w:rPr>
              <w:t>Accounts and notes receivable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34,748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7"/>
                <w:szCs w:val="17"/>
                <w:color w:val="auto"/>
              </w:rPr>
              <w:t>Investment in real estate partnership</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14,078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2,281,020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2,143,435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934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Obligations under capital leases and mortgage loans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411,831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tcPr>
          <w:p>
            <w:pPr>
              <w:ind w:left="840"/>
              <w:spacing w:after="0"/>
              <w:rPr>
                <w:sz w:val="20"/>
                <w:szCs w:val="20"/>
                <w:color w:val="auto"/>
              </w:rPr>
            </w:pPr>
            <w:r>
              <w:rPr>
                <w:rFonts w:ascii="Arial" w:cs="Arial" w:eastAsia="Arial" w:hAnsi="Arial"/>
                <w:sz w:val="17"/>
                <w:szCs w:val="17"/>
                <w:color w:val="auto"/>
              </w:rPr>
              <w:t>Notes payable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320,090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361,323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Senior notes and debentures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567,980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20" w:type="dxa"/>
            <w:vAlign w:val="bottom"/>
          </w:tcPr>
          <w:p>
            <w:pPr>
              <w:ind w:left="840"/>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156,106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111,799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1,456,007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1,422,479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9340" w:type="dxa"/>
            <w:vAlign w:val="bottom"/>
            <w:gridSpan w:val="2"/>
          </w:tcPr>
          <w:p>
            <w:pPr>
              <w:spacing w:after="0"/>
              <w:rPr>
                <w:sz w:val="20"/>
                <w:szCs w:val="20"/>
                <w:color w:val="auto"/>
              </w:rPr>
            </w:pPr>
            <w:r>
              <w:rPr>
                <w:rFonts w:ascii="Arial" w:cs="Arial" w:eastAsia="Arial" w:hAnsi="Arial"/>
                <w:sz w:val="17"/>
                <w:szCs w:val="17"/>
                <w:color w:val="auto"/>
              </w:rPr>
              <w:t>Minority interests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35,250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29,582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tcPr>
          <w:p>
            <w:pPr>
              <w:ind w:left="840"/>
              <w:spacing w:after="0"/>
              <w:rPr>
                <w:sz w:val="20"/>
                <w:szCs w:val="20"/>
                <w:color w:val="auto"/>
              </w:rPr>
            </w:pPr>
            <w:r>
              <w:rPr>
                <w:rFonts w:ascii="Arial" w:cs="Arial" w:eastAsia="Arial" w:hAnsi="Arial"/>
                <w:sz w:val="17"/>
                <w:szCs w:val="17"/>
                <w:color w:val="auto"/>
              </w:rPr>
              <w:t>Preferred stock</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135,000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Common shares and other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654,763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789,763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2,281,020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2,143,435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5933440</wp:posOffset>
            </wp:positionH>
            <wp:positionV relativeFrom="paragraph">
              <wp:posOffset>-2595245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-2595245</wp:posOffset>
            </wp:positionV>
            <wp:extent cx="2095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-2595245</wp:posOffset>
            </wp:positionV>
            <wp:extent cx="381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6706235</wp:posOffset>
            </wp:positionH>
            <wp:positionV relativeFrom="paragraph">
              <wp:posOffset>-2595245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-2595245</wp:posOffset>
            </wp:positionV>
            <wp:extent cx="2095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-2595245</wp:posOffset>
            </wp:positionV>
            <wp:extent cx="381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-29210</wp:posOffset>
            </wp:positionV>
            <wp:extent cx="2095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-29210</wp:posOffset>
            </wp:positionV>
            <wp:extent cx="381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6706235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-29210</wp:posOffset>
            </wp:positionV>
            <wp:extent cx="2095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-29210</wp:posOffset>
            </wp:positionV>
            <wp:extent cx="381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5" w:lineRule="exact"/>
        <w:rPr>
          <w:sz w:val="20"/>
          <w:szCs w:val="20"/>
          <w:color w:val="auto"/>
        </w:rPr>
      </w:pPr>
    </w:p>
    <w:p>
      <w:pPr>
        <w:ind w:left="9240"/>
        <w:spacing w:after="0"/>
        <w:rPr>
          <w:sz w:val="20"/>
          <w:szCs w:val="20"/>
          <w:color w:val="auto"/>
        </w:rPr>
      </w:pPr>
      <w:r>
        <w:rPr>
          <w:rFonts w:ascii="Arial" w:cs="Arial" w:eastAsia="Arial" w:hAnsi="Arial"/>
          <w:sz w:val="12"/>
          <w:szCs w:val="1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5349240</wp:posOffset>
            </wp:positionH>
            <wp:positionV relativeFrom="paragraph">
              <wp:posOffset>81915</wp:posOffset>
            </wp:positionV>
            <wp:extent cx="18097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09750" cy="825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p>
      <w:pPr>
        <w:spacing w:after="0" w:line="237" w:lineRule="exact"/>
        <w:rPr>
          <w:sz w:val="20"/>
          <w:szCs w:val="20"/>
          <w:color w:val="auto"/>
        </w:rPr>
      </w:pPr>
    </w:p>
    <w:p>
      <w:pPr>
        <w:jc w:val="center"/>
        <w:ind w:left="8120"/>
        <w:spacing w:after="0"/>
        <w:rPr>
          <w:sz w:val="20"/>
          <w:szCs w:val="20"/>
          <w:color w:val="auto"/>
        </w:rPr>
      </w:pPr>
      <w:r>
        <w:rPr>
          <w:rFonts w:ascii="Arial" w:cs="Arial" w:eastAsia="Arial" w:hAnsi="Arial"/>
          <w:sz w:val="11"/>
          <w:szCs w:val="11"/>
          <w:b w:val="1"/>
          <w:bCs w:val="1"/>
          <w:color w:val="auto"/>
        </w:rPr>
        <w:t>September 30,</w:t>
      </w:r>
    </w:p>
    <w:p>
      <w:pPr>
        <w:spacing w:after="0" w:line="35" w:lineRule="exact"/>
        <w:rPr>
          <w:sz w:val="20"/>
          <w:szCs w:val="20"/>
          <w:color w:val="auto"/>
        </w:rPr>
      </w:pPr>
    </w:p>
    <w:p>
      <w:pPr>
        <w:jc w:val="center"/>
        <w:ind w:left="8120"/>
        <w:spacing w:after="0"/>
        <w:rPr>
          <w:sz w:val="20"/>
          <w:szCs w:val="20"/>
          <w:color w:val="auto"/>
        </w:rPr>
      </w:pPr>
      <w:r>
        <w:rPr>
          <w:rFonts w:ascii="Arial" w:cs="Arial" w:eastAsia="Arial" w:hAnsi="Arial"/>
          <w:sz w:val="13"/>
          <w:szCs w:val="13"/>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5349240</wp:posOffset>
            </wp:positionH>
            <wp:positionV relativeFrom="paragraph">
              <wp:posOffset>66040</wp:posOffset>
            </wp:positionV>
            <wp:extent cx="5949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49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220"/>
        <w:spacing w:after="0"/>
        <w:rPr>
          <w:sz w:val="20"/>
          <w:szCs w:val="20"/>
          <w:color w:val="auto"/>
        </w:rPr>
      </w:pPr>
      <w:r>
        <w:rPr>
          <w:rFonts w:ascii="Arial" w:cs="Arial" w:eastAsia="Arial" w:hAnsi="Arial"/>
          <w:sz w:val="11"/>
          <w:szCs w:val="11"/>
          <w:b w:val="1"/>
          <w:bCs w:val="1"/>
          <w:color w:val="auto"/>
        </w:rPr>
        <w:t>September 30,</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66040</wp:posOffset>
            </wp:positionV>
            <wp:extent cx="6115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1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60" w:space="720"/>
            <w:col w:w="1040"/>
          </w:cols>
          <w:pgMar w:left="240" w:top="456" w:right="239" w:bottom="1440" w:gutter="0" w:footer="0" w:header="0"/>
          <w:type w:val="continuous"/>
        </w:sectPr>
      </w:pPr>
    </w:p>
    <w:p>
      <w:pPr>
        <w:spacing w:after="0" w:line="11" w:lineRule="exact"/>
        <w:rPr>
          <w:sz w:val="20"/>
          <w:szCs w:val="20"/>
          <w:color w:val="auto"/>
        </w:rPr>
      </w:pPr>
    </w:p>
    <w:p>
      <w:pPr>
        <w:ind w:left="8800"/>
        <w:spacing w:after="0"/>
        <w:rPr>
          <w:sz w:val="20"/>
          <w:szCs w:val="20"/>
          <w:color w:val="auto"/>
        </w:rPr>
      </w:pPr>
      <w:r>
        <w:rPr>
          <w:rFonts w:ascii="Arial" w:cs="Arial" w:eastAsia="Arial" w:hAnsi="Arial"/>
          <w:sz w:val="13"/>
          <w:szCs w:val="13"/>
          <w:b w:val="1"/>
          <w:bCs w:val="1"/>
          <w:color w:val="auto"/>
        </w:rPr>
        <w:t>(in thousands, except per share data)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Funds from Operations available for common shareholders (FFO) (1)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18,660</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(Gain) on sale of real estate</w:t>
            </w:r>
          </w:p>
        </w:tc>
        <w:tc>
          <w:tcPr>
            <w:tcW w:w="140" w:type="dxa"/>
            <w:vAlign w:val="bottom"/>
          </w:tcPr>
          <w:p>
            <w:pPr>
              <w:spacing w:after="0"/>
              <w:rPr>
                <w:sz w:val="18"/>
                <w:szCs w:val="18"/>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7"/>
                <w:szCs w:val="17"/>
                <w:color w:val="auto"/>
              </w:rPr>
              <w:t>(997)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(7,172)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Depreciation and amortization of real estate assets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21,376</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Depreciation of joint venture real estate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Amortization of initial direct costs of leases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Funds from Operations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40,971</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Dividends on preferred stock</w:t>
            </w:r>
          </w:p>
        </w:tc>
        <w:tc>
          <w:tcPr>
            <w:tcW w:w="140" w:type="dxa"/>
            <w:vAlign w:val="bottom"/>
          </w:tcPr>
          <w:p>
            <w:pPr>
              <w:spacing w:after="0"/>
              <w:rPr>
                <w:sz w:val="18"/>
                <w:szCs w:val="18"/>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7"/>
                <w:szCs w:val="17"/>
                <w:color w:val="auto"/>
              </w:rPr>
              <w:t>(2,869)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(2,869)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Income attributable to operating partnership units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Preferred stock redemption fee</w:t>
            </w:r>
          </w:p>
        </w:tc>
        <w:tc>
          <w:tcPr>
            <w:tcW w:w="140" w:type="dxa"/>
            <w:vAlign w:val="bottom"/>
          </w:tcPr>
          <w:p>
            <w:pPr>
              <w:spacing w:after="0"/>
              <w:rPr>
                <w:sz w:val="19"/>
                <w:szCs w:val="19"/>
                <w:color w:val="auto"/>
              </w:rPr>
            </w:pPr>
          </w:p>
        </w:tc>
        <w:tc>
          <w:tcPr>
            <w:tcW w:w="1760" w:type="dxa"/>
            <w:vAlign w:val="bottom"/>
            <w:gridSpan w:val="3"/>
          </w:tcPr>
          <w:p>
            <w:pPr>
              <w:ind w:left="5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Funds from operations available for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38,344</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33,330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52,934</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420" w:type="dxa"/>
            <w:vAlign w:val="bottom"/>
            <w:gridSpan w:val="4"/>
          </w:tcPr>
          <w:p>
            <w:pPr>
              <w:spacing w:after="0"/>
              <w:rPr>
                <w:sz w:val="20"/>
                <w:szCs w:val="20"/>
                <w:color w:val="auto"/>
              </w:rPr>
            </w:pPr>
            <w:r>
              <w:rPr>
                <w:rFonts w:ascii="Arial" w:cs="Arial" w:eastAsia="Arial" w:hAnsi="Arial"/>
                <w:sz w:val="17"/>
                <w:szCs w:val="17"/>
                <w:b w:val="1"/>
                <w:bCs w:val="1"/>
                <w:color w:val="auto"/>
              </w:rPr>
              <w:t>Funds from operations per share, diluted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0.72</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0.66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42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Summary of Capital Expenditures</w:t>
            </w: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84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8420" w:type="dxa"/>
            <w:vAlign w:val="bottom"/>
            <w:gridSpan w:val="4"/>
          </w:tcPr>
          <w:p>
            <w:pPr>
              <w:spacing w:after="0"/>
              <w:rPr>
                <w:sz w:val="20"/>
                <w:szCs w:val="20"/>
                <w:color w:val="auto"/>
              </w:rPr>
            </w:pPr>
            <w:r>
              <w:rPr>
                <w:rFonts w:ascii="Arial" w:cs="Arial" w:eastAsia="Arial" w:hAnsi="Arial"/>
                <w:sz w:val="17"/>
                <w:szCs w:val="17"/>
                <w:color w:val="auto"/>
              </w:rPr>
              <w:t>Non-maintenance capital expenditures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Acquisition related (2)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Capital expenditures related to new square footage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1,539</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Development, redevelopment and expansions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22,058</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Tenant improvements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6,151</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non-maintenance capital expenditures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31,495</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0" w:type="dxa"/>
            <w:vAlign w:val="bottom"/>
            <w:gridSpan w:val="3"/>
          </w:tcPr>
          <w:p>
            <w:pPr>
              <w:spacing w:after="0"/>
              <w:rPr>
                <w:sz w:val="20"/>
                <w:szCs w:val="20"/>
                <w:color w:val="auto"/>
              </w:rPr>
            </w:pPr>
            <w:r>
              <w:rPr>
                <w:rFonts w:ascii="Arial" w:cs="Arial" w:eastAsia="Arial" w:hAnsi="Arial"/>
                <w:sz w:val="17"/>
                <w:szCs w:val="17"/>
                <w:color w:val="auto"/>
              </w:rPr>
              <w:t>Maintenance capital expenditures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2,007</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33,502</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33,489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42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Dividends and Payout Ratios</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84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Common dividends declared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26,151</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Dividend payout ratio % - FFO</w:t>
            </w:r>
          </w:p>
        </w:tc>
        <w:tc>
          <w:tcPr>
            <w:tcW w:w="140" w:type="dxa"/>
            <w:vAlign w:val="bottom"/>
          </w:tcPr>
          <w:p>
            <w:pPr>
              <w:spacing w:after="0"/>
              <w:rPr>
                <w:sz w:val="24"/>
                <w:szCs w:val="24"/>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5346700</wp:posOffset>
            </wp:positionH>
            <wp:positionV relativeFrom="paragraph">
              <wp:posOffset>-2813050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-2813050</wp:posOffset>
            </wp:positionV>
            <wp:extent cx="2095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-2813050</wp:posOffset>
            </wp:positionV>
            <wp:extent cx="381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-2813050</wp:posOffset>
            </wp:positionV>
            <wp:extent cx="64135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350" cy="2984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-2311400</wp:posOffset>
            </wp:positionV>
            <wp:extent cx="62420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4205" cy="2984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-2311400</wp:posOffset>
            </wp:positionV>
            <wp:extent cx="64135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350" cy="2984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-569595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-569595</wp:posOffset>
            </wp:positionV>
            <wp:extent cx="2095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-569595</wp:posOffset>
            </wp:positionV>
            <wp:extent cx="381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-569595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-569595</wp:posOffset>
            </wp:positionV>
            <wp:extent cx="2095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-569595</wp:posOffset>
            </wp:positionV>
            <wp:extent cx="381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69215</wp:posOffset>
            </wp:positionV>
            <wp:extent cx="5949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4995" cy="825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8" w:lineRule="exact"/>
        <w:rPr>
          <w:rFonts w:ascii="Arial" w:cs="Arial" w:eastAsia="Arial" w:hAnsi="Arial"/>
          <w:sz w:val="17"/>
          <w:szCs w:val="17"/>
          <w:color w:val="auto"/>
        </w:rPr>
      </w:pPr>
    </w:p>
    <w:p>
      <w:pPr>
        <w:ind w:left="460" w:right="120" w:hanging="453"/>
        <w:spacing w:after="0" w:line="28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Capital expenditures related to properties acquired in the last two years for which non-maintenance expenditures were planned at the time of the acquisition underwriting.</w:t>
      </w:r>
    </w:p>
    <w:p>
      <w:pPr>
        <w:sectPr>
          <w:pgSz w:w="11900" w:h="16838" w:orient="portrait"/>
          <w:cols w:equalWidth="0" w:num="1">
            <w:col w:w="11420"/>
          </w:cols>
          <w:pgMar w:left="240" w:top="456"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 / Capital Availability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5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jc w:val="right"/>
              <w:ind w:right="273"/>
              <w:spacing w:after="0"/>
              <w:rPr>
                <w:sz w:val="20"/>
                <w:szCs w:val="20"/>
                <w:color w:val="auto"/>
              </w:rPr>
            </w:pPr>
            <w:r>
              <w:rPr>
                <w:rFonts w:ascii="Arial" w:cs="Arial" w:eastAsia="Arial" w:hAnsi="Arial"/>
                <w:sz w:val="13"/>
                <w:szCs w:val="13"/>
                <w:b w:val="1"/>
                <w:bCs w:val="1"/>
                <w:color w:val="auto"/>
                <w:w w:val="98"/>
              </w:rPr>
              <w:t>As of</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6"/>
              </w:rPr>
              <w:t>September 30,</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50" w:type="dxa"/>
            <w:vAlign w:val="bottom"/>
          </w:tcPr>
          <w:p>
            <w:pPr>
              <w:jc w:val="right"/>
              <w:ind w:right="256"/>
              <w:spacing w:after="0"/>
              <w:rPr>
                <w:sz w:val="20"/>
                <w:szCs w:val="20"/>
                <w:color w:val="auto"/>
              </w:rPr>
            </w:pPr>
            <w:r>
              <w:rPr>
                <w:rFonts w:ascii="Arial" w:cs="Arial" w:eastAsia="Arial" w:hAnsi="Arial"/>
                <w:sz w:val="13"/>
                <w:szCs w:val="13"/>
                <w:b w:val="1"/>
                <w:bCs w:val="1"/>
                <w:color w:val="auto"/>
              </w:rPr>
              <w:t>2004</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74"/>
              <w:spacing w:after="0"/>
              <w:rPr>
                <w:sz w:val="20"/>
                <w:szCs w:val="20"/>
                <w:color w:val="auto"/>
              </w:rPr>
            </w:pPr>
            <w:r>
              <w:rPr>
                <w:rFonts w:ascii="Arial" w:cs="Arial" w:eastAsia="Arial" w:hAnsi="Arial"/>
                <w:sz w:val="13"/>
                <w:szCs w:val="13"/>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7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86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Market data</w:t>
            </w:r>
          </w:p>
        </w:tc>
        <w:tc>
          <w:tcPr>
            <w:tcW w:w="90" w:type="dxa"/>
            <w:vAlign w:val="bottom"/>
          </w:tcPr>
          <w:p>
            <w:pPr>
              <w:spacing w:after="0"/>
              <w:rPr>
                <w:sz w:val="22"/>
                <w:szCs w:val="22"/>
                <w:color w:val="auto"/>
              </w:rPr>
            </w:pPr>
          </w:p>
        </w:tc>
        <w:tc>
          <w:tcPr>
            <w:tcW w:w="2730" w:type="dxa"/>
            <w:vAlign w:val="bottom"/>
            <w:gridSpan w:val="7"/>
          </w:tcPr>
          <w:p>
            <w:pPr>
              <w:jc w:val="right"/>
              <w:ind w:right="440"/>
              <w:spacing w:after="0"/>
              <w:rPr>
                <w:sz w:val="20"/>
                <w:szCs w:val="20"/>
                <w:color w:val="auto"/>
              </w:rPr>
            </w:pPr>
            <w:r>
              <w:rPr>
                <w:rFonts w:ascii="Arial" w:cs="Arial" w:eastAsia="Arial" w:hAnsi="Arial"/>
                <w:sz w:val="13"/>
                <w:szCs w:val="13"/>
                <w:b w:val="1"/>
                <w:bCs w:val="1"/>
                <w:color w:val="auto"/>
                <w:w w:val="98"/>
              </w:rPr>
              <w:t>(in thousands, except per share data)</w:t>
            </w:r>
          </w:p>
        </w:tc>
        <w:tc>
          <w:tcPr>
            <w:tcW w:w="0" w:type="dxa"/>
            <w:vAlign w:val="bottom"/>
          </w:tcPr>
          <w:p>
            <w:pPr>
              <w:spacing w:after="0"/>
              <w:rPr>
                <w:sz w:val="1"/>
                <w:szCs w:val="1"/>
                <w:color w:val="auto"/>
              </w:rPr>
            </w:pPr>
          </w:p>
        </w:tc>
      </w:tr>
      <w:tr>
        <w:trPr>
          <w:trHeight w:val="200"/>
        </w:trPr>
        <w:tc>
          <w:tcPr>
            <w:tcW w:w="8600" w:type="dxa"/>
            <w:vAlign w:val="bottom"/>
            <w:gridSpan w:val="2"/>
            <w:vMerge w:val="continue"/>
          </w:tcPr>
          <w:p>
            <w:pPr>
              <w:spacing w:after="0"/>
              <w:rPr>
                <w:sz w:val="17"/>
                <w:szCs w:val="17"/>
                <w:color w:val="auto"/>
              </w:rPr>
            </w:pPr>
          </w:p>
        </w:tc>
        <w:tc>
          <w:tcPr>
            <w:tcW w:w="90" w:type="dxa"/>
            <w:vAlign w:val="bottom"/>
          </w:tcPr>
          <w:p>
            <w:pPr>
              <w:spacing w:after="0"/>
              <w:rPr>
                <w:sz w:val="17"/>
                <w:szCs w:val="17"/>
                <w:color w:val="auto"/>
              </w:rPr>
            </w:pPr>
          </w:p>
        </w:tc>
        <w:tc>
          <w:tcPr>
            <w:tcW w:w="85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Common shares outstanding (1)</w:t>
            </w:r>
          </w:p>
        </w:tc>
        <w:tc>
          <w:tcPr>
            <w:tcW w:w="9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51,908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Market price per common share</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50" w:type="dxa"/>
            <w:vAlign w:val="bottom"/>
          </w:tcPr>
          <w:p>
            <w:pPr>
              <w:jc w:val="right"/>
              <w:spacing w:after="0"/>
              <w:rPr>
                <w:sz w:val="20"/>
                <w:szCs w:val="20"/>
                <w:color w:val="auto"/>
              </w:rPr>
            </w:pPr>
            <w:r>
              <w:rPr>
                <w:rFonts w:ascii="Arial" w:cs="Arial" w:eastAsia="Arial" w:hAnsi="Arial"/>
                <w:sz w:val="17"/>
                <w:szCs w:val="17"/>
                <w:color w:val="auto"/>
              </w:rPr>
              <w:t>44.00</w:t>
            </w:r>
          </w:p>
        </w:tc>
        <w:tc>
          <w:tcPr>
            <w:tcW w:w="2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36.86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90" w:type="dxa"/>
            <w:vAlign w:val="bottom"/>
          </w:tcPr>
          <w:p>
            <w:pPr>
              <w:spacing w:after="0"/>
              <w:rPr>
                <w:sz w:val="8"/>
                <w:szCs w:val="8"/>
                <w:color w:val="auto"/>
              </w:rPr>
            </w:pPr>
          </w:p>
        </w:tc>
        <w:tc>
          <w:tcPr>
            <w:tcW w:w="85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6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Common equity market capitalization</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2,283,952</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1,812,185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Series B preferred shares outstanding</w:t>
            </w:r>
          </w:p>
        </w:tc>
        <w:tc>
          <w:tcPr>
            <w:tcW w:w="90" w:type="dxa"/>
            <w:vAlign w:val="bottom"/>
          </w:tcPr>
          <w:p>
            <w:pPr>
              <w:spacing w:after="0"/>
              <w:rPr>
                <w:sz w:val="24"/>
                <w:szCs w:val="24"/>
                <w:color w:val="auto"/>
              </w:rPr>
            </w:pPr>
          </w:p>
        </w:tc>
        <w:tc>
          <w:tcPr>
            <w:tcW w:w="850" w:type="dxa"/>
            <w:vAlign w:val="bottom"/>
          </w:tcPr>
          <w:p>
            <w:pPr>
              <w:jc w:val="right"/>
              <w:spacing w:after="0"/>
              <w:rPr>
                <w:sz w:val="20"/>
                <w:szCs w:val="20"/>
                <w:color w:val="auto"/>
              </w:rPr>
            </w:pPr>
            <w:r>
              <w:rPr>
                <w:rFonts w:ascii="Arial" w:cs="Arial" w:eastAsia="Arial" w:hAnsi="Arial"/>
                <w:sz w:val="17"/>
                <w:szCs w:val="17"/>
                <w:color w:val="auto"/>
              </w:rPr>
              <w:t>5,400</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Market price per Series B preferred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27.17</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90" w:type="dxa"/>
            <w:vAlign w:val="bottom"/>
          </w:tcPr>
          <w:p>
            <w:pPr>
              <w:spacing w:after="0"/>
              <w:rPr>
                <w:sz w:val="8"/>
                <w:szCs w:val="8"/>
                <w:color w:val="auto"/>
              </w:rPr>
            </w:pPr>
          </w:p>
        </w:tc>
        <w:tc>
          <w:tcPr>
            <w:tcW w:w="85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6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Preferred equity market capitalization</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146,718</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90" w:type="dxa"/>
            <w:vAlign w:val="bottom"/>
          </w:tcPr>
          <w:p>
            <w:pPr>
              <w:spacing w:after="0"/>
              <w:rPr>
                <w:sz w:val="8"/>
                <w:szCs w:val="8"/>
                <w:color w:val="auto"/>
              </w:rPr>
            </w:pPr>
          </w:p>
        </w:tc>
        <w:tc>
          <w:tcPr>
            <w:tcW w:w="85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Equity market capitalization</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2,430,670</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1,957,985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Total debt (2)</w:t>
            </w:r>
          </w:p>
        </w:tc>
        <w:tc>
          <w:tcPr>
            <w:tcW w:w="90" w:type="dxa"/>
            <w:vAlign w:val="bottom"/>
          </w:tcPr>
          <w:p>
            <w:pPr>
              <w:spacing w:after="0"/>
              <w:rPr>
                <w:sz w:val="24"/>
                <w:szCs w:val="24"/>
                <w:color w:val="auto"/>
              </w:rPr>
            </w:pPr>
          </w:p>
        </w:tc>
        <w:tc>
          <w:tcPr>
            <w:tcW w:w="850" w:type="dxa"/>
            <w:vAlign w:val="bottom"/>
          </w:tcPr>
          <w:p>
            <w:pPr>
              <w:jc w:val="right"/>
              <w:spacing w:after="0"/>
              <w:rPr>
                <w:sz w:val="20"/>
                <w:szCs w:val="20"/>
                <w:color w:val="auto"/>
              </w:rPr>
            </w:pPr>
            <w:r>
              <w:rPr>
                <w:rFonts w:ascii="Arial" w:cs="Arial" w:eastAsia="Arial" w:hAnsi="Arial"/>
                <w:sz w:val="17"/>
                <w:szCs w:val="17"/>
                <w:color w:val="auto"/>
              </w:rPr>
              <w:t>1,299,901</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1,120,317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9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90" w:type="dxa"/>
            <w:vAlign w:val="bottom"/>
          </w:tcPr>
          <w:p>
            <w:pPr>
              <w:spacing w:after="0"/>
              <w:rPr>
                <w:sz w:val="8"/>
                <w:szCs w:val="8"/>
                <w:color w:val="auto"/>
              </w:rPr>
            </w:pPr>
          </w:p>
        </w:tc>
        <w:tc>
          <w:tcPr>
            <w:tcW w:w="85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Total market capitalization</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3,730,571</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3,078,302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94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9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90" w:type="dxa"/>
            <w:vAlign w:val="bottom"/>
          </w:tcPr>
          <w:p>
            <w:pPr>
              <w:spacing w:after="0"/>
              <w:rPr>
                <w:sz w:val="9"/>
                <w:szCs w:val="9"/>
                <w:color w:val="auto"/>
              </w:rPr>
            </w:pPr>
          </w:p>
        </w:tc>
        <w:tc>
          <w:tcPr>
            <w:tcW w:w="85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Total debt to market capitalization</w:t>
            </w:r>
          </w:p>
        </w:tc>
        <w:tc>
          <w:tcPr>
            <w:tcW w:w="9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30"/>
        </w:trPr>
        <w:tc>
          <w:tcPr>
            <w:tcW w:w="94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8600" w:type="dxa"/>
            <w:vAlign w:val="bottom"/>
            <w:gridSpan w:val="2"/>
          </w:tcPr>
          <w:p>
            <w:pPr>
              <w:spacing w:after="0"/>
              <w:rPr>
                <w:sz w:val="20"/>
                <w:szCs w:val="20"/>
                <w:color w:val="auto"/>
              </w:rPr>
            </w:pPr>
            <w:r>
              <w:rPr>
                <w:rFonts w:ascii="Arial" w:cs="Arial" w:eastAsia="Arial" w:hAnsi="Arial"/>
                <w:sz w:val="17"/>
                <w:szCs w:val="17"/>
                <w:b w:val="1"/>
                <w:bCs w:val="1"/>
                <w:color w:val="auto"/>
              </w:rPr>
              <w:t>Capital availability:</w:t>
            </w:r>
          </w:p>
        </w:tc>
        <w:tc>
          <w:tcPr>
            <w:tcW w:w="9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Cash on hand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23,437</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Available capacity under line of credit</w:t>
            </w:r>
          </w:p>
        </w:tc>
        <w:tc>
          <w:tcPr>
            <w:tcW w:w="9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7"/>
                <w:szCs w:val="17"/>
                <w:color w:val="auto"/>
              </w:rPr>
              <w:t>250,000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102,000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Available for issuance under shelf registration statement</w:t>
            </w:r>
          </w:p>
        </w:tc>
        <w:tc>
          <w:tcPr>
            <w:tcW w:w="9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90" w:type="dxa"/>
            <w:vAlign w:val="bottom"/>
          </w:tcPr>
          <w:p>
            <w:pPr>
              <w:spacing w:after="0"/>
              <w:rPr>
                <w:sz w:val="8"/>
                <w:szCs w:val="8"/>
                <w:color w:val="auto"/>
              </w:rPr>
            </w:pPr>
          </w:p>
        </w:tc>
        <w:tc>
          <w:tcPr>
            <w:tcW w:w="85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94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498,437</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535,656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94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76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-1454150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-1454150</wp:posOffset>
            </wp:positionV>
            <wp:extent cx="2095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-1454150</wp:posOffset>
            </wp:positionV>
            <wp:extent cx="381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-1454150</wp:posOffset>
            </wp:positionV>
            <wp:extent cx="64135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35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-1156970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-1156970</wp:posOffset>
            </wp:positionV>
            <wp:extent cx="2095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-1156970</wp:posOffset>
            </wp:positionV>
            <wp:extent cx="381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-1156970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-1156970</wp:posOffset>
            </wp:positionV>
            <wp:extent cx="2095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-1156970</wp:posOffset>
            </wp:positionV>
            <wp:extent cx="381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-171450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-171450</wp:posOffset>
            </wp:positionV>
            <wp:extent cx="2095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-171450</wp:posOffset>
            </wp:positionV>
            <wp:extent cx="381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-171450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-171450</wp:posOffset>
            </wp:positionV>
            <wp:extent cx="2095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-171450</wp:posOffset>
            </wp:positionV>
            <wp:extent cx="381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right="20" w:hanging="453"/>
        <w:spacing w:after="0" w:line="262"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Consists of 53,387,604 shares issued net of 1,479,383 shares held in Treasury as of September 30, 2004. As of September 30, 2003, consists of 50,629,782 shares issued net of 1,466,013 shares held in Treasury. Amounts do not include 449,325 and 839,828 Operating Units outstanding at September 30, 2004 and September 30, 2003, respectively.</w:t>
      </w:r>
    </w:p>
    <w:p>
      <w:pPr>
        <w:spacing w:after="0" w:line="2" w:lineRule="exact"/>
        <w:rPr>
          <w:rFonts w:ascii="Arial" w:cs="Arial" w:eastAsia="Arial" w:hAnsi="Arial"/>
          <w:sz w:val="17"/>
          <w:szCs w:val="17"/>
          <w:color w:val="auto"/>
        </w:rPr>
      </w:pPr>
    </w:p>
    <w:p>
      <w:pPr>
        <w:ind w:left="460" w:right="300" w:hanging="453"/>
        <w:spacing w:after="0" w:line="28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Total debt includes capital leases and mortgages payable, notes payable, and senior notes and debentures. It does not include the Trust’s 30% share of the $13.3 million debt of the partnership with Clarion Lion Properties Fund.</w:t>
      </w:r>
    </w:p>
    <w:p>
      <w:pPr>
        <w:sectPr>
          <w:pgSz w:w="11900" w:h="16838" w:orient="portrait"/>
          <w:cols w:equalWidth="0" w:num="1">
            <w:col w:w="11420"/>
          </w:cols>
          <w:pgMar w:left="240" w:top="456"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Nine months ended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0"/>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5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680" w:type="dxa"/>
            <w:vAlign w:val="bottom"/>
          </w:tcPr>
          <w:p>
            <w:pPr>
              <w:jc w:val="right"/>
              <w:ind w:right="121"/>
              <w:spacing w:after="0"/>
              <w:rPr>
                <w:sz w:val="20"/>
                <w:szCs w:val="20"/>
                <w:color w:val="auto"/>
              </w:rPr>
            </w:pPr>
            <w:r>
              <w:rPr>
                <w:rFonts w:ascii="Arial" w:cs="Arial" w:eastAsia="Arial" w:hAnsi="Arial"/>
                <w:sz w:val="13"/>
                <w:szCs w:val="13"/>
                <w:b w:val="1"/>
                <w:bCs w:val="1"/>
                <w:color w:val="auto"/>
              </w:rPr>
              <w:t>2004</w:t>
            </w:r>
          </w:p>
        </w:tc>
        <w:tc>
          <w:tcPr>
            <w:tcW w:w="8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2003</w:t>
            </w:r>
          </w:p>
        </w:tc>
        <w:tc>
          <w:tcPr>
            <w:tcW w:w="820" w:type="dxa"/>
            <w:vAlign w:val="bottom"/>
            <w:gridSpan w:val="3"/>
          </w:tcPr>
          <w:p>
            <w:pPr>
              <w:jc w:val="right"/>
              <w:ind w:right="93"/>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22"/>
                <w:szCs w:val="2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Components of Rental Income (1)</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8200" w:type="dxa"/>
            <w:vAlign w:val="bottom"/>
            <w:gridSpan w:val="2"/>
          </w:tcPr>
          <w:p>
            <w:pPr>
              <w:ind w:left="420"/>
              <w:spacing w:after="0"/>
              <w:rPr>
                <w:sz w:val="20"/>
                <w:szCs w:val="20"/>
                <w:color w:val="auto"/>
              </w:rPr>
            </w:pPr>
            <w:r>
              <w:rPr>
                <w:rFonts w:ascii="Arial" w:cs="Arial" w:eastAsia="Arial" w:hAnsi="Arial"/>
                <w:sz w:val="17"/>
                <w:szCs w:val="17"/>
                <w:color w:val="auto"/>
              </w:rPr>
              <w:t>Minimum Rents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Retail and commercial properties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$209,654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$184,822</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$71,086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$ 63,082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gridSpan w:val="2"/>
          </w:tcPr>
          <w:p>
            <w:pPr>
              <w:ind w:left="840"/>
              <w:spacing w:after="0"/>
              <w:rPr>
                <w:sz w:val="20"/>
                <w:szCs w:val="20"/>
                <w:color w:val="auto"/>
              </w:rPr>
            </w:pPr>
            <w:r>
              <w:rPr>
                <w:rFonts w:ascii="Arial" w:cs="Arial" w:eastAsia="Arial" w:hAnsi="Arial"/>
                <w:sz w:val="17"/>
                <w:szCs w:val="17"/>
                <w:color w:val="auto"/>
              </w:rPr>
              <w:t>Residential</w:t>
            </w:r>
          </w:p>
        </w:tc>
        <w:tc>
          <w:tcPr>
            <w:tcW w:w="680" w:type="dxa"/>
            <w:vAlign w:val="bottom"/>
          </w:tcPr>
          <w:p>
            <w:pPr>
              <w:jc w:val="right"/>
              <w:spacing w:after="0"/>
              <w:rPr>
                <w:sz w:val="20"/>
                <w:szCs w:val="20"/>
                <w:color w:val="auto"/>
              </w:rPr>
            </w:pPr>
            <w:r>
              <w:rPr>
                <w:rFonts w:ascii="Arial" w:cs="Arial" w:eastAsia="Arial" w:hAnsi="Arial"/>
                <w:sz w:val="17"/>
                <w:szCs w:val="17"/>
                <w:color w:val="auto"/>
              </w:rPr>
              <w:t>9,295</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6,056</w:t>
            </w:r>
          </w:p>
        </w:tc>
        <w:tc>
          <w:tcPr>
            <w:tcW w:w="920" w:type="dxa"/>
            <w:vAlign w:val="bottom"/>
            <w:gridSpan w:val="4"/>
          </w:tcPr>
          <w:p>
            <w:pPr>
              <w:jc w:val="right"/>
              <w:ind w:right="100"/>
              <w:spacing w:after="0"/>
              <w:rPr>
                <w:sz w:val="20"/>
                <w:szCs w:val="20"/>
                <w:color w:val="auto"/>
              </w:rPr>
            </w:pPr>
            <w:r>
              <w:rPr>
                <w:rFonts w:ascii="Arial" w:cs="Arial" w:eastAsia="Arial" w:hAnsi="Arial"/>
                <w:sz w:val="17"/>
                <w:szCs w:val="17"/>
                <w:color w:val="auto"/>
              </w:rPr>
              <w:t>3,149</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Cost Reimbursements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49,190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41,588</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16,520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0" w:type="dxa"/>
            <w:vAlign w:val="bottom"/>
            <w:gridSpan w:val="2"/>
          </w:tcPr>
          <w:p>
            <w:pPr>
              <w:ind w:left="420"/>
              <w:spacing w:after="0"/>
              <w:rPr>
                <w:sz w:val="20"/>
                <w:szCs w:val="20"/>
                <w:color w:val="auto"/>
              </w:rPr>
            </w:pPr>
            <w:r>
              <w:rPr>
                <w:rFonts w:ascii="Arial" w:cs="Arial" w:eastAsia="Arial" w:hAnsi="Arial"/>
                <w:sz w:val="17"/>
                <w:szCs w:val="17"/>
                <w:color w:val="auto"/>
              </w:rPr>
              <w:t>Percentage Rents</w:t>
            </w:r>
          </w:p>
        </w:tc>
        <w:tc>
          <w:tcPr>
            <w:tcW w:w="680" w:type="dxa"/>
            <w:vAlign w:val="bottom"/>
          </w:tcPr>
          <w:p>
            <w:pPr>
              <w:jc w:val="right"/>
              <w:spacing w:after="0"/>
              <w:rPr>
                <w:sz w:val="20"/>
                <w:szCs w:val="20"/>
                <w:color w:val="auto"/>
              </w:rPr>
            </w:pPr>
            <w:r>
              <w:rPr>
                <w:rFonts w:ascii="Arial" w:cs="Arial" w:eastAsia="Arial" w:hAnsi="Arial"/>
                <w:sz w:val="17"/>
                <w:szCs w:val="17"/>
                <w:color w:val="auto"/>
              </w:rPr>
              <w:t>3,836</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6,097</w:t>
            </w:r>
          </w:p>
        </w:tc>
        <w:tc>
          <w:tcPr>
            <w:tcW w:w="920" w:type="dxa"/>
            <w:vAlign w:val="bottom"/>
            <w:gridSpan w:val="4"/>
          </w:tcPr>
          <w:p>
            <w:pPr>
              <w:jc w:val="right"/>
              <w:ind w:right="100"/>
              <w:spacing w:after="0"/>
              <w:rPr>
                <w:sz w:val="20"/>
                <w:szCs w:val="20"/>
                <w:color w:val="auto"/>
              </w:rPr>
            </w:pPr>
            <w:r>
              <w:rPr>
                <w:rFonts w:ascii="Arial" w:cs="Arial" w:eastAsia="Arial" w:hAnsi="Arial"/>
                <w:sz w:val="17"/>
                <w:szCs w:val="17"/>
                <w:color w:val="auto"/>
              </w:rPr>
              <w:t>844</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1,261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Rental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$271,975</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$238,563</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$91,599</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$ 80,424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-171450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-171450</wp:posOffset>
            </wp:positionV>
            <wp:extent cx="198374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83740"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right="20" w:hanging="453"/>
        <w:spacing w:after="0" w:line="267"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the nine months ended September 30, 2004 and September 30, 2003, minimum rents include $2.6 million and $1.0 million, respectively, to recognize rent on a straight-line basis and includes $1.1 million and $0.1 million, respectively, to recognize income for market lease adjustments on acquired properties in accordance with SFAS 141. For the three months ended September 30, 2004 and September 30, 2003, minimum rents include $0.7 million and $0.2 million, respectively, to recognize rent on a straight-line basis and includes $0.5 million and $0.1 million, respectively, to recognize income for market lease adjustments on acquired properties in accordance with SFAS 141. Residential minimum rents comprise the rents at Rollingwood Apartments, The Crest at Congressional Plaza Apartments and the residential rents at Santana Row.</w:t>
      </w:r>
    </w:p>
    <w:p>
      <w:pPr>
        <w:sectPr>
          <w:pgSz w:w="11900" w:h="16838" w:orient="portrait"/>
          <w:cols w:equalWidth="0" w:num="1">
            <w:col w:w="11420"/>
          </w:cols>
          <w:pgMar w:left="240" w:top="456"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4"/>
              </w:rPr>
              <w:t>Interest Rate as of</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13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September 30, 2004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jc w:val="right"/>
              <w:ind w:right="214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gridSpan w:val="5"/>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Mortgage Loans (a)</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Leesburg Plaza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10/01/08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6.510%</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164 E Houston Street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10/06/08</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7.500%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Mercer Mall</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09/01/09</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4,653</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Federal Plaza</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06/01/11</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6.750%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35,230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Tyson’s Station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09/01/11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6,664</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Barracks Road</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11/01/15</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7.950%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43,855</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Brick Plaza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11/01/15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32,636</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Hauppauge</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11/01/15</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7.950%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16,532</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Lawrence Park</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11/01/15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31,084</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Wildwood</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11/01/15</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7.950%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27,323</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Wynnewood</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11/01/15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31,678</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Mount Vernon</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04/15/28</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5.660%</w:t>
            </w:r>
          </w:p>
        </w:tc>
        <w:tc>
          <w:tcPr>
            <w:tcW w:w="640" w:type="dxa"/>
            <w:vAlign w:val="bottom"/>
            <w:gridSpan w:val="2"/>
          </w:tcPr>
          <w:p>
            <w:pPr>
              <w:ind w:left="100"/>
              <w:spacing w:after="0"/>
              <w:rPr>
                <w:sz w:val="20"/>
                <w:szCs w:val="20"/>
                <w:color w:val="auto"/>
              </w:rPr>
            </w:pPr>
            <w:r>
              <w:rPr>
                <w:rFonts w:ascii="Arial" w:cs="Arial" w:eastAsia="Arial" w:hAnsi="Arial"/>
                <w:sz w:val="17"/>
                <w:szCs w:val="17"/>
                <w:color w:val="auto"/>
              </w:rPr>
              <w:t>(b)</w:t>
            </w:r>
          </w:p>
        </w:tc>
        <w:tc>
          <w:tcPr>
            <w:tcW w:w="720" w:type="dxa"/>
            <w:vAlign w:val="bottom"/>
          </w:tcPr>
          <w:p>
            <w:pPr>
              <w:jc w:val="right"/>
              <w:spacing w:after="0"/>
              <w:rPr>
                <w:sz w:val="20"/>
                <w:szCs w:val="20"/>
                <w:color w:val="auto"/>
              </w:rPr>
            </w:pPr>
            <w:r>
              <w:rPr>
                <w:rFonts w:ascii="Arial" w:cs="Arial" w:eastAsia="Arial" w:hAnsi="Arial"/>
                <w:sz w:val="17"/>
                <w:szCs w:val="17"/>
                <w:color w:val="auto"/>
              </w:rPr>
              <w:t>12,894</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252,649</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860" w:type="dxa"/>
            <w:vAlign w:val="bottom"/>
            <w:gridSpan w:val="5"/>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Notes payable</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i w:val="1"/>
                <w:iCs w:val="1"/>
                <w:color w:val="auto"/>
              </w:rPr>
              <w:t>Unsecured Fixed Rate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Perring Plaza Renovation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01/31/13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Other</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various</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various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i w:val="1"/>
                <w:iCs w:val="1"/>
                <w:color w:val="auto"/>
              </w:rPr>
              <w:t>Unsecured Variable Rate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Revolving credit facility</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10/08/06</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LIBOR + .75%</w:t>
            </w:r>
          </w:p>
        </w:tc>
        <w:tc>
          <w:tcPr>
            <w:tcW w:w="640" w:type="dxa"/>
            <w:vAlign w:val="bottom"/>
            <w:gridSpan w:val="2"/>
          </w:tcPr>
          <w:p>
            <w:pPr>
              <w:ind w:left="140"/>
              <w:spacing w:after="0"/>
              <w:rPr>
                <w:sz w:val="20"/>
                <w:szCs w:val="20"/>
                <w:color w:val="auto"/>
              </w:rPr>
            </w:pPr>
            <w:r>
              <w:rPr>
                <w:rFonts w:ascii="Arial" w:cs="Arial" w:eastAsia="Arial" w:hAnsi="Arial"/>
                <w:sz w:val="17"/>
                <w:szCs w:val="17"/>
                <w:color w:val="auto"/>
              </w:rPr>
              <w:t>(c)</w:t>
            </w:r>
          </w:p>
        </w:tc>
        <w:tc>
          <w:tcPr>
            <w:tcW w:w="720" w:type="dxa"/>
            <w:vAlign w:val="bottom"/>
          </w:tcPr>
          <w:p>
            <w:pPr>
              <w:jc w:val="right"/>
              <w:spacing w:after="0"/>
              <w:rPr>
                <w:sz w:val="20"/>
                <w:szCs w:val="20"/>
                <w:color w:val="auto"/>
              </w:rPr>
            </w:pPr>
            <w:r>
              <w:rPr>
                <w:rFonts w:ascii="Arial" w:cs="Arial" w:eastAsia="Arial" w:hAnsi="Arial"/>
                <w:sz w:val="17"/>
                <w:szCs w:val="17"/>
                <w:color w:val="auto"/>
              </w:rPr>
              <w:t>50,000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Term note with banks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10/08/06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LIBOR + .95%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Term note with banks</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10/08/08</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LIBOR + .95%</w:t>
            </w:r>
          </w:p>
        </w:tc>
        <w:tc>
          <w:tcPr>
            <w:tcW w:w="640" w:type="dxa"/>
            <w:vAlign w:val="bottom"/>
            <w:gridSpan w:val="2"/>
          </w:tcPr>
          <w:p>
            <w:pPr>
              <w:ind w:left="120"/>
              <w:spacing w:after="0"/>
              <w:rPr>
                <w:sz w:val="20"/>
                <w:szCs w:val="20"/>
                <w:color w:val="auto"/>
              </w:rPr>
            </w:pPr>
            <w:r>
              <w:rPr>
                <w:rFonts w:ascii="Arial" w:cs="Arial" w:eastAsia="Arial" w:hAnsi="Arial"/>
                <w:sz w:val="17"/>
                <w:szCs w:val="17"/>
                <w:color w:val="auto"/>
              </w:rPr>
              <w:t>(d)</w:t>
            </w:r>
          </w:p>
        </w:tc>
        <w:tc>
          <w:tcPr>
            <w:tcW w:w="720" w:type="dxa"/>
            <w:vAlign w:val="bottom"/>
          </w:tcPr>
          <w:p>
            <w:pPr>
              <w:jc w:val="right"/>
              <w:spacing w:after="0"/>
              <w:rPr>
                <w:sz w:val="20"/>
                <w:szCs w:val="20"/>
                <w:color w:val="auto"/>
              </w:rPr>
            </w:pPr>
            <w:r>
              <w:rPr>
                <w:rFonts w:ascii="Arial" w:cs="Arial" w:eastAsia="Arial" w:hAnsi="Arial"/>
                <w:sz w:val="17"/>
                <w:szCs w:val="17"/>
                <w:color w:val="auto"/>
              </w:rPr>
              <w:t>150,000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Escondido (Municipal bonds)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10/01/16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2.710%</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Loehmann’s Redemption Note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09/27/06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8,629</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320,090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620" w:type="dxa"/>
            <w:vAlign w:val="bottom"/>
            <w:tcBorders>
              <w:bottom w:val="single" w:sz="8" w:color="auto"/>
            </w:tcBorders>
            <w:gridSpan w:val="3"/>
            <w:shd w:val="clear" w:color="auto" w:fill="CCEEFF"/>
          </w:tcPr>
          <w:p>
            <w:pPr>
              <w:spacing w:after="0" w:line="174" w:lineRule="exact"/>
              <w:rPr>
                <w:sz w:val="20"/>
                <w:szCs w:val="20"/>
                <w:color w:val="auto"/>
              </w:rPr>
            </w:pPr>
            <w:r>
              <w:rPr>
                <w:rFonts w:ascii="Arial" w:cs="Arial" w:eastAsia="Arial" w:hAnsi="Arial"/>
                <w:sz w:val="17"/>
                <w:szCs w:val="17"/>
                <w:b w:val="1"/>
                <w:bCs w:val="1"/>
                <w:color w:val="auto"/>
                <w:w w:val="88"/>
              </w:rPr>
              <w:t>Notes and Debentures</w:t>
            </w:r>
          </w:p>
        </w:tc>
        <w:tc>
          <w:tcPr>
            <w:tcW w:w="4240" w:type="dxa"/>
            <w:vAlign w:val="bottom"/>
            <w:tcBorders>
              <w:bottom w:val="single" w:sz="8" w:color="CCEEFF"/>
            </w:tcBorders>
            <w:gridSpan w:val="2"/>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i w:val="1"/>
                <w:iCs w:val="1"/>
                <w:color w:val="auto"/>
              </w:rPr>
              <w:t>Unsecured Fixed Rate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6.625% Notes (fixed)</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12/01/05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6.625%</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6.99% Medium Term Notes</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03/10/06</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6.894%</w:t>
            </w:r>
          </w:p>
        </w:tc>
        <w:tc>
          <w:tcPr>
            <w:tcW w:w="640" w:type="dxa"/>
            <w:vAlign w:val="bottom"/>
            <w:gridSpan w:val="2"/>
          </w:tcPr>
          <w:p>
            <w:pPr>
              <w:ind w:left="120"/>
              <w:spacing w:after="0"/>
              <w:rPr>
                <w:sz w:val="20"/>
                <w:szCs w:val="20"/>
                <w:color w:val="auto"/>
              </w:rPr>
            </w:pPr>
            <w:r>
              <w:rPr>
                <w:rFonts w:ascii="Arial" w:cs="Arial" w:eastAsia="Arial" w:hAnsi="Arial"/>
                <w:sz w:val="17"/>
                <w:szCs w:val="17"/>
                <w:color w:val="auto"/>
              </w:rPr>
              <w:t>(g)</w:t>
            </w:r>
          </w:p>
        </w:tc>
        <w:tc>
          <w:tcPr>
            <w:tcW w:w="720" w:type="dxa"/>
            <w:vAlign w:val="bottom"/>
          </w:tcPr>
          <w:p>
            <w:pPr>
              <w:jc w:val="right"/>
              <w:spacing w:after="0"/>
              <w:rPr>
                <w:sz w:val="20"/>
                <w:szCs w:val="20"/>
                <w:color w:val="auto"/>
              </w:rPr>
            </w:pPr>
            <w:r>
              <w:rPr>
                <w:rFonts w:ascii="Arial" w:cs="Arial" w:eastAsia="Arial" w:hAnsi="Arial"/>
                <w:sz w:val="17"/>
                <w:szCs w:val="17"/>
                <w:color w:val="auto"/>
              </w:rPr>
              <w:t>40,500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6.125% Notes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11/15/07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6.325%</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(h)</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8.75% Notes</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12/01/09</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8.750%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175,000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4.50% Notes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02/15/11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7.48% Debentures</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08/15/26</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7.480%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50,000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6.82% Medium Term Notes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08/01/27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Subtotal</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570,500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Less: Unamortized Discount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jc w:val="right"/>
              <w:ind w:right="1900"/>
              <w:spacing w:after="0"/>
              <w:rPr>
                <w:sz w:val="20"/>
                <w:szCs w:val="20"/>
                <w:color w:val="auto"/>
              </w:rPr>
            </w:pPr>
            <w:r>
              <w:rPr>
                <w:rFonts w:ascii="Arial" w:cs="Arial" w:eastAsia="Arial" w:hAnsi="Arial"/>
                <w:sz w:val="17"/>
                <w:szCs w:val="17"/>
                <w:color w:val="auto"/>
              </w:rPr>
              <w:t>(2,520)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567,980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860" w:type="dxa"/>
            <w:vAlign w:val="bottom"/>
            <w:gridSpan w:val="5"/>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Capital lease obligations</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60" w:type="dxa"/>
            <w:vAlign w:val="bottom"/>
            <w:tcBorders>
              <w:top w:val="single" w:sz="8" w:color="CCEEFF"/>
            </w:tcBorders>
          </w:tcPr>
          <w:p>
            <w:pPr>
              <w:jc w:val="center"/>
              <w:ind w:right="1933"/>
              <w:spacing w:after="0"/>
              <w:rPr>
                <w:sz w:val="20"/>
                <w:szCs w:val="20"/>
                <w:color w:val="auto"/>
              </w:rPr>
            </w:pPr>
            <w:r>
              <w:rPr>
                <w:rFonts w:ascii="Arial" w:cs="Arial" w:eastAsia="Arial" w:hAnsi="Arial"/>
                <w:sz w:val="17"/>
                <w:szCs w:val="17"/>
                <w:color w:val="auto"/>
                <w:w w:val="94"/>
              </w:rPr>
              <w:t>Various through 2077 (i)</w:t>
            </w:r>
          </w:p>
        </w:tc>
        <w:tc>
          <w:tcPr>
            <w:tcW w:w="6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gridSpan w:val="2"/>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159,182</w:t>
            </w:r>
          </w:p>
        </w:tc>
        <w:tc>
          <w:tcPr>
            <w:tcW w:w="1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jc w:val="center"/>
              <w:ind w:right="1333"/>
              <w:spacing w:after="0"/>
              <w:rPr>
                <w:sz w:val="20"/>
                <w:szCs w:val="20"/>
                <w:color w:val="auto"/>
              </w:rPr>
            </w:pPr>
            <w:r>
              <w:rPr>
                <w:rFonts w:ascii="Arial" w:cs="Arial" w:eastAsia="Arial" w:hAnsi="Arial"/>
                <w:sz w:val="17"/>
                <w:szCs w:val="17"/>
                <w:b w:val="1"/>
                <w:bCs w:val="1"/>
                <w:color w:val="auto"/>
                <w:w w:val="94"/>
              </w:rPr>
              <w:t>Total Fixed and Variable Rate Debt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1,299,901</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-4615180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-4615180</wp:posOffset>
            </wp:positionV>
            <wp:extent cx="2095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-4615180</wp:posOffset>
            </wp:positionV>
            <wp:extent cx="381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-2677795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-2677795</wp:posOffset>
            </wp:positionV>
            <wp:extent cx="2095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-2677795</wp:posOffset>
            </wp:positionV>
            <wp:extent cx="381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-740410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-740410</wp:posOffset>
            </wp:positionV>
            <wp:extent cx="2095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-740410</wp:posOffset>
            </wp:positionV>
            <wp:extent cx="381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-26670</wp:posOffset>
            </wp:positionV>
            <wp:extent cx="54800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800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Average</w:t>
            </w:r>
          </w:p>
        </w:tc>
      </w:tr>
      <w:tr>
        <w:trPr>
          <w:trHeight w:val="147"/>
        </w:trPr>
        <w:tc>
          <w:tcPr>
            <w:tcW w:w="8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annualized</w:t>
            </w:r>
          </w:p>
        </w:tc>
      </w:tr>
      <w:tr>
        <w:trPr>
          <w:trHeight w:val="173"/>
        </w:trPr>
        <w:tc>
          <w:tcPr>
            <w:tcW w:w="8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interest rate</w:t>
            </w:r>
          </w:p>
        </w:tc>
      </w:tr>
      <w:tr>
        <w:trPr>
          <w:trHeight w:val="94"/>
        </w:trPr>
        <w:tc>
          <w:tcPr>
            <w:tcW w:w="8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0"/>
        </w:trPr>
        <w:tc>
          <w:tcPr>
            <w:tcW w:w="8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640" w:type="dxa"/>
            <w:vAlign w:val="bottom"/>
            <w:shd w:val="clear" w:color="auto" w:fill="CCEEFF"/>
          </w:tcPr>
          <w:p>
            <w:pPr>
              <w:jc w:val="center"/>
              <w:ind w:right="2873"/>
              <w:spacing w:after="0"/>
              <w:rPr>
                <w:sz w:val="20"/>
                <w:szCs w:val="20"/>
                <w:color w:val="auto"/>
              </w:rPr>
            </w:pPr>
            <w:r>
              <w:rPr>
                <w:rFonts w:ascii="Arial" w:cs="Arial" w:eastAsia="Arial" w:hAnsi="Arial"/>
                <w:sz w:val="17"/>
                <w:szCs w:val="17"/>
                <w:color w:val="auto"/>
                <w:w w:val="93"/>
              </w:rPr>
              <w:t>Total fixed rate debt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$ 1,140,501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87.74%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6.89%</w:t>
            </w:r>
          </w:p>
        </w:tc>
      </w:tr>
      <w:tr>
        <w:trPr>
          <w:trHeight w:val="221"/>
        </w:trPr>
        <w:tc>
          <w:tcPr>
            <w:tcW w:w="8640" w:type="dxa"/>
            <w:vAlign w:val="bottom"/>
          </w:tcPr>
          <w:p>
            <w:pPr>
              <w:jc w:val="center"/>
              <w:ind w:right="2873"/>
              <w:spacing w:after="0"/>
              <w:rPr>
                <w:sz w:val="20"/>
                <w:szCs w:val="20"/>
                <w:color w:val="auto"/>
              </w:rPr>
            </w:pPr>
            <w:r>
              <w:rPr>
                <w:rFonts w:ascii="Arial" w:cs="Arial" w:eastAsia="Arial" w:hAnsi="Arial"/>
                <w:sz w:val="17"/>
                <w:szCs w:val="17"/>
                <w:color w:val="auto"/>
                <w:w w:val="92"/>
              </w:rPr>
              <w:t>Total variable rate debt (j)</w:t>
            </w:r>
          </w:p>
        </w:tc>
        <w:tc>
          <w:tcPr>
            <w:tcW w:w="820" w:type="dxa"/>
            <w:vAlign w:val="bottom"/>
          </w:tcPr>
          <w:p>
            <w:pPr>
              <w:jc w:val="right"/>
              <w:spacing w:after="0"/>
              <w:rPr>
                <w:sz w:val="20"/>
                <w:szCs w:val="20"/>
                <w:color w:val="auto"/>
              </w:rPr>
            </w:pPr>
            <w:r>
              <w:rPr>
                <w:rFonts w:ascii="Arial" w:cs="Arial" w:eastAsia="Arial" w:hAnsi="Arial"/>
                <w:sz w:val="17"/>
                <w:szCs w:val="17"/>
                <w:color w:val="auto"/>
              </w:rPr>
              <w:t>159,400</w:t>
            </w: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12.26%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2.23%</w:t>
            </w:r>
          </w:p>
        </w:tc>
      </w:tr>
      <w:tr>
        <w:trPr>
          <w:trHeight w:val="100"/>
        </w:trPr>
        <w:tc>
          <w:tcPr>
            <w:tcW w:w="8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0"/>
        </w:trPr>
        <w:tc>
          <w:tcPr>
            <w:tcW w:w="8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640" w:type="dxa"/>
            <w:vAlign w:val="bottom"/>
            <w:shd w:val="clear" w:color="auto" w:fill="CCEEFF"/>
          </w:tcPr>
          <w:p>
            <w:pPr>
              <w:jc w:val="center"/>
              <w:ind w:right="2873"/>
              <w:spacing w:after="0"/>
              <w:rPr>
                <w:sz w:val="20"/>
                <w:szCs w:val="20"/>
                <w:color w:val="auto"/>
              </w:rPr>
            </w:pPr>
            <w:r>
              <w:rPr>
                <w:rFonts w:ascii="Arial" w:cs="Arial" w:eastAsia="Arial" w:hAnsi="Arial"/>
                <w:sz w:val="17"/>
                <w:szCs w:val="17"/>
                <w:color w:val="auto"/>
              </w:rPr>
              <w:t>TOTAL DEBT AND CAPITAL LEASES</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$ 1,299,901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6.31%</w:t>
            </w:r>
          </w:p>
        </w:tc>
      </w:tr>
      <w:tr>
        <w:trPr>
          <w:trHeight w:val="130"/>
        </w:trPr>
        <w:tc>
          <w:tcPr>
            <w:tcW w:w="86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-29210</wp:posOffset>
            </wp:positionV>
            <wp:extent cx="2095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-29210</wp:posOffset>
            </wp:positionV>
            <wp:extent cx="381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-29210</wp:posOffset>
            </wp:positionV>
            <wp:extent cx="381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-29210</wp:posOffset>
            </wp:positionV>
            <wp:extent cx="381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8" w:orient="portrait"/>
          <w:cols w:equalWidth="0" w:num="1">
            <w:col w:w="11420"/>
          </w:cols>
          <w:pgMar w:left="240" w:top="456" w:right="239" w:bottom="0" w:gutter="0" w:footer="0" w:header="0"/>
        </w:sectPr>
      </w:pPr>
    </w:p>
    <w:p>
      <w:pPr>
        <w:spacing w:after="0" w:line="385" w:lineRule="exact"/>
        <w:rPr>
          <w:sz w:val="20"/>
          <w:szCs w:val="20"/>
          <w:color w:val="auto"/>
        </w:rPr>
      </w:pPr>
    </w:p>
    <w:p>
      <w:pPr>
        <w:ind w:left="9000"/>
        <w:spacing w:after="0"/>
        <w:tabs>
          <w:tab w:leader="none" w:pos="10220" w:val="left"/>
        </w:tabs>
        <w:rPr>
          <w:sz w:val="20"/>
          <w:szCs w:val="20"/>
          <w:color w:val="auto"/>
        </w:rPr>
      </w:pPr>
      <w:r>
        <w:rPr>
          <w:rFonts w:ascii="Arial" w:cs="Arial" w:eastAsia="Arial" w:hAnsi="Arial"/>
          <w:sz w:val="13"/>
          <w:szCs w:val="13"/>
          <w:b w:val="1"/>
          <w:bCs w:val="1"/>
          <w:color w:val="auto"/>
        </w:rPr>
        <w:t>Nine months ended</w:t>
      </w:r>
      <w:r>
        <w:rPr>
          <w:sz w:val="20"/>
          <w:szCs w:val="20"/>
          <w:color w:val="auto"/>
        </w:rPr>
        <w:tab/>
      </w:r>
      <w:r>
        <w:rPr>
          <w:rFonts w:ascii="Arial" w:cs="Arial" w:eastAsia="Arial" w:hAnsi="Arial"/>
          <w:sz w:val="11"/>
          <w:szCs w:val="11"/>
          <w:b w:val="1"/>
          <w:bCs w:val="1"/>
          <w:color w:val="auto"/>
        </w:rPr>
        <w:t>Three months ended</w:t>
      </w:r>
    </w:p>
    <w:p>
      <w:pPr>
        <w:spacing w:after="0" w:line="12" w:lineRule="exact"/>
        <w:rPr>
          <w:sz w:val="20"/>
          <w:szCs w:val="20"/>
          <w:color w:val="auto"/>
        </w:rPr>
      </w:pPr>
    </w:p>
    <w:p>
      <w:pPr>
        <w:ind w:left="9140"/>
        <w:spacing w:after="0"/>
        <w:tabs>
          <w:tab w:leader="none" w:pos="10400" w:val="left"/>
        </w:tabs>
        <w:rPr>
          <w:sz w:val="20"/>
          <w:szCs w:val="20"/>
          <w:color w:val="auto"/>
        </w:rPr>
      </w:pPr>
      <w:r>
        <w:rPr>
          <w:rFonts w:ascii="Arial" w:cs="Arial" w:eastAsia="Arial" w:hAnsi="Arial"/>
          <w:sz w:val="13"/>
          <w:szCs w:val="13"/>
          <w:b w:val="1"/>
          <w:bCs w:val="1"/>
          <w:color w:val="auto"/>
        </w:rPr>
        <w:t>September 30,</w:t>
      </w:r>
      <w:r>
        <w:rPr>
          <w:sz w:val="20"/>
          <w:szCs w:val="20"/>
          <w:color w:val="auto"/>
        </w:rPr>
        <w:tab/>
      </w:r>
      <w:r>
        <w:rPr>
          <w:rFonts w:ascii="Arial" w:cs="Arial" w:eastAsia="Arial" w:hAnsi="Arial"/>
          <w:sz w:val="11"/>
          <w:szCs w:val="11"/>
          <w:b w:val="1"/>
          <w:bCs w:val="1"/>
          <w:color w:val="auto"/>
        </w:rPr>
        <w:t>September 30,</w:t>
      </w:r>
    </w:p>
    <w:p>
      <w:pPr>
        <w:sectPr>
          <w:pgSz w:w="11900" w:h="16838" w:orient="portrait"/>
          <w:cols w:equalWidth="0" w:num="1">
            <w:col w:w="11420"/>
          </w:cols>
          <w:pgMar w:left="240" w:top="456" w:right="239" w:bottom="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500" w:type="dxa"/>
            <w:vAlign w:val="bottom"/>
          </w:tcPr>
          <w:p>
            <w:pPr>
              <w:ind w:left="120"/>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3"/>
                <w:szCs w:val="13"/>
                <w:b w:val="1"/>
                <w:bCs w:val="1"/>
                <w:color w:val="auto"/>
              </w:rPr>
              <w:t>2003</w:t>
            </w:r>
          </w:p>
        </w:tc>
        <w:tc>
          <w:tcPr>
            <w:tcW w:w="660" w:type="dxa"/>
            <w:vAlign w:val="bottom"/>
            <w:gridSpan w:val="2"/>
          </w:tcPr>
          <w:p>
            <w:pPr>
              <w:ind w:left="260"/>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15"/>
                <w:szCs w:val="15"/>
                <w:color w:val="auto"/>
              </w:rPr>
            </w:pPr>
          </w:p>
        </w:tc>
        <w:tc>
          <w:tcPr>
            <w:tcW w:w="560" w:type="dxa"/>
            <w:vAlign w:val="bottom"/>
          </w:tcPr>
          <w:p>
            <w:pPr>
              <w:jc w:val="right"/>
              <w:ind w:right="63"/>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89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Operational statistics</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8980" w:type="dxa"/>
            <w:vAlign w:val="bottom"/>
            <w:gridSpan w:val="3"/>
            <w:vMerge w:val="continue"/>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9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Ratio of EBITDA to combined fixed charges and preferred share dividends (k)</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2.37x</w:t>
            </w: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6"/>
              </w:rPr>
              <w:t>2.01x</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2.43x</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9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7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5849620</wp:posOffset>
            </wp:positionH>
            <wp:positionV relativeFrom="page">
              <wp:posOffset>88900</wp:posOffset>
            </wp:positionV>
            <wp:extent cx="15551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5511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Mortgage loans do not include the Trust’s 30% share of the $13.3 million debt of the partnership with Clarion Lion Properties Fund.</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lender has the option to call the loan on April 15, 2013 or anytime thereafter.</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$300 million three-year revolving credit facility, with a one-year extension option.</w:t>
      </w:r>
    </w:p>
    <w:p>
      <w:pPr>
        <w:spacing w:after="0" w:line="18" w:lineRule="exact"/>
        <w:rPr>
          <w:rFonts w:ascii="Arial" w:cs="Arial" w:eastAsia="Arial" w:hAnsi="Arial"/>
          <w:sz w:val="17"/>
          <w:szCs w:val="17"/>
          <w:color w:val="auto"/>
        </w:rPr>
      </w:pPr>
    </w:p>
    <w:p>
      <w:pPr>
        <w:ind w:left="460" w:right="120" w:hanging="453"/>
        <w:spacing w:after="0" w:line="26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January, 2004, the Trust purchased an interest rate swap on this note thereby locking in the LIBOR portion of the interest rate at 2.401% through October 2006.</w:t>
      </w:r>
    </w:p>
    <w:p>
      <w:pPr>
        <w:spacing w:after="0" w:line="1" w:lineRule="exact"/>
        <w:rPr>
          <w:rFonts w:ascii="Arial" w:cs="Arial" w:eastAsia="Arial" w:hAnsi="Arial"/>
          <w:sz w:val="17"/>
          <w:szCs w:val="17"/>
          <w:color w:val="auto"/>
        </w:rPr>
      </w:pPr>
    </w:p>
    <w:p>
      <w:pPr>
        <w:ind w:left="460" w:right="60" w:hanging="453"/>
        <w:spacing w:after="0" w:line="26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bonds bear interest at a variable rate determined weekly to be the interest rate which would enable the bonds to be remarketed at 100% of their principal amount. The weighted average interest rate for the nine months ended September 30, 2004 was 2.71</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460" w:right="740" w:hanging="453"/>
        <w:spacing w:after="0" w:line="26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note bears interest at the Applicable Federal Rate established by the Internal Revenue Service for short-term debt instruments for the month of September, 2004.</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Trust purchased interest rate swaps at issuance, thereby reducing the effective interest on these notes.</w:t>
      </w:r>
    </w:p>
    <w:p>
      <w:pPr>
        <w:spacing w:after="0" w:line="18" w:lineRule="exact"/>
        <w:rPr>
          <w:rFonts w:ascii="Arial" w:cs="Arial" w:eastAsia="Arial" w:hAnsi="Arial"/>
          <w:sz w:val="17"/>
          <w:szCs w:val="17"/>
          <w:color w:val="auto"/>
        </w:rPr>
      </w:pPr>
    </w:p>
    <w:p>
      <w:pPr>
        <w:ind w:left="460" w:right="540" w:hanging="453"/>
        <w:spacing w:after="0" w:line="26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Trust purchased an interest rate lock to hedge this note offering. A loss of $1.5 million associated with this hedge is being amortized into the note offering thereby increasing the effective interest rate on these notes to 6.325%.</w:t>
      </w:r>
    </w:p>
    <w:p>
      <w:pPr>
        <w:spacing w:after="0" w:line="1" w:lineRule="exact"/>
        <w:rPr>
          <w:rFonts w:ascii="Arial" w:cs="Arial" w:eastAsia="Arial" w:hAnsi="Arial"/>
          <w:sz w:val="17"/>
          <w:szCs w:val="17"/>
          <w:color w:val="auto"/>
        </w:rPr>
      </w:pPr>
    </w:p>
    <w:p>
      <w:pPr>
        <w:ind w:left="460" w:right="520" w:hanging="453"/>
        <w:spacing w:after="0" w:line="26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average annualized interest rate on capital lease obligations as of September 30, 2004 is 8.74% on a basis of minimum rent and 11.24% including performance based participation rent paid by the Trust.</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Average annualized interest rate on variable rate debt as of September 30, 2004.</w:t>
      </w:r>
    </w:p>
    <w:p>
      <w:pPr>
        <w:spacing w:after="0" w:line="18" w:lineRule="exact"/>
        <w:rPr>
          <w:rFonts w:ascii="Arial" w:cs="Arial" w:eastAsia="Arial" w:hAnsi="Arial"/>
          <w:sz w:val="17"/>
          <w:szCs w:val="17"/>
          <w:color w:val="auto"/>
        </w:rPr>
      </w:pPr>
    </w:p>
    <w:p>
      <w:pPr>
        <w:ind w:left="460" w:right="380" w:hanging="453"/>
        <w:spacing w:after="0" w:line="326"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Earnings consist of income before gain (loss) on sale of real estate and fixed charges. Fixed charges consist of interest on borrowed funds (including capitalized interest). amortization of debt discount and expense and the portion of rent expense representing an interest factor. Preferred share dividends consist of dividends paid on outstanding Series A preferred shares (during the period ended September 30, 2003) and Series B preferred shares.</w:t>
      </w:r>
    </w:p>
    <w:p>
      <w:pPr>
        <w:sectPr>
          <w:pgSz w:w="11900" w:h="16838" w:orient="portrait"/>
          <w:cols w:equalWidth="0" w:num="1">
            <w:col w:w="11420"/>
          </w:cols>
          <w:pgMar w:left="240" w:top="247"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MATURITIES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w w:val="85"/>
              </w:rPr>
              <w:t>Scheduled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right"/>
              <w:ind w:right="640"/>
              <w:spacing w:after="0" w:line="148" w:lineRule="exact"/>
              <w:rPr>
                <w:sz w:val="20"/>
                <w:szCs w:val="20"/>
                <w:color w:val="auto"/>
              </w:rPr>
            </w:pPr>
            <w:r>
              <w:rPr>
                <w:rFonts w:ascii="Arial" w:cs="Arial" w:eastAsia="Arial" w:hAnsi="Arial"/>
                <w:sz w:val="13"/>
                <w:szCs w:val="13"/>
                <w:b w:val="1"/>
                <w:bCs w:val="1"/>
                <w:color w:val="auto"/>
              </w:rPr>
              <w:t>Percent of</w:t>
            </w:r>
          </w:p>
        </w:tc>
        <w:tc>
          <w:tcPr>
            <w:tcW w:w="9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73"/>
        </w:trPr>
        <w:tc>
          <w:tcPr>
            <w:tcW w:w="542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w w:val="93"/>
              </w:rPr>
              <w:t>Amortization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Maturities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auto"/>
              </w:rPr>
              <w:t>Total</w:t>
            </w:r>
          </w:p>
        </w:tc>
        <w:tc>
          <w:tcPr>
            <w:tcW w:w="13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4"/>
              </w:rPr>
              <w:t>Debt Expiring</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Debt Expiring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2004</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rPr>
              <w:t>2005</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4,539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40,000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44,539</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7"/>
                <w:szCs w:val="17"/>
                <w:color w:val="auto"/>
              </w:rPr>
              <w:t>3.4%</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2006</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199,129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204,166(1)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rPr>
              <w:t>2007</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5,436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149,216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154,652</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7"/>
                <w:szCs w:val="17"/>
                <w:color w:val="auto"/>
              </w:rPr>
              <w:t>11.9%</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2008</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159,542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165,370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rPr>
              <w:t>2009</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6,164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178,278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184,442</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7"/>
                <w:szCs w:val="17"/>
                <w:color w:val="auto"/>
              </w:rPr>
              <w:t>14.2%</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2010</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6,639</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rPr>
              <w:t>2011</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6,670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111,606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7"/>
                <w:szCs w:val="17"/>
                <w:color w:val="auto"/>
              </w:rPr>
              <w:t>118,276</w:t>
            </w:r>
          </w:p>
        </w:tc>
        <w:tc>
          <w:tcPr>
            <w:tcW w:w="1340" w:type="dxa"/>
            <w:vAlign w:val="bottom"/>
            <w:gridSpan w:val="2"/>
          </w:tcPr>
          <w:p>
            <w:pPr>
              <w:jc w:val="right"/>
              <w:ind w:right="380"/>
              <w:spacing w:after="0"/>
              <w:rPr>
                <w:sz w:val="20"/>
                <w:szCs w:val="20"/>
                <w:color w:val="auto"/>
              </w:rPr>
            </w:pPr>
            <w:r>
              <w:rPr>
                <w:rFonts w:ascii="Arial" w:cs="Arial" w:eastAsia="Arial" w:hAnsi="Arial"/>
                <w:sz w:val="17"/>
                <w:szCs w:val="17"/>
                <w:color w:val="auto"/>
              </w:rPr>
              <w:t>9.1%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2012</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rPr>
              <w:t>2013</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4,672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4,672</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7"/>
                <w:szCs w:val="17"/>
                <w:color w:val="auto"/>
              </w:rPr>
              <w:t>0.4%</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Thereafter</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164,959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245,206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410,165</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216,924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1,082,977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1,299,901</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100.00%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-171450</wp:posOffset>
            </wp:positionV>
            <wp:extent cx="289306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3060" cy="2984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w:t>
      </w:r>
    </w:p>
    <w:p>
      <w:pPr>
        <w:spacing w:after="0" w:line="26" w:lineRule="exact"/>
        <w:rPr>
          <w:sz w:val="20"/>
          <w:szCs w:val="20"/>
          <w:color w:val="auto"/>
        </w:rPr>
      </w:pPr>
    </w:p>
    <w:p>
      <w:pPr>
        <w:ind w:left="460" w:hanging="45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a $100 million term loan and $50 million drawn under the Trust’s $300 million three year revolving credit facility.</w:t>
      </w:r>
    </w:p>
    <w:p>
      <w:pPr>
        <w:sectPr>
          <w:pgSz w:w="11900" w:h="16838" w:orient="portrait"/>
          <w:cols w:equalWidth="0" w:num="1">
            <w:col w:w="11420"/>
          </w:cols>
          <w:pgMar w:left="240" w:top="456"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 and Santana Row</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Redevelopment Opportunities (1) ($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160" w:type="dxa"/>
            <w:vAlign w:val="bottom"/>
            <w:gridSpan w:val="3"/>
          </w:tcPr>
          <w:p>
            <w:pPr>
              <w:ind w:left="120"/>
              <w:spacing w:after="0"/>
              <w:rPr>
                <w:sz w:val="20"/>
                <w:szCs w:val="20"/>
                <w:color w:val="auto"/>
              </w:rPr>
            </w:pPr>
            <w:r>
              <w:rPr>
                <w:rFonts w:ascii="Arial" w:cs="Arial" w:eastAsia="Arial" w:hAnsi="Arial"/>
                <w:sz w:val="13"/>
                <w:szCs w:val="13"/>
                <w:b w:val="1"/>
                <w:bCs w:val="1"/>
                <w:color w:val="auto"/>
              </w:rPr>
              <w:t>Location</w:t>
            </w:r>
          </w:p>
        </w:tc>
        <w:tc>
          <w:tcPr>
            <w:tcW w:w="9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7"/>
              </w:rPr>
              <w:t>Projected</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w w:val="91"/>
              </w:rPr>
              <w:t>Projected</w:t>
            </w:r>
          </w:p>
        </w:tc>
        <w:tc>
          <w:tcPr>
            <w:tcW w:w="200" w:type="dxa"/>
            <w:vAlign w:val="bottom"/>
          </w:tcPr>
          <w:p>
            <w:pPr>
              <w:spacing w:after="0"/>
              <w:rPr>
                <w:sz w:val="13"/>
                <w:szCs w:val="13"/>
                <w:color w:val="auto"/>
              </w:rPr>
            </w:pPr>
          </w:p>
        </w:tc>
        <w:tc>
          <w:tcPr>
            <w:tcW w:w="440" w:type="dxa"/>
            <w:vAlign w:val="bottom"/>
            <w:gridSpan w:val="3"/>
          </w:tcPr>
          <w:p>
            <w:pPr>
              <w:ind w:left="20"/>
              <w:spacing w:after="0"/>
              <w:rPr>
                <w:sz w:val="20"/>
                <w:szCs w:val="20"/>
                <w:color w:val="auto"/>
              </w:rPr>
            </w:pPr>
            <w:r>
              <w:rPr>
                <w:rFonts w:ascii="Arial" w:cs="Arial" w:eastAsia="Arial" w:hAnsi="Arial"/>
                <w:sz w:val="13"/>
                <w:szCs w:val="13"/>
                <w:b w:val="1"/>
                <w:bCs w:val="1"/>
                <w:color w:val="auto"/>
                <w:w w:val="89"/>
              </w:rPr>
              <w:t>Cost to</w:t>
            </w:r>
          </w:p>
        </w:tc>
        <w:tc>
          <w:tcPr>
            <w:tcW w:w="0" w:type="dxa"/>
            <w:vAlign w:val="bottom"/>
          </w:tcPr>
          <w:p>
            <w:pPr>
              <w:spacing w:after="0"/>
              <w:rPr>
                <w:sz w:val="1"/>
                <w:szCs w:val="1"/>
                <w:color w:val="auto"/>
              </w:rPr>
            </w:pPr>
          </w:p>
        </w:tc>
      </w:tr>
      <w:tr>
        <w:trPr>
          <w:trHeight w:val="120"/>
        </w:trPr>
        <w:tc>
          <w:tcPr>
            <w:tcW w:w="3220" w:type="dxa"/>
            <w:vAlign w:val="bottom"/>
            <w:gridSpan w:val="3"/>
          </w:tcPr>
          <w:p>
            <w:pPr>
              <w:spacing w:after="0" w:line="113" w:lineRule="exact"/>
              <w:rPr>
                <w:sz w:val="20"/>
                <w:szCs w:val="20"/>
                <w:color w:val="auto"/>
              </w:rPr>
            </w:pPr>
            <w:r>
              <w:rPr>
                <w:rFonts w:ascii="Arial" w:cs="Arial" w:eastAsia="Arial" w:hAnsi="Arial"/>
                <w:sz w:val="13"/>
                <w:szCs w:val="13"/>
                <w:b w:val="1"/>
                <w:bCs w:val="1"/>
                <w:color w:val="auto"/>
              </w:rPr>
              <w:t>Property</w:t>
            </w: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2960" w:type="dxa"/>
            <w:vAlign w:val="bottom"/>
            <w:gridSpan w:val="2"/>
          </w:tcPr>
          <w:p>
            <w:pPr>
              <w:spacing w:after="0" w:line="113" w:lineRule="exact"/>
              <w:rPr>
                <w:sz w:val="20"/>
                <w:szCs w:val="20"/>
                <w:color w:val="auto"/>
              </w:rPr>
            </w:pPr>
            <w:r>
              <w:rPr>
                <w:rFonts w:ascii="Arial" w:cs="Arial" w:eastAsia="Arial" w:hAnsi="Arial"/>
                <w:sz w:val="13"/>
                <w:szCs w:val="13"/>
                <w:b w:val="1"/>
                <w:bCs w:val="1"/>
                <w:color w:val="auto"/>
              </w:rPr>
              <w:t>Opportunity</w:t>
            </w:r>
          </w:p>
        </w:tc>
        <w:tc>
          <w:tcPr>
            <w:tcW w:w="900" w:type="dxa"/>
            <w:vAlign w:val="bottom"/>
            <w:gridSpan w:val="2"/>
          </w:tcPr>
          <w:p>
            <w:pPr>
              <w:jc w:val="right"/>
              <w:ind w:right="420"/>
              <w:spacing w:after="0" w:line="113" w:lineRule="exact"/>
              <w:rPr>
                <w:sz w:val="20"/>
                <w:szCs w:val="20"/>
                <w:color w:val="auto"/>
              </w:rPr>
            </w:pPr>
            <w:r>
              <w:rPr>
                <w:rFonts w:ascii="Arial" w:cs="Arial" w:eastAsia="Arial" w:hAnsi="Arial"/>
                <w:sz w:val="13"/>
                <w:szCs w:val="13"/>
                <w:b w:val="1"/>
                <w:bCs w:val="1"/>
                <w:color w:val="auto"/>
              </w:rPr>
              <w:t>ROI (2)</w:t>
            </w:r>
          </w:p>
        </w:tc>
        <w:tc>
          <w:tcPr>
            <w:tcW w:w="560" w:type="dxa"/>
            <w:vAlign w:val="bottom"/>
            <w:gridSpan w:val="2"/>
          </w:tcPr>
          <w:p>
            <w:pPr>
              <w:ind w:left="60"/>
              <w:spacing w:after="0" w:line="113" w:lineRule="exact"/>
              <w:rPr>
                <w:sz w:val="20"/>
                <w:szCs w:val="20"/>
                <w:color w:val="auto"/>
              </w:rPr>
            </w:pPr>
            <w:r>
              <w:rPr>
                <w:rFonts w:ascii="Arial" w:cs="Arial" w:eastAsia="Arial" w:hAnsi="Arial"/>
                <w:sz w:val="13"/>
                <w:szCs w:val="13"/>
                <w:b w:val="1"/>
                <w:bCs w:val="1"/>
                <w:color w:val="auto"/>
                <w:w w:val="99"/>
              </w:rPr>
              <w:t>Cost (1)</w:t>
            </w:r>
          </w:p>
        </w:tc>
        <w:tc>
          <w:tcPr>
            <w:tcW w:w="200" w:type="dxa"/>
            <w:vAlign w:val="bottom"/>
          </w:tcPr>
          <w:p>
            <w:pPr>
              <w:spacing w:after="0"/>
              <w:rPr>
                <w:sz w:val="10"/>
                <w:szCs w:val="10"/>
                <w:color w:val="auto"/>
              </w:rPr>
            </w:pPr>
          </w:p>
        </w:tc>
        <w:tc>
          <w:tcPr>
            <w:tcW w:w="440" w:type="dxa"/>
            <w:vAlign w:val="bottom"/>
            <w:gridSpan w:val="3"/>
          </w:tcPr>
          <w:p>
            <w:pPr>
              <w:jc w:val="right"/>
              <w:ind w:right="100"/>
              <w:spacing w:after="0" w:line="113" w:lineRule="exact"/>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w w:val="91"/>
              </w:rPr>
              <w:t>Projects Anticipated to Stabilize in 2004 (3)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Santana Row Phase II</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San Jose, CA</w:t>
            </w:r>
          </w:p>
        </w:tc>
        <w:tc>
          <w:tcPr>
            <w:tcW w:w="2960" w:type="dxa"/>
            <w:vAlign w:val="bottom"/>
            <w:gridSpan w:val="2"/>
          </w:tcPr>
          <w:p>
            <w:pPr>
              <w:spacing w:after="0"/>
              <w:rPr>
                <w:sz w:val="20"/>
                <w:szCs w:val="20"/>
                <w:color w:val="auto"/>
              </w:rPr>
            </w:pPr>
            <w:r>
              <w:rPr>
                <w:rFonts w:ascii="Arial" w:cs="Arial" w:eastAsia="Arial" w:hAnsi="Arial"/>
                <w:sz w:val="17"/>
                <w:szCs w:val="17"/>
                <w:color w:val="auto"/>
              </w:rPr>
              <w:t>Two new pad sites (Best Buy and The</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Container Store) and additional</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parking</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26.6</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w w:val="90"/>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Santana Row Phase III</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San Jose, CA</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Pad site (theater building)</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Garden Market</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Western Springs, IL</w:t>
            </w:r>
          </w:p>
        </w:tc>
        <w:tc>
          <w:tcPr>
            <w:tcW w:w="2960" w:type="dxa"/>
            <w:vAlign w:val="bottom"/>
            <w:gridSpan w:val="2"/>
          </w:tcPr>
          <w:p>
            <w:pPr>
              <w:spacing w:after="0"/>
              <w:rPr>
                <w:sz w:val="20"/>
                <w:szCs w:val="20"/>
                <w:color w:val="auto"/>
              </w:rPr>
            </w:pPr>
            <w:r>
              <w:rPr>
                <w:rFonts w:ascii="Arial" w:cs="Arial" w:eastAsia="Arial" w:hAnsi="Arial"/>
                <w:sz w:val="17"/>
                <w:szCs w:val="17"/>
                <w:color w:val="auto"/>
              </w:rPr>
              <w:t>Expansion, re-tenanting (new grocer)</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and new pad site (existing drug store)</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2.6</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Bethesda Row</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Bethesda, MD</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pad site (fitness equipment)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Old Town Center</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Los Gatos, CA</w:t>
            </w:r>
          </w:p>
        </w:tc>
        <w:tc>
          <w:tcPr>
            <w:tcW w:w="2960" w:type="dxa"/>
            <w:vAlign w:val="bottom"/>
            <w:gridSpan w:val="2"/>
          </w:tcPr>
          <w:p>
            <w:pPr>
              <w:spacing w:after="0"/>
              <w:rPr>
                <w:sz w:val="20"/>
                <w:szCs w:val="20"/>
                <w:color w:val="auto"/>
              </w:rPr>
            </w:pPr>
            <w:r>
              <w:rPr>
                <w:rFonts w:ascii="Arial" w:cs="Arial" w:eastAsia="Arial" w:hAnsi="Arial"/>
                <w:sz w:val="17"/>
                <w:szCs w:val="17"/>
                <w:color w:val="auto"/>
              </w:rPr>
              <w:t>Re-tenanting (office) and site</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improvements</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0.8</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Shops at Willow Lawn</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Richmond, VA</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expansion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Laurel</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Laurel, MD</w:t>
            </w:r>
          </w:p>
        </w:tc>
        <w:tc>
          <w:tcPr>
            <w:tcW w:w="2960" w:type="dxa"/>
            <w:vAlign w:val="bottom"/>
            <w:gridSpan w:val="2"/>
          </w:tcPr>
          <w:p>
            <w:pPr>
              <w:spacing w:after="0"/>
              <w:rPr>
                <w:sz w:val="20"/>
                <w:szCs w:val="20"/>
                <w:color w:val="auto"/>
              </w:rPr>
            </w:pPr>
            <w:r>
              <w:rPr>
                <w:rFonts w:ascii="Arial" w:cs="Arial" w:eastAsia="Arial" w:hAnsi="Arial"/>
                <w:sz w:val="17"/>
                <w:szCs w:val="17"/>
                <w:color w:val="auto"/>
              </w:rPr>
              <w:t>Grocer expansion</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&gt;20%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0.4</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Wildwood</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Bethesda, MD</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Pad expansion and re-tenanting (bank)</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&gt;20%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Lawrence Park</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Broomall, PA</w:t>
            </w:r>
          </w:p>
        </w:tc>
        <w:tc>
          <w:tcPr>
            <w:tcW w:w="2960" w:type="dxa"/>
            <w:vAlign w:val="bottom"/>
            <w:gridSpan w:val="2"/>
          </w:tcPr>
          <w:p>
            <w:pPr>
              <w:spacing w:after="0"/>
              <w:rPr>
                <w:sz w:val="20"/>
                <w:szCs w:val="20"/>
                <w:color w:val="auto"/>
              </w:rPr>
            </w:pPr>
            <w:r>
              <w:rPr>
                <w:rFonts w:ascii="Arial" w:cs="Arial" w:eastAsia="Arial" w:hAnsi="Arial"/>
                <w:sz w:val="17"/>
                <w:szCs w:val="17"/>
                <w:color w:val="auto"/>
              </w:rPr>
              <w:t>Grocer expansion</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0.3</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0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5"/>
            <w:shd w:val="clear" w:color="auto" w:fill="CCEEFF"/>
          </w:tcPr>
          <w:p>
            <w:pPr>
              <w:ind w:left="420"/>
              <w:spacing w:after="0"/>
              <w:rPr>
                <w:sz w:val="20"/>
                <w:szCs w:val="20"/>
                <w:color w:val="auto"/>
              </w:rPr>
            </w:pPr>
            <w:r>
              <w:rPr>
                <w:rFonts w:ascii="Arial" w:cs="Arial" w:eastAsia="Arial" w:hAnsi="Arial"/>
                <w:sz w:val="17"/>
                <w:szCs w:val="17"/>
                <w:b w:val="1"/>
                <w:bCs w:val="1"/>
                <w:i w:val="1"/>
                <w:iCs w:val="1"/>
                <w:color w:val="auto"/>
              </w:rPr>
              <w:t>Subtotal: Projects Anticipated to Stabilize in 2004 (3) (4)</w:t>
            </w:r>
          </w:p>
        </w:tc>
        <w:tc>
          <w:tcPr>
            <w:tcW w:w="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w w:val="91"/>
              </w:rPr>
              <w:t>Projects Anticipated to Stabilize in 2005 (3)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Houston Street</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San Antonio, TX</w:t>
            </w:r>
          </w:p>
        </w:tc>
        <w:tc>
          <w:tcPr>
            <w:tcW w:w="2960" w:type="dxa"/>
            <w:vAlign w:val="bottom"/>
            <w:gridSpan w:val="2"/>
          </w:tcPr>
          <w:p>
            <w:pPr>
              <w:spacing w:after="0"/>
              <w:rPr>
                <w:sz w:val="20"/>
                <w:szCs w:val="20"/>
                <w:color w:val="auto"/>
              </w:rPr>
            </w:pPr>
            <w:r>
              <w:rPr>
                <w:rFonts w:ascii="Arial" w:cs="Arial" w:eastAsia="Arial" w:hAnsi="Arial"/>
                <w:sz w:val="17"/>
                <w:szCs w:val="17"/>
                <w:color w:val="auto"/>
              </w:rPr>
              <w:t>Retail and ground lease to Hotel</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Valencia</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11.5</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w w:val="90"/>
              </w:rPr>
              <w:t>12.0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 Cynwyd</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Philadelphia, PA</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re-location and expansion and</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re-tenanting (new health club)</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&gt;20%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Andorra</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Philadelphia, PA</w:t>
            </w:r>
          </w:p>
        </w:tc>
        <w:tc>
          <w:tcPr>
            <w:tcW w:w="2960" w:type="dxa"/>
            <w:vAlign w:val="bottom"/>
            <w:gridSpan w:val="2"/>
          </w:tcPr>
          <w:p>
            <w:pPr>
              <w:spacing w:after="0"/>
              <w:rPr>
                <w:sz w:val="20"/>
                <w:szCs w:val="20"/>
                <w:color w:val="auto"/>
              </w:rPr>
            </w:pPr>
            <w:r>
              <w:rPr>
                <w:rFonts w:ascii="Arial" w:cs="Arial" w:eastAsia="Arial" w:hAnsi="Arial"/>
                <w:sz w:val="17"/>
                <w:szCs w:val="17"/>
                <w:color w:val="auto"/>
              </w:rPr>
              <w:t>Re-tenanting (new health club)</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4.5</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Leesburg Plaza - Peebles</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Leesburg, VA</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Re-tenanting (office supply &amp; auto</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supply)</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Pan Am</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Fairfax, VA</w:t>
            </w:r>
          </w:p>
        </w:tc>
        <w:tc>
          <w:tcPr>
            <w:tcW w:w="2960" w:type="dxa"/>
            <w:vAlign w:val="bottom"/>
            <w:gridSpan w:val="2"/>
          </w:tcPr>
          <w:p>
            <w:pPr>
              <w:spacing w:after="0"/>
              <w:rPr>
                <w:sz w:val="20"/>
                <w:szCs w:val="20"/>
                <w:color w:val="auto"/>
              </w:rPr>
            </w:pPr>
            <w:r>
              <w:rPr>
                <w:rFonts w:ascii="Arial" w:cs="Arial" w:eastAsia="Arial" w:hAnsi="Arial"/>
                <w:sz w:val="17"/>
                <w:szCs w:val="17"/>
                <w:color w:val="auto"/>
              </w:rPr>
              <w:t>Grocer expansion, small shop re-</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tenanting and site improvements</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2.3</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Brick Plaza</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Brick, NJ</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Re-tenanting (electronics)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Greenlawn Plaza</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Greenlawn, NY</w:t>
            </w:r>
          </w:p>
        </w:tc>
        <w:tc>
          <w:tcPr>
            <w:tcW w:w="2960" w:type="dxa"/>
            <w:vAlign w:val="bottom"/>
            <w:gridSpan w:val="2"/>
          </w:tcPr>
          <w:p>
            <w:pPr>
              <w:spacing w:after="0"/>
              <w:rPr>
                <w:sz w:val="20"/>
                <w:szCs w:val="20"/>
                <w:color w:val="auto"/>
              </w:rPr>
            </w:pPr>
            <w:r>
              <w:rPr>
                <w:rFonts w:ascii="Arial" w:cs="Arial" w:eastAsia="Arial" w:hAnsi="Arial"/>
                <w:sz w:val="17"/>
                <w:szCs w:val="17"/>
                <w:color w:val="auto"/>
              </w:rPr>
              <w:t>Re-tenanting and new pad site (child</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care)</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&gt;20%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2.2</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Bristol Plaza</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Bristol, CT</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relocation, canopy and façade</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renovation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Brunswick</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North Brunswick, NJ</w:t>
            </w:r>
          </w:p>
        </w:tc>
        <w:tc>
          <w:tcPr>
            <w:tcW w:w="2960" w:type="dxa"/>
            <w:vAlign w:val="bottom"/>
            <w:gridSpan w:val="2"/>
          </w:tcPr>
          <w:p>
            <w:pPr>
              <w:spacing w:after="0"/>
              <w:rPr>
                <w:sz w:val="20"/>
                <w:szCs w:val="20"/>
                <w:color w:val="auto"/>
              </w:rPr>
            </w:pPr>
            <w:r>
              <w:rPr>
                <w:rFonts w:ascii="Arial" w:cs="Arial" w:eastAsia="Arial" w:hAnsi="Arial"/>
                <w:sz w:val="17"/>
                <w:szCs w:val="17"/>
                <w:color w:val="auto"/>
              </w:rPr>
              <w:t>Re-tenanting (new health club)</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1.5</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Rutgers Plaza</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Franklin, NJ</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re-location and expansion and</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backfill of existing grocer space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Perring Plaza</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Baltimore, MD</w:t>
            </w:r>
          </w:p>
        </w:tc>
        <w:tc>
          <w:tcPr>
            <w:tcW w:w="2960" w:type="dxa"/>
            <w:vAlign w:val="bottom"/>
            <w:gridSpan w:val="2"/>
          </w:tcPr>
          <w:p>
            <w:pPr>
              <w:spacing w:after="0"/>
              <w:rPr>
                <w:sz w:val="20"/>
                <w:szCs w:val="20"/>
                <w:color w:val="auto"/>
              </w:rPr>
            </w:pPr>
            <w:r>
              <w:rPr>
                <w:rFonts w:ascii="Arial" w:cs="Arial" w:eastAsia="Arial" w:hAnsi="Arial"/>
                <w:sz w:val="17"/>
                <w:szCs w:val="17"/>
                <w:color w:val="auto"/>
              </w:rPr>
              <w:t>Re-tenanting (sporting goods and</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small shops)</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1.3</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Hauppauge Shopping Center</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Hauppauge, NY</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Pad site re-tenanting (restaurant)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0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5"/>
            <w:shd w:val="clear" w:color="auto" w:fill="CCEEFF"/>
          </w:tcPr>
          <w:p>
            <w:pPr>
              <w:ind w:left="420"/>
              <w:spacing w:after="0"/>
              <w:rPr>
                <w:sz w:val="20"/>
                <w:szCs w:val="20"/>
                <w:color w:val="auto"/>
              </w:rPr>
            </w:pPr>
            <w:r>
              <w:rPr>
                <w:rFonts w:ascii="Arial" w:cs="Arial" w:eastAsia="Arial" w:hAnsi="Arial"/>
                <w:sz w:val="17"/>
                <w:szCs w:val="17"/>
                <w:b w:val="1"/>
                <w:bCs w:val="1"/>
                <w:i w:val="1"/>
                <w:iCs w:val="1"/>
                <w:color w:val="auto"/>
              </w:rPr>
              <w:t>Subtotal: Projects Anticipated to Stabilize in 2005 (3) (4)</w:t>
            </w:r>
          </w:p>
        </w:tc>
        <w:tc>
          <w:tcPr>
            <w:tcW w:w="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0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60" w:type="dxa"/>
            <w:vAlign w:val="bottom"/>
            <w:gridSpan w:val="5"/>
            <w:shd w:val="clear" w:color="auto" w:fill="CCEEFF"/>
          </w:tcPr>
          <w:p>
            <w:pPr>
              <w:spacing w:after="0"/>
              <w:rPr>
                <w:sz w:val="20"/>
                <w:szCs w:val="20"/>
                <w:color w:val="auto"/>
              </w:rPr>
            </w:pPr>
            <w:r>
              <w:rPr>
                <w:rFonts w:ascii="Arial" w:cs="Arial" w:eastAsia="Arial" w:hAnsi="Arial"/>
                <w:sz w:val="17"/>
                <w:szCs w:val="17"/>
                <w:b w:val="1"/>
                <w:bCs w:val="1"/>
                <w:i w:val="1"/>
                <w:iCs w:val="1"/>
                <w:color w:val="auto"/>
              </w:rPr>
              <w:t>Total: Projects Anticipated to Stabilize in 2004 and 2005 (3) (4)</w:t>
            </w:r>
          </w:p>
        </w:tc>
        <w:tc>
          <w:tcPr>
            <w:tcW w:w="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5924550</wp:posOffset>
            </wp:positionH>
            <wp:positionV relativeFrom="paragraph">
              <wp:posOffset>-3623310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-3623310</wp:posOffset>
            </wp:positionV>
            <wp:extent cx="381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-3623310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-3623310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-3623310</wp:posOffset>
            </wp:positionV>
            <wp:extent cx="2095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6986905</wp:posOffset>
            </wp:positionH>
            <wp:positionV relativeFrom="paragraph">
              <wp:posOffset>-3623310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-3623310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-3623310</wp:posOffset>
            </wp:positionV>
            <wp:extent cx="2095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-326390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-326390</wp:posOffset>
            </wp:positionV>
            <wp:extent cx="381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-326390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-326390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-326390</wp:posOffset>
            </wp:positionV>
            <wp:extent cx="2095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6986905</wp:posOffset>
            </wp:positionH>
            <wp:positionV relativeFrom="paragraph">
              <wp:posOffset>-326390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-326390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-326390</wp:posOffset>
            </wp:positionV>
            <wp:extent cx="2095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-29210</wp:posOffset>
            </wp:positionV>
            <wp:extent cx="381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-29210</wp:posOffset>
            </wp:positionV>
            <wp:extent cx="2095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6986905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-29210</wp:posOffset>
            </wp:positionV>
            <wp:extent cx="2095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pacing w:after="0" w:line="217"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b w:val="1"/>
          <w:bCs w:val="1"/>
          <w:color w:val="auto"/>
        </w:rPr>
        <w:t>Anticipated future redevelopments stabilizing after 2005 include Bethesda Row (final phase), Mercer Mall, Fresh Meadows, Mount Vernon/South Valley, Leesburg Plaza (Kmart), Hollywood Boulevard, Houston Street, Rockville Town Square, Santana Row Phase IV and future phases, the Village at Shirlington and Shops at Willow Lawn. (3) (5)</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Santana Row Summary (as of Sept 30, 2004)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Retail Summary</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w w:val="95"/>
              </w:rPr>
              <w:t>Residential Summary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60" w:type="dxa"/>
            <w:vAlign w:val="bottom"/>
            <w:gridSpan w:val="8"/>
          </w:tcPr>
          <w:p>
            <w:pPr>
              <w:jc w:val="right"/>
              <w:ind w:right="620"/>
              <w:spacing w:after="0"/>
              <w:rPr>
                <w:sz w:val="20"/>
                <w:szCs w:val="20"/>
                <w:color w:val="auto"/>
              </w:rPr>
            </w:pPr>
            <w:r>
              <w:rPr>
                <w:rFonts w:ascii="Arial" w:cs="Arial" w:eastAsia="Arial" w:hAnsi="Arial"/>
                <w:sz w:val="13"/>
                <w:szCs w:val="13"/>
                <w:b w:val="1"/>
                <w:bCs w:val="1"/>
                <w:color w:val="auto"/>
                <w:w w:val="95"/>
              </w:rPr>
              <w:t>Financial Summary ($ millions)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Cost</w:t>
            </w:r>
          </w:p>
        </w:tc>
        <w:tc>
          <w:tcPr>
            <w:tcW w:w="18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Anticipated</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5"/>
              </w:rPr>
              <w:t>Anticipated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2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53"/>
              <w:spacing w:after="0" w:line="148"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2"/>
                <w:szCs w:val="12"/>
                <w:color w:val="auto"/>
              </w:rPr>
            </w:pPr>
          </w:p>
        </w:tc>
        <w:tc>
          <w:tcPr>
            <w:tcW w:w="36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53"/>
              <w:spacing w:after="0" w:line="148"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1"/>
              </w:rPr>
              <w:t>Projected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center"/>
              <w:ind w:right="16"/>
              <w:spacing w:after="0" w:line="148" w:lineRule="exact"/>
              <w:rPr>
                <w:sz w:val="20"/>
                <w:szCs w:val="20"/>
                <w:color w:val="auto"/>
              </w:rPr>
            </w:pPr>
            <w:r>
              <w:rPr>
                <w:rFonts w:ascii="Arial" w:cs="Arial" w:eastAsia="Arial" w:hAnsi="Arial"/>
                <w:sz w:val="13"/>
                <w:szCs w:val="13"/>
                <w:b w:val="1"/>
                <w:bCs w:val="1"/>
                <w:color w:val="auto"/>
                <w:w w:val="97"/>
              </w:rPr>
              <w:t>to</w:t>
            </w:r>
          </w:p>
        </w:tc>
        <w:tc>
          <w:tcPr>
            <w:tcW w:w="180" w:type="dxa"/>
            <w:vAlign w:val="bottom"/>
          </w:tcPr>
          <w:p>
            <w:pPr>
              <w:spacing w:after="0"/>
              <w:rPr>
                <w:sz w:val="12"/>
                <w:szCs w:val="12"/>
                <w:color w:val="auto"/>
              </w:rPr>
            </w:pPr>
          </w:p>
        </w:tc>
        <w:tc>
          <w:tcPr>
            <w:tcW w:w="100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2"/>
              </w:rPr>
              <w:t>Stabilized</w:t>
            </w:r>
          </w:p>
        </w:tc>
        <w:tc>
          <w:tcPr>
            <w:tcW w:w="74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auto"/>
                <w:w w:val="91"/>
              </w:rPr>
              <w:t>Stabilization</w:t>
            </w:r>
          </w:p>
        </w:tc>
        <w:tc>
          <w:tcPr>
            <w:tcW w:w="0" w:type="dxa"/>
            <w:vAlign w:val="bottom"/>
          </w:tcPr>
          <w:p>
            <w:pPr>
              <w:spacing w:after="0"/>
              <w:rPr>
                <w:sz w:val="1"/>
                <w:szCs w:val="1"/>
                <w:color w:val="auto"/>
              </w:rPr>
            </w:pPr>
          </w:p>
        </w:tc>
      </w:tr>
      <w:tr>
        <w:trPr>
          <w:trHeight w:val="173"/>
        </w:trPr>
        <w:tc>
          <w:tcPr>
            <w:tcW w:w="3920" w:type="dxa"/>
            <w:vAlign w:val="bottom"/>
            <w:gridSpan w:val="4"/>
          </w:tcPr>
          <w:p>
            <w:pPr>
              <w:spacing w:after="0"/>
              <w:rPr>
                <w:sz w:val="20"/>
                <w:szCs w:val="20"/>
                <w:color w:val="auto"/>
              </w:rPr>
            </w:pPr>
            <w:r>
              <w:rPr>
                <w:rFonts w:ascii="Arial" w:cs="Arial" w:eastAsia="Arial" w:hAnsi="Arial"/>
                <w:sz w:val="13"/>
                <w:szCs w:val="13"/>
                <w:b w:val="1"/>
                <w:bCs w:val="1"/>
                <w:color w:val="auto"/>
              </w:rPr>
              <w:t>Description</w:t>
            </w:r>
          </w:p>
        </w:tc>
        <w:tc>
          <w:tcPr>
            <w:tcW w:w="4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3"/>
              </w:rPr>
              <w:t>Stores</w:t>
            </w:r>
          </w:p>
        </w:tc>
        <w:tc>
          <w:tcPr>
            <w:tcW w:w="14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Square Feet</w:t>
            </w:r>
          </w:p>
        </w:tc>
        <w:tc>
          <w:tcPr>
            <w:tcW w:w="7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89"/>
              </w:rPr>
              <w:t>Leased</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6"/>
              </w:rPr>
              <w:t>Units</w:t>
            </w:r>
          </w:p>
        </w:tc>
        <w:tc>
          <w:tcPr>
            <w:tcW w:w="14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Rent (6)</w:t>
            </w:r>
          </w:p>
        </w:tc>
        <w:tc>
          <w:tcPr>
            <w:tcW w:w="7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Leased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76"/>
              <w:spacing w:after="0"/>
              <w:rPr>
                <w:sz w:val="20"/>
                <w:szCs w:val="20"/>
                <w:color w:val="auto"/>
              </w:rPr>
            </w:pPr>
            <w:r>
              <w:rPr>
                <w:rFonts w:ascii="Arial" w:cs="Arial" w:eastAsia="Arial" w:hAnsi="Arial"/>
                <w:sz w:val="13"/>
                <w:szCs w:val="13"/>
                <w:b w:val="1"/>
                <w:bCs w:val="1"/>
                <w:color w:val="auto"/>
                <w:w w:val="89"/>
              </w:rPr>
              <w:t>Cost</w:t>
            </w:r>
          </w:p>
        </w:tc>
        <w:tc>
          <w:tcPr>
            <w:tcW w:w="180" w:type="dxa"/>
            <w:vAlign w:val="bottom"/>
          </w:tcPr>
          <w:p>
            <w:pPr>
              <w:spacing w:after="0"/>
              <w:rPr>
                <w:sz w:val="15"/>
                <w:szCs w:val="15"/>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Date</w:t>
            </w:r>
          </w:p>
        </w:tc>
        <w:tc>
          <w:tcPr>
            <w:tcW w:w="18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Yield (8)</w:t>
            </w:r>
          </w:p>
        </w:tc>
        <w:tc>
          <w:tcPr>
            <w:tcW w:w="720" w:type="dxa"/>
            <w:vAlign w:val="bottom"/>
          </w:tcPr>
          <w:p>
            <w:pPr>
              <w:jc w:val="right"/>
              <w:ind w:right="202"/>
              <w:spacing w:after="0"/>
              <w:rPr>
                <w:sz w:val="20"/>
                <w:szCs w:val="20"/>
                <w:color w:val="auto"/>
              </w:rPr>
            </w:pPr>
            <w:r>
              <w:rPr>
                <w:rFonts w:ascii="Arial" w:cs="Arial" w:eastAsia="Arial" w:hAnsi="Arial"/>
                <w:sz w:val="13"/>
                <w:szCs w:val="13"/>
                <w:b w:val="1"/>
                <w:bCs w:val="1"/>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Phase I – Retail, residential and Hotel Valencia(7)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445,212</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255</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$1.67 - $2.96</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435</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7"/>
                <w:szCs w:val="17"/>
                <w:color w:val="auto"/>
              </w:rPr>
              <w:t>Phase II – Best Buy and The Container Store</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83,991</w:t>
            </w:r>
          </w:p>
        </w:tc>
        <w:tc>
          <w:tcPr>
            <w:tcW w:w="16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7"/>
                <w:szCs w:val="17"/>
                <w:color w:val="auto"/>
              </w:rPr>
              <w:t>100%</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n/a</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25</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17%</w:t>
            </w:r>
          </w:p>
        </w:tc>
        <w:tc>
          <w:tcPr>
            <w:tcW w:w="720" w:type="dxa"/>
            <w:vAlign w:val="bottom"/>
          </w:tcPr>
          <w:p>
            <w:pPr>
              <w:jc w:val="right"/>
              <w:spacing w:after="0"/>
              <w:rPr>
                <w:sz w:val="20"/>
                <w:szCs w:val="20"/>
                <w:color w:val="auto"/>
              </w:rPr>
            </w:pPr>
            <w:r>
              <w:rPr>
                <w:rFonts w:ascii="Arial" w:cs="Arial" w:eastAsia="Arial" w:hAnsi="Arial"/>
                <w:sz w:val="17"/>
                <w:szCs w:val="17"/>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Phase III – CineArts theater building &amp; restaurant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28,525</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7"/>
                <w:szCs w:val="17"/>
                <w:color w:val="auto"/>
              </w:rPr>
              <w:t>Phase IV – Building 7 residential re-build</w:t>
            </w:r>
          </w:p>
        </w:tc>
        <w:tc>
          <w:tcPr>
            <w:tcW w:w="4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7"/>
                <w:szCs w:val="17"/>
                <w:color w:val="auto"/>
              </w:rPr>
              <w:t>n/a</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256</w:t>
            </w:r>
          </w:p>
        </w:tc>
        <w:tc>
          <w:tcPr>
            <w:tcW w:w="1160" w:type="dxa"/>
            <w:vAlign w:val="bottom"/>
            <w:gridSpan w:val="3"/>
          </w:tcPr>
          <w:p>
            <w:pPr>
              <w:jc w:val="right"/>
              <w:ind w:right="80"/>
              <w:spacing w:after="0"/>
              <w:rPr>
                <w:sz w:val="20"/>
                <w:szCs w:val="20"/>
                <w:color w:val="auto"/>
              </w:rPr>
            </w:pPr>
            <w:r>
              <w:rPr>
                <w:rFonts w:ascii="Arial" w:cs="Arial" w:eastAsia="Arial" w:hAnsi="Arial"/>
                <w:sz w:val="17"/>
                <w:szCs w:val="17"/>
                <w:color w:val="auto"/>
              </w:rPr>
              <w:t>$ 1.94 – 2.47</w:t>
            </w: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n/a</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21</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11%</w:t>
            </w:r>
          </w:p>
        </w:tc>
        <w:tc>
          <w:tcPr>
            <w:tcW w:w="720" w:type="dxa"/>
            <w:vAlign w:val="bottom"/>
          </w:tcPr>
          <w:p>
            <w:pPr>
              <w:jc w:val="right"/>
              <w:spacing w:after="0"/>
              <w:rPr>
                <w:sz w:val="20"/>
                <w:szCs w:val="20"/>
                <w:color w:val="auto"/>
              </w:rPr>
            </w:pPr>
            <w:r>
              <w:rPr>
                <w:rFonts w:ascii="Arial" w:cs="Arial" w:eastAsia="Arial" w:hAnsi="Arial"/>
                <w:sz w:val="17"/>
                <w:szCs w:val="17"/>
                <w:color w:val="auto"/>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557,728</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511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484</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6.2%</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1">
            <w:col w:w="11420"/>
          </w:cols>
          <w:pgMar w:left="240" w:top="456" w:right="239" w:bottom="0" w:gutter="0" w:footer="0" w:header="0"/>
        </w:sectPr>
      </w:pPr>
    </w:p>
    <w:p>
      <w:pPr>
        <w:spacing w:after="0"/>
        <w:rPr>
          <w:sz w:val="20"/>
          <w:szCs w:val="20"/>
          <w:color w:val="auto"/>
        </w:rPr>
      </w:pPr>
      <w:r>
        <w:rPr>
          <w:rFonts w:ascii="Arial" w:cs="Arial" w:eastAsia="Arial" w:hAnsi="Arial"/>
          <w:sz w:val="17"/>
          <w:szCs w:val="17"/>
          <w:b w:val="1"/>
          <w:bCs w:val="1"/>
          <w:i w:val="1"/>
          <w:iCs w:val="1"/>
          <w:color w:val="auto"/>
        </w:rPr>
        <w:t>Notes:</w:t>
      </w:r>
    </w:p>
    <w:p>
      <w:pPr>
        <w:spacing w:after="0" w:line="26" w:lineRule="exact"/>
        <w:rPr>
          <w:sz w:val="20"/>
          <w:szCs w:val="20"/>
          <w:color w:val="auto"/>
        </w:rPr>
      </w:pPr>
    </w:p>
    <w:p>
      <w:pPr>
        <w:ind w:left="460" w:right="320" w:hanging="453"/>
        <w:spacing w:after="0" w:line="355" w:lineRule="auto"/>
        <w:tabs>
          <w:tab w:leader="none" w:pos="460" w:val="left"/>
        </w:tabs>
        <w:numPr>
          <w:ilvl w:val="0"/>
          <w:numId w:val="1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There is no guaranty that the Trust will ultimately complete any or all of these redevelopment opportunities, that the Projected Return on Investment (ROI) or Projected Costs will be the amounts shown or that stabilization will occur as anticipated. The projected ROI and Projected Cost are</w:t>
      </w:r>
    </w:p>
    <w:p>
      <w:pPr>
        <w:sectPr>
          <w:pgSz w:w="11900" w:h="16838" w:orient="portrait"/>
          <w:cols w:equalWidth="0" w:num="1">
            <w:col w:w="11420"/>
          </w:cols>
          <w:pgMar w:left="240" w:top="456" w:right="239" w:bottom="0" w:gutter="0" w:footer="0" w:header="0"/>
          <w:type w:val="continuous"/>
        </w:sectPr>
      </w:pPr>
    </w:p>
    <w:bookmarkStart w:id="20" w:name="page21"/>
    <w:bookmarkEnd w:id="20"/>
    <w:p>
      <w:pPr>
        <w:ind w:left="453"/>
        <w:spacing w:after="0"/>
        <w:rPr>
          <w:sz w:val="20"/>
          <w:szCs w:val="20"/>
          <w:color w:val="auto"/>
        </w:rPr>
      </w:pPr>
      <w:r>
        <w:rPr>
          <w:rFonts w:ascii="Arial" w:cs="Arial" w:eastAsia="Arial" w:hAnsi="Arial"/>
          <w:sz w:val="17"/>
          <w:szCs w:val="17"/>
          <w:b w:val="1"/>
          <w:bCs w:val="1"/>
          <w:i w:val="1"/>
          <w:iCs w:val="1"/>
          <w:color w:val="auto"/>
        </w:rPr>
        <w:t>management’s best estimate based on current information and may change over time.</w:t>
      </w:r>
    </w:p>
    <w:p>
      <w:pPr>
        <w:spacing w:after="0" w:line="26" w:lineRule="exact"/>
        <w:rPr>
          <w:sz w:val="20"/>
          <w:szCs w:val="20"/>
          <w:color w:val="auto"/>
        </w:rPr>
      </w:pPr>
    </w:p>
    <w:p>
      <w:pPr>
        <w:ind w:left="453" w:right="40" w:hanging="453"/>
        <w:spacing w:after="0" w:line="279" w:lineRule="auto"/>
        <w:tabs>
          <w:tab w:leader="none" w:pos="453"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previously being paid for the redevelopment space or space taken out of service as a result of the redevelopment. Projected ROI does NOT include peripheral impacts, such as the impact on future lease rollovers at the property or the impact on the long-term value of the property.</w:t>
      </w:r>
    </w:p>
    <w:p>
      <w:pPr>
        <w:ind w:left="453" w:hanging="453"/>
        <w:spacing w:after="0"/>
        <w:tabs>
          <w:tab w:leader="none" w:pos="453"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Anticipated Stabilization is the year in which 95% occupancy of the redeveloped space is anticipated to be achieved.</w:t>
      </w:r>
    </w:p>
    <w:p>
      <w:pPr>
        <w:spacing w:after="0" w:line="18" w:lineRule="exact"/>
        <w:rPr>
          <w:rFonts w:ascii="Arial" w:cs="Arial" w:eastAsia="Arial" w:hAnsi="Arial"/>
          <w:sz w:val="17"/>
          <w:szCs w:val="17"/>
          <w:b w:val="1"/>
          <w:bCs w:val="1"/>
          <w:i w:val="1"/>
          <w:iCs w:val="1"/>
          <w:color w:val="auto"/>
        </w:rPr>
      </w:pPr>
    </w:p>
    <w:p>
      <w:pPr>
        <w:ind w:left="453" w:hanging="453"/>
        <w:spacing w:after="0"/>
        <w:tabs>
          <w:tab w:leader="none" w:pos="453"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All subtotals and totals reflect cost weighted-average ROIs.</w:t>
      </w:r>
    </w:p>
    <w:p>
      <w:pPr>
        <w:spacing w:after="0" w:line="18" w:lineRule="exact"/>
        <w:rPr>
          <w:rFonts w:ascii="Arial" w:cs="Arial" w:eastAsia="Arial" w:hAnsi="Arial"/>
          <w:sz w:val="17"/>
          <w:szCs w:val="17"/>
          <w:b w:val="1"/>
          <w:bCs w:val="1"/>
          <w:i w:val="1"/>
          <w:iCs w:val="1"/>
          <w:color w:val="auto"/>
        </w:rPr>
      </w:pPr>
    </w:p>
    <w:p>
      <w:pPr>
        <w:ind w:left="453" w:right="40" w:hanging="453"/>
        <w:spacing w:after="0" w:line="262" w:lineRule="auto"/>
        <w:tabs>
          <w:tab w:leader="none" w:pos="453"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These future redevelopment opportunities are being explored by the Trust. There is no guaranty that the Trust will ultimately pursue or complete any or all of these opportunities.</w:t>
      </w:r>
    </w:p>
    <w:p>
      <w:pPr>
        <w:spacing w:after="0" w:line="1" w:lineRule="exact"/>
        <w:rPr>
          <w:rFonts w:ascii="Arial" w:cs="Arial" w:eastAsia="Arial" w:hAnsi="Arial"/>
          <w:sz w:val="17"/>
          <w:szCs w:val="17"/>
          <w:b w:val="1"/>
          <w:bCs w:val="1"/>
          <w:i w:val="1"/>
          <w:iCs w:val="1"/>
          <w:color w:val="auto"/>
        </w:rPr>
      </w:pPr>
    </w:p>
    <w:p>
      <w:pPr>
        <w:jc w:val="both"/>
        <w:ind w:left="453" w:hanging="453"/>
        <w:spacing w:after="0" w:line="262" w:lineRule="auto"/>
        <w:tabs>
          <w:tab w:leader="none" w:pos="453"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Range of gross rents. Market conditions have generally not required concessions on renewals, but have required concessions of up to one month on new 12 month leases. Overall average gross rent for Phase I is $2.03 per square foot per month and $2.28 per square foot per month for Phase IV. The range of rents above reflect the size and type of residential offerings for each phase.</w:t>
      </w:r>
    </w:p>
    <w:p>
      <w:pPr>
        <w:spacing w:after="0" w:line="2" w:lineRule="exact"/>
        <w:rPr>
          <w:rFonts w:ascii="Arial" w:cs="Arial" w:eastAsia="Arial" w:hAnsi="Arial"/>
          <w:sz w:val="17"/>
          <w:szCs w:val="17"/>
          <w:b w:val="1"/>
          <w:bCs w:val="1"/>
          <w:i w:val="1"/>
          <w:iCs w:val="1"/>
          <w:color w:val="auto"/>
        </w:rPr>
      </w:pPr>
    </w:p>
    <w:p>
      <w:pPr>
        <w:ind w:left="453" w:right="640" w:hanging="453"/>
        <w:spacing w:after="0" w:line="262" w:lineRule="auto"/>
        <w:tabs>
          <w:tab w:leader="none" w:pos="453"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Santana Row Phase I and Total Projected Cost and Cost to Date are net of $129 million of insurance proceeds, $11 million has been, or will be, recognized as income in 2003 and 2004.</w:t>
      </w:r>
    </w:p>
    <w:p>
      <w:pPr>
        <w:spacing w:after="0" w:line="1" w:lineRule="exact"/>
        <w:rPr>
          <w:rFonts w:ascii="Arial" w:cs="Arial" w:eastAsia="Arial" w:hAnsi="Arial"/>
          <w:sz w:val="17"/>
          <w:szCs w:val="17"/>
          <w:b w:val="1"/>
          <w:bCs w:val="1"/>
          <w:i w:val="1"/>
          <w:iCs w:val="1"/>
          <w:color w:val="auto"/>
        </w:rPr>
      </w:pPr>
    </w:p>
    <w:p>
      <w:pPr>
        <w:ind w:left="453" w:hanging="453"/>
        <w:spacing w:after="0"/>
        <w:tabs>
          <w:tab w:leader="none" w:pos="453"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Calculated as stabilized Property Operating Income (POI) divided by cost.</w:t>
      </w:r>
    </w:p>
    <w:p>
      <w:pPr>
        <w:sectPr>
          <w:pgSz w:w="11900" w:h="16838" w:orient="portrait"/>
          <w:cols w:equalWidth="0" w:num="1">
            <w:col w:w="11353"/>
          </w:cols>
          <w:pgMar w:left="247" w:top="131"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2004 Acquisitions and Dispositions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Acquisitions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80" w:type="dxa"/>
            <w:vAlign w:val="bottom"/>
            <w:gridSpan w:val="5"/>
          </w:tcPr>
          <w:p>
            <w:pPr>
              <w:spacing w:after="0"/>
              <w:rPr>
                <w:sz w:val="20"/>
                <w:szCs w:val="20"/>
                <w:color w:val="auto"/>
              </w:rPr>
            </w:pPr>
            <w:r>
              <w:rPr>
                <w:rFonts w:ascii="Arial" w:cs="Arial" w:eastAsia="Arial" w:hAnsi="Arial"/>
                <w:sz w:val="13"/>
                <w:szCs w:val="13"/>
                <w:b w:val="1"/>
                <w:bCs w:val="1"/>
                <w:color w:val="auto"/>
              </w:rPr>
              <w:t>Date</w:t>
            </w:r>
          </w:p>
        </w:tc>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Property</w:t>
            </w:r>
          </w:p>
        </w:tc>
        <w:tc>
          <w:tcPr>
            <w:tcW w:w="1680" w:type="dxa"/>
            <w:vAlign w:val="bottom"/>
            <w:gridSpan w:val="2"/>
          </w:tcPr>
          <w:p>
            <w:pPr>
              <w:ind w:left="420"/>
              <w:spacing w:after="0"/>
              <w:rPr>
                <w:sz w:val="20"/>
                <w:szCs w:val="20"/>
                <w:color w:val="auto"/>
              </w:rPr>
            </w:pPr>
            <w:r>
              <w:rPr>
                <w:rFonts w:ascii="Arial" w:cs="Arial" w:eastAsia="Arial" w:hAnsi="Arial"/>
                <w:sz w:val="13"/>
                <w:szCs w:val="13"/>
                <w:b w:val="1"/>
                <w:bCs w:val="1"/>
                <w:color w:val="auto"/>
              </w:rPr>
              <w:t>City / State</w:t>
            </w:r>
          </w:p>
        </w:tc>
        <w:tc>
          <w:tcPr>
            <w:tcW w:w="580" w:type="dxa"/>
            <w:vAlign w:val="bottom"/>
          </w:tcPr>
          <w:p>
            <w:pPr>
              <w:jc w:val="right"/>
              <w:ind w:right="78"/>
              <w:spacing w:after="0"/>
              <w:rPr>
                <w:sz w:val="20"/>
                <w:szCs w:val="20"/>
                <w:color w:val="auto"/>
              </w:rPr>
            </w:pPr>
            <w:r>
              <w:rPr>
                <w:rFonts w:ascii="Arial" w:cs="Arial" w:eastAsia="Arial" w:hAnsi="Arial"/>
                <w:sz w:val="13"/>
                <w:szCs w:val="13"/>
                <w:b w:val="1"/>
                <w:bCs w:val="1"/>
                <w:color w:val="auto"/>
              </w:rPr>
              <w:t>GLA</w:t>
            </w:r>
          </w:p>
        </w:tc>
        <w:tc>
          <w:tcPr>
            <w:tcW w:w="2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rPr>
              <w:t>Purchase price</w:t>
            </w:r>
          </w:p>
        </w:tc>
        <w:tc>
          <w:tcPr>
            <w:tcW w:w="120" w:type="dxa"/>
            <w:vAlign w:val="bottom"/>
          </w:tcPr>
          <w:p>
            <w:pPr>
              <w:spacing w:after="0"/>
              <w:rPr>
                <w:sz w:val="15"/>
                <w:szCs w:val="15"/>
                <w:color w:val="auto"/>
              </w:rPr>
            </w:pPr>
          </w:p>
        </w:tc>
        <w:tc>
          <w:tcPr>
            <w:tcW w:w="2840" w:type="dxa"/>
            <w:vAlign w:val="bottom"/>
          </w:tcPr>
          <w:p>
            <w:pPr>
              <w:ind w:left="980"/>
              <w:spacing w:after="0"/>
              <w:rPr>
                <w:sz w:val="20"/>
                <w:szCs w:val="20"/>
                <w:color w:val="auto"/>
              </w:rPr>
            </w:pPr>
            <w:r>
              <w:rPr>
                <w:rFonts w:ascii="Arial" w:cs="Arial" w:eastAsia="Arial" w:hAnsi="Arial"/>
                <w:sz w:val="13"/>
                <w:szCs w:val="13"/>
                <w:b w:val="1"/>
                <w:bCs w:val="1"/>
                <w:color w:val="auto"/>
              </w:rPr>
              <w:t>Anchor tenants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Target, Safeway, Burlington Coat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1"/>
              </w:rPr>
              <w:t>Factory, Ross Dress for Less, Nordstrom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March 31, 2004</w:t>
            </w: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Westgate Mall</w:t>
            </w:r>
          </w:p>
        </w:tc>
        <w:tc>
          <w:tcPr>
            <w:tcW w:w="16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San Jose, CA</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637,211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97,000</w:t>
            </w:r>
          </w:p>
        </w:tc>
        <w:tc>
          <w:tcPr>
            <w:tcW w:w="3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Rack</w:t>
            </w:r>
          </w:p>
        </w:tc>
        <w:tc>
          <w:tcPr>
            <w:tcW w:w="0" w:type="dxa"/>
            <w:vAlign w:val="bottom"/>
          </w:tcPr>
          <w:p>
            <w:pPr>
              <w:spacing w:after="0"/>
              <w:rPr>
                <w:sz w:val="1"/>
                <w:szCs w:val="1"/>
                <w:color w:val="auto"/>
              </w:rPr>
            </w:pPr>
          </w:p>
        </w:tc>
      </w:tr>
      <w:tr>
        <w:trPr>
          <w:trHeight w:val="388"/>
        </w:trPr>
        <w:tc>
          <w:tcPr>
            <w:tcW w:w="1780" w:type="dxa"/>
            <w:vAlign w:val="bottom"/>
            <w:gridSpan w:val="5"/>
          </w:tcPr>
          <w:p>
            <w:pPr>
              <w:spacing w:after="0"/>
              <w:rPr>
                <w:sz w:val="20"/>
                <w:szCs w:val="20"/>
                <w:color w:val="auto"/>
              </w:rPr>
            </w:pPr>
            <w:r>
              <w:rPr>
                <w:rFonts w:ascii="Arial" w:cs="Arial" w:eastAsia="Arial" w:hAnsi="Arial"/>
                <w:sz w:val="17"/>
                <w:szCs w:val="17"/>
                <w:b w:val="1"/>
                <w:bCs w:val="1"/>
                <w:color w:val="auto"/>
              </w:rPr>
              <w:t>Dispositions</w:t>
            </w: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90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rPr>
              <w:t>Date</w:t>
            </w:r>
          </w:p>
        </w:tc>
        <w:tc>
          <w:tcPr>
            <w:tcW w:w="880" w:type="dxa"/>
            <w:vAlign w:val="bottom"/>
            <w:gridSpan w:val="2"/>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Property</w:t>
            </w:r>
          </w:p>
        </w:tc>
        <w:tc>
          <w:tcPr>
            <w:tcW w:w="1680" w:type="dxa"/>
            <w:vAlign w:val="bottom"/>
            <w:gridSpan w:val="2"/>
          </w:tcPr>
          <w:p>
            <w:pPr>
              <w:ind w:left="420"/>
              <w:spacing w:after="0"/>
              <w:rPr>
                <w:sz w:val="20"/>
                <w:szCs w:val="20"/>
                <w:color w:val="auto"/>
              </w:rPr>
            </w:pPr>
            <w:r>
              <w:rPr>
                <w:rFonts w:ascii="Arial" w:cs="Arial" w:eastAsia="Arial" w:hAnsi="Arial"/>
                <w:sz w:val="13"/>
                <w:szCs w:val="13"/>
                <w:b w:val="1"/>
                <w:bCs w:val="1"/>
                <w:color w:val="auto"/>
              </w:rPr>
              <w:t>City / State</w:t>
            </w:r>
          </w:p>
        </w:tc>
        <w:tc>
          <w:tcPr>
            <w:tcW w:w="580" w:type="dxa"/>
            <w:vAlign w:val="bottom"/>
          </w:tcPr>
          <w:p>
            <w:pPr>
              <w:jc w:val="right"/>
              <w:ind w:right="78"/>
              <w:spacing w:after="0"/>
              <w:rPr>
                <w:sz w:val="20"/>
                <w:szCs w:val="20"/>
                <w:color w:val="auto"/>
              </w:rPr>
            </w:pPr>
            <w:r>
              <w:rPr>
                <w:rFonts w:ascii="Arial" w:cs="Arial" w:eastAsia="Arial" w:hAnsi="Arial"/>
                <w:sz w:val="13"/>
                <w:szCs w:val="13"/>
                <w:b w:val="1"/>
                <w:bCs w:val="1"/>
                <w:color w:val="auto"/>
              </w:rPr>
              <w:t>GLA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87"/>
              </w:rPr>
              <w:t>Sales price</w:t>
            </w: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June 3, 2004</w:t>
            </w: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Village at Shirlington (land parcel)</w:t>
            </w:r>
          </w:p>
        </w:tc>
        <w:tc>
          <w:tcPr>
            <w:tcW w:w="1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Arlington, VA</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1780" w:type="dxa"/>
            <w:vAlign w:val="bottom"/>
            <w:gridSpan w:val="5"/>
          </w:tcPr>
          <w:p>
            <w:pPr>
              <w:spacing w:after="0"/>
              <w:rPr>
                <w:sz w:val="20"/>
                <w:szCs w:val="20"/>
                <w:color w:val="auto"/>
              </w:rPr>
            </w:pPr>
            <w:r>
              <w:rPr>
                <w:rFonts w:ascii="Arial" w:cs="Arial" w:eastAsia="Arial" w:hAnsi="Arial"/>
                <w:sz w:val="17"/>
                <w:szCs w:val="17"/>
                <w:color w:val="auto"/>
              </w:rPr>
              <w:t>June 14, 2004</w:t>
            </w:r>
          </w:p>
        </w:tc>
        <w:tc>
          <w:tcPr>
            <w:tcW w:w="3040" w:type="dxa"/>
            <w:vAlign w:val="bottom"/>
            <w:gridSpan w:val="2"/>
          </w:tcPr>
          <w:p>
            <w:pPr>
              <w:spacing w:after="0"/>
              <w:rPr>
                <w:sz w:val="20"/>
                <w:szCs w:val="20"/>
                <w:color w:val="auto"/>
              </w:rPr>
            </w:pPr>
            <w:r>
              <w:rPr>
                <w:rFonts w:ascii="Arial" w:cs="Arial" w:eastAsia="Arial" w:hAnsi="Arial"/>
                <w:sz w:val="17"/>
                <w:szCs w:val="17"/>
                <w:color w:val="auto"/>
              </w:rPr>
              <w:t>Magruder’s Center</w:t>
            </w:r>
          </w:p>
        </w:tc>
        <w:tc>
          <w:tcPr>
            <w:tcW w:w="1680" w:type="dxa"/>
            <w:vAlign w:val="bottom"/>
            <w:gridSpan w:val="2"/>
          </w:tcPr>
          <w:p>
            <w:pPr>
              <w:spacing w:after="0"/>
              <w:rPr>
                <w:sz w:val="20"/>
                <w:szCs w:val="20"/>
                <w:color w:val="auto"/>
              </w:rPr>
            </w:pPr>
            <w:r>
              <w:rPr>
                <w:rFonts w:ascii="Arial" w:cs="Arial" w:eastAsia="Arial" w:hAnsi="Arial"/>
                <w:sz w:val="17"/>
                <w:szCs w:val="17"/>
                <w:color w:val="auto"/>
              </w:rPr>
              <w:t>Rockville, MD</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109,000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14,350(1)</w:t>
            </w: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7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July 1, 2004</w:t>
            </w: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Plaza del Mercado (contribution to joint</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venture)</w:t>
            </w:r>
          </w:p>
        </w:tc>
        <w:tc>
          <w:tcPr>
            <w:tcW w:w="1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Silver Spring, MD</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20,578(2)</w:t>
            </w: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1780" w:type="dxa"/>
            <w:vAlign w:val="bottom"/>
            <w:gridSpan w:val="5"/>
          </w:tcPr>
          <w:p>
            <w:pPr>
              <w:spacing w:after="0"/>
              <w:rPr>
                <w:sz w:val="20"/>
                <w:szCs w:val="20"/>
                <w:color w:val="auto"/>
              </w:rPr>
            </w:pPr>
            <w:r>
              <w:rPr>
                <w:rFonts w:ascii="Arial" w:cs="Arial" w:eastAsia="Arial" w:hAnsi="Arial"/>
                <w:sz w:val="17"/>
                <w:szCs w:val="17"/>
                <w:color w:val="auto"/>
              </w:rPr>
              <w:t>September 16, 2004</w:t>
            </w:r>
          </w:p>
        </w:tc>
        <w:tc>
          <w:tcPr>
            <w:tcW w:w="3040" w:type="dxa"/>
            <w:vAlign w:val="bottom"/>
            <w:gridSpan w:val="2"/>
          </w:tcPr>
          <w:p>
            <w:pPr>
              <w:spacing w:after="0"/>
              <w:rPr>
                <w:sz w:val="20"/>
                <w:szCs w:val="20"/>
                <w:color w:val="auto"/>
              </w:rPr>
            </w:pPr>
            <w:r>
              <w:rPr>
                <w:rFonts w:ascii="Arial" w:cs="Arial" w:eastAsia="Arial" w:hAnsi="Arial"/>
                <w:sz w:val="17"/>
                <w:szCs w:val="17"/>
                <w:color w:val="auto"/>
              </w:rPr>
              <w:t>Village at Shirlington (land parcels)</w:t>
            </w:r>
          </w:p>
        </w:tc>
        <w:tc>
          <w:tcPr>
            <w:tcW w:w="1680" w:type="dxa"/>
            <w:vAlign w:val="bottom"/>
            <w:gridSpan w:val="2"/>
          </w:tcPr>
          <w:p>
            <w:pPr>
              <w:spacing w:after="0"/>
              <w:rPr>
                <w:sz w:val="20"/>
                <w:szCs w:val="20"/>
                <w:color w:val="auto"/>
              </w:rPr>
            </w:pPr>
            <w:r>
              <w:rPr>
                <w:rFonts w:ascii="Arial" w:cs="Arial" w:eastAsia="Arial" w:hAnsi="Arial"/>
                <w:sz w:val="17"/>
                <w:szCs w:val="17"/>
                <w:color w:val="auto"/>
              </w:rPr>
              <w:t>Arlington, VA</w:t>
            </w:r>
          </w:p>
        </w:tc>
        <w:tc>
          <w:tcPr>
            <w:tcW w:w="580" w:type="dxa"/>
            <w:vAlign w:val="bottom"/>
          </w:tcPr>
          <w:p>
            <w:pPr>
              <w:jc w:val="right"/>
              <w:spacing w:after="0"/>
              <w:rPr>
                <w:sz w:val="20"/>
                <w:szCs w:val="20"/>
                <w:color w:val="auto"/>
              </w:rPr>
            </w:pPr>
            <w:r>
              <w:rPr>
                <w:rFonts w:ascii="Arial" w:cs="Arial" w:eastAsia="Arial" w:hAnsi="Arial"/>
                <w:sz w:val="17"/>
                <w:szCs w:val="17"/>
                <w:color w:val="auto"/>
              </w:rPr>
              <w:t>n/a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2,796(3)</w:t>
            </w: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205,000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-171450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-171450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4624705</wp:posOffset>
            </wp:positionH>
            <wp:positionV relativeFrom="paragraph">
              <wp:posOffset>-171450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-171450</wp:posOffset>
            </wp:positionV>
            <wp:extent cx="2095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-171450</wp:posOffset>
            </wp:positionV>
            <wp:extent cx="381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right="100" w:hanging="453"/>
        <w:spacing w:after="0" w:line="262"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June 14, 2004 the Magruders Center was conveyed to the City of Rockville in lieu of condemnation in order to facilitate the redevelopment of Rockville Town Center.</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July 1, 2004, we contributed Plaza del Mercado to a newly formed joint venture in which we own 30% of the equity.</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September 16, 2004, we sold two unimproved parcels of land at the Village at Shirlington in conjunction with the redevelopment of the property.</w:t>
      </w:r>
    </w:p>
    <w:p>
      <w:pPr>
        <w:sectPr>
          <w:pgSz w:w="11900" w:h="16838" w:orient="portrait"/>
          <w:cols w:equalWidth="0" w:num="1">
            <w:col w:w="11420"/>
          </w:cols>
          <w:pgMar w:left="240" w:top="456" w:right="239" w:bottom="1440" w:gutter="0" w:footer="0" w:header="0"/>
        </w:sectPr>
      </w:pPr>
    </w:p>
    <w:bookmarkStart w:id="22" w:name="page23"/>
    <w:bookmarkEnd w:id="2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Mortgage or</w:t>
            </w:r>
          </w:p>
        </w:tc>
        <w:tc>
          <w:tcPr>
            <w:tcW w:w="1700" w:type="dxa"/>
            <w:vAlign w:val="bottom"/>
            <w:gridSpan w:val="3"/>
          </w:tcPr>
          <w:p>
            <w:pPr>
              <w:ind w:left="20"/>
              <w:spacing w:after="0"/>
              <w:rPr>
                <w:sz w:val="20"/>
                <w:szCs w:val="20"/>
                <w:color w:val="auto"/>
              </w:rPr>
            </w:pPr>
            <w:r>
              <w:rPr>
                <w:rFonts w:ascii="Arial" w:cs="Arial" w:eastAsia="Arial" w:hAnsi="Arial"/>
                <w:sz w:val="13"/>
                <w:szCs w:val="13"/>
                <w:b w:val="1"/>
                <w:bCs w:val="1"/>
                <w:color w:val="auto"/>
              </w:rPr>
              <w:t>Grocery</w:t>
            </w: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2"/>
              </w:rPr>
              <w:t>Year</w:t>
            </w:r>
          </w:p>
        </w:tc>
        <w:tc>
          <w:tcPr>
            <w:tcW w:w="110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6"/>
              </w:rPr>
              <w:t>Total</w:t>
            </w: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w w:val="89"/>
              </w:rPr>
              <w:t>Ownership</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5"/>
              </w:rPr>
              <w:t>Capital Lease</w:t>
            </w:r>
          </w:p>
        </w:tc>
        <w:tc>
          <w:tcPr>
            <w:tcW w:w="1700" w:type="dxa"/>
            <w:vAlign w:val="bottom"/>
            <w:gridSpan w:val="3"/>
          </w:tcPr>
          <w:p>
            <w:pPr>
              <w:ind w:left="40"/>
              <w:spacing w:after="0" w:line="148" w:lineRule="exact"/>
              <w:rPr>
                <w:sz w:val="20"/>
                <w:szCs w:val="20"/>
                <w:color w:val="auto"/>
              </w:rPr>
            </w:pPr>
            <w:r>
              <w:rPr>
                <w:rFonts w:ascii="Arial" w:cs="Arial" w:eastAsia="Arial" w:hAnsi="Arial"/>
                <w:sz w:val="13"/>
                <w:szCs w:val="13"/>
                <w:b w:val="1"/>
                <w:bCs w:val="1"/>
                <w:color w:val="auto"/>
              </w:rPr>
              <w:t>Anchor</w:t>
            </w: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60" w:type="dxa"/>
            <w:vAlign w:val="bottom"/>
            <w:gridSpan w:val="9"/>
          </w:tcPr>
          <w:p>
            <w:pPr>
              <w:spacing w:after="0"/>
              <w:rPr>
                <w:sz w:val="20"/>
                <w:szCs w:val="20"/>
                <w:color w:val="auto"/>
              </w:rPr>
            </w:pPr>
            <w:r>
              <w:rPr>
                <w:rFonts w:ascii="Arial" w:cs="Arial" w:eastAsia="Arial" w:hAnsi="Arial"/>
                <w:sz w:val="13"/>
                <w:szCs w:val="13"/>
                <w:b w:val="1"/>
                <w:bCs w:val="1"/>
                <w:color w:val="auto"/>
              </w:rPr>
              <w:t>Property Name</w:t>
            </w:r>
          </w:p>
        </w:tc>
        <w:tc>
          <w:tcPr>
            <w:tcW w:w="460" w:type="dxa"/>
            <w:vAlign w:val="bottom"/>
          </w:tcPr>
          <w:p>
            <w:pPr>
              <w:ind w:left="20"/>
              <w:spacing w:after="0"/>
              <w:rPr>
                <w:sz w:val="20"/>
                <w:szCs w:val="20"/>
                <w:color w:val="auto"/>
              </w:rPr>
            </w:pPr>
            <w:r>
              <w:rPr>
                <w:rFonts w:ascii="Arial" w:cs="Arial" w:eastAsia="Arial" w:hAnsi="Arial"/>
                <w:sz w:val="13"/>
                <w:szCs w:val="13"/>
                <w:b w:val="1"/>
                <w:bCs w:val="1"/>
                <w:color w:val="auto"/>
                <w:w w:val="90"/>
              </w:rPr>
              <w:t>Type(1)</w:t>
            </w:r>
          </w:p>
        </w:tc>
        <w:tc>
          <w:tcPr>
            <w:tcW w:w="8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Arial" w:cs="Arial" w:eastAsia="Arial" w:hAnsi="Arial"/>
                <w:sz w:val="13"/>
                <w:szCs w:val="13"/>
                <w:b w:val="1"/>
                <w:bCs w:val="1"/>
                <w:color w:val="auto"/>
                <w:w w:val="98"/>
              </w:rPr>
              <w:t>MSA Description</w:t>
            </w:r>
          </w:p>
        </w:tc>
        <w:tc>
          <w:tcPr>
            <w:tcW w:w="80" w:type="dxa"/>
            <w:vAlign w:val="bottom"/>
          </w:tcPr>
          <w:p>
            <w:pPr>
              <w:spacing w:after="0"/>
              <w:rPr>
                <w:sz w:val="15"/>
                <w:szCs w:val="15"/>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Acquired</w:t>
            </w: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Investment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5"/>
              </w:rPr>
              <w:t>Percentage</w:t>
            </w: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GLA (2)</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9"/>
              </w:rPr>
              <w:t>% Leased</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Obligation</w:t>
            </w:r>
          </w:p>
        </w:tc>
        <w:tc>
          <w:tcPr>
            <w:tcW w:w="3140" w:type="dxa"/>
            <w:vAlign w:val="bottom"/>
            <w:gridSpan w:val="5"/>
          </w:tcPr>
          <w:p>
            <w:pPr>
              <w:ind w:left="20"/>
              <w:spacing w:after="0"/>
              <w:rPr>
                <w:sz w:val="20"/>
                <w:szCs w:val="20"/>
                <w:color w:val="auto"/>
              </w:rPr>
            </w:pPr>
            <w:r>
              <w:rPr>
                <w:rFonts w:ascii="Arial" w:cs="Arial" w:eastAsia="Arial" w:hAnsi="Arial"/>
                <w:sz w:val="13"/>
                <w:szCs w:val="13"/>
                <w:b w:val="1"/>
                <w:bCs w:val="1"/>
                <w:color w:val="auto"/>
                <w:w w:val="97"/>
              </w:rPr>
              <w:t>GLA (3) Grocery Anchor (3) Other Principal Tenants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(in thousands)</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(in thousands)</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Borders>
              <w:bottom w:val="single" w:sz="8" w:color="auto"/>
            </w:tcBorders>
            <w:gridSpan w:val="5"/>
            <w:shd w:val="clear" w:color="auto" w:fill="CCEEFF"/>
          </w:tcPr>
          <w:p>
            <w:pPr>
              <w:spacing w:after="0" w:line="174" w:lineRule="exact"/>
              <w:rPr>
                <w:sz w:val="20"/>
                <w:szCs w:val="20"/>
                <w:color w:val="auto"/>
              </w:rPr>
            </w:pPr>
            <w:r>
              <w:rPr>
                <w:rFonts w:ascii="Arial" w:cs="Arial" w:eastAsia="Arial" w:hAnsi="Arial"/>
                <w:sz w:val="17"/>
                <w:szCs w:val="17"/>
                <w:color w:val="auto"/>
                <w:w w:val="99"/>
              </w:rPr>
              <w:t>Mid-Atlantic</w:t>
            </w:r>
          </w:p>
        </w:tc>
        <w:tc>
          <w:tcPr>
            <w:tcW w:w="540" w:type="dxa"/>
            <w:vAlign w:val="bottom"/>
            <w:tcBorders>
              <w:bottom w:val="single" w:sz="8" w:color="CCEEFF"/>
            </w:tcBorders>
            <w:gridSpan w:val="3"/>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gridSpan w:val="7"/>
            <w:shd w:val="clear" w:color="auto" w:fill="CCEEFF"/>
          </w:tcPr>
          <w:p>
            <w:pPr>
              <w:spacing w:after="0" w:line="194" w:lineRule="exact"/>
              <w:rPr>
                <w:sz w:val="20"/>
                <w:szCs w:val="20"/>
                <w:color w:val="auto"/>
              </w:rPr>
            </w:pPr>
            <w:r>
              <w:rPr>
                <w:rFonts w:ascii="Arial" w:cs="Arial" w:eastAsia="Arial" w:hAnsi="Arial"/>
                <w:sz w:val="17"/>
                <w:szCs w:val="17"/>
                <w:color w:val="auto"/>
              </w:rPr>
              <w:t>Region</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460" w:type="dxa"/>
            <w:vAlign w:val="bottom"/>
            <w:gridSpan w:val="9"/>
          </w:tcPr>
          <w:p>
            <w:pPr>
              <w:spacing w:after="0"/>
              <w:rPr>
                <w:sz w:val="20"/>
                <w:szCs w:val="20"/>
                <w:color w:val="auto"/>
              </w:rPr>
            </w:pPr>
            <w:r>
              <w:rPr>
                <w:rFonts w:ascii="Arial" w:cs="Arial" w:eastAsia="Arial" w:hAnsi="Arial"/>
                <w:sz w:val="17"/>
                <w:szCs w:val="17"/>
                <w:color w:val="auto"/>
              </w:rPr>
              <w:t>Washington</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7"/>
          </w:tcPr>
          <w:p>
            <w:pPr>
              <w:spacing w:after="0" w:line="194" w:lineRule="exact"/>
              <w:rPr>
                <w:sz w:val="20"/>
                <w:szCs w:val="20"/>
                <w:color w:val="auto"/>
              </w:rPr>
            </w:pPr>
            <w:r>
              <w:rPr>
                <w:rFonts w:ascii="Arial" w:cs="Arial" w:eastAsia="Arial" w:hAnsi="Arial"/>
                <w:sz w:val="17"/>
                <w:szCs w:val="17"/>
                <w:color w:val="auto"/>
              </w:rPr>
              <w:t>Metropolitan</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gridSpan w:val="6"/>
          </w:tcPr>
          <w:p>
            <w:pPr>
              <w:spacing w:after="0" w:line="194" w:lineRule="exact"/>
              <w:rPr>
                <w:sz w:val="20"/>
                <w:szCs w:val="20"/>
                <w:color w:val="auto"/>
              </w:rPr>
            </w:pPr>
            <w:r>
              <w:rPr>
                <w:rFonts w:ascii="Arial" w:cs="Arial" w:eastAsia="Arial" w:hAnsi="Arial"/>
                <w:sz w:val="17"/>
                <w:szCs w:val="17"/>
                <w:color w:val="auto"/>
              </w:rPr>
              <w:t>Area</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Bethesda Row</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1993-98</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80,743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440,000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w:t>
            </w:r>
          </w:p>
        </w:tc>
        <w:tc>
          <w:tcPr>
            <w:tcW w:w="258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12,576 40,000 Giant Food</w:t>
            </w: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Barnes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Noble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Landmark</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Theater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Congressional</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1965</w:t>
            </w:r>
          </w:p>
        </w:tc>
        <w:tc>
          <w:tcPr>
            <w:tcW w:w="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66,967(5)</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64.1%</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337,000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3"/>
          </w:tcPr>
          <w:p>
            <w:pPr>
              <w:ind w:left="20"/>
              <w:spacing w:after="0"/>
              <w:rPr>
                <w:sz w:val="20"/>
                <w:szCs w:val="20"/>
                <w:color w:val="auto"/>
              </w:rPr>
            </w:pPr>
            <w:r>
              <w:rPr>
                <w:rFonts w:ascii="Arial" w:cs="Arial" w:eastAsia="Arial" w:hAnsi="Arial"/>
                <w:sz w:val="17"/>
                <w:szCs w:val="17"/>
                <w:color w:val="auto"/>
              </w:rPr>
              <w:t>28,000 Whole Foods</w:t>
            </w: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Buy Buy Baby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7"/>
          </w:tcPr>
          <w:p>
            <w:pPr>
              <w:spacing w:after="0"/>
              <w:rPr>
                <w:sz w:val="20"/>
                <w:szCs w:val="20"/>
                <w:color w:val="auto"/>
              </w:rPr>
            </w:pPr>
            <w:r>
              <w:rPr>
                <w:rFonts w:ascii="Arial" w:cs="Arial" w:eastAsia="Arial" w:hAnsi="Arial"/>
                <w:sz w:val="17"/>
                <w:szCs w:val="17"/>
                <w:color w:val="auto"/>
              </w:rPr>
              <w:t>Plaza</w:t>
            </w: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 Container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Store / Tower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Records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w w:val="98"/>
              </w:rPr>
              <w:t>Courthouse Center</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7,564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Falls Plaza</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1967</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8,154</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73,000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3"/>
          </w:tcPr>
          <w:p>
            <w:pPr>
              <w:ind w:left="20"/>
              <w:spacing w:after="0"/>
              <w:rPr>
                <w:sz w:val="20"/>
                <w:szCs w:val="20"/>
                <w:color w:val="auto"/>
              </w:rPr>
            </w:pPr>
            <w:r>
              <w:rPr>
                <w:rFonts w:ascii="Arial" w:cs="Arial" w:eastAsia="Arial" w:hAnsi="Arial"/>
                <w:sz w:val="17"/>
                <w:szCs w:val="17"/>
                <w:color w:val="auto"/>
              </w:rPr>
              <w:t>51,000 Giant Food</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Falls Plaza-East</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3,333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CVS / Staples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Federal Plaza</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1989</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62,078</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247,000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98%</w:t>
            </w:r>
          </w:p>
        </w:tc>
        <w:tc>
          <w:tcPr>
            <w:tcW w:w="880" w:type="dxa"/>
            <w:vAlign w:val="bottom"/>
            <w:gridSpan w:val="2"/>
          </w:tcPr>
          <w:p>
            <w:pPr>
              <w:ind w:left="340"/>
              <w:spacing w:after="0"/>
              <w:rPr>
                <w:sz w:val="20"/>
                <w:szCs w:val="20"/>
                <w:color w:val="auto"/>
              </w:rPr>
            </w:pPr>
            <w:r>
              <w:rPr>
                <w:rFonts w:ascii="Arial" w:cs="Arial" w:eastAsia="Arial" w:hAnsi="Arial"/>
                <w:sz w:val="17"/>
                <w:szCs w:val="17"/>
                <w:color w:val="auto"/>
                <w:w w:val="99"/>
              </w:rPr>
              <w:t>35,230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TJ Maxx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CompUSA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Ross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Friendship Center</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33,314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Borders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Linens ‘n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Things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Maggiano’s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Gaithersburg</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1993</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23,947</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215,000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7"/>
          </w:tcPr>
          <w:p>
            <w:pPr>
              <w:spacing w:after="0"/>
              <w:rPr>
                <w:sz w:val="20"/>
                <w:szCs w:val="20"/>
                <w:color w:val="auto"/>
              </w:rPr>
            </w:pPr>
            <w:r>
              <w:rPr>
                <w:rFonts w:ascii="Arial" w:cs="Arial" w:eastAsia="Arial" w:hAnsi="Arial"/>
                <w:sz w:val="17"/>
                <w:szCs w:val="17"/>
                <w:color w:val="auto"/>
              </w:rPr>
              <w:t>Square</w:t>
            </w: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Borders / Ross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Idylwood Plaza</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15,023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30,000 Whole Foods</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Laurel</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1986</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45,863</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99.9%</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383,000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98%</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3"/>
          </w:tcPr>
          <w:p>
            <w:pPr>
              <w:ind w:left="20"/>
              <w:spacing w:after="0"/>
              <w:rPr>
                <w:sz w:val="20"/>
                <w:szCs w:val="20"/>
                <w:color w:val="auto"/>
              </w:rPr>
            </w:pPr>
            <w:r>
              <w:rPr>
                <w:rFonts w:ascii="Arial" w:cs="Arial" w:eastAsia="Arial" w:hAnsi="Arial"/>
                <w:sz w:val="17"/>
                <w:szCs w:val="17"/>
                <w:color w:val="auto"/>
              </w:rPr>
              <w:t>61,000 Giant Food</w:t>
            </w: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Marshalls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Toys R Us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Leesburg Plaza</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24,245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247,000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77%</w:t>
            </w:r>
          </w:p>
        </w:tc>
        <w:tc>
          <w:tcPr>
            <w:tcW w:w="258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9,900 55,000 Giant Food</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Pier One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Loehmann’s Plaza</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1983</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45,540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250,000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Bally’s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Linens ‘n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Things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Loehmann’s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Mid-Pike Plaza</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17,210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304,000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99"/>
              </w:rPr>
              <w:t>10,041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Linens ‘n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Things / Toys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R Us / Bally’s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 AC Moore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Mount Vernon</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2003</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21,528</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254,000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76%</w:t>
            </w:r>
          </w:p>
        </w:tc>
        <w:tc>
          <w:tcPr>
            <w:tcW w:w="2580" w:type="dxa"/>
            <w:vAlign w:val="bottom"/>
            <w:gridSpan w:val="5"/>
          </w:tcPr>
          <w:p>
            <w:pPr>
              <w:ind w:left="340"/>
              <w:spacing w:after="0"/>
              <w:rPr>
                <w:sz w:val="20"/>
                <w:szCs w:val="20"/>
                <w:color w:val="auto"/>
              </w:rPr>
            </w:pPr>
            <w:r>
              <w:rPr>
                <w:rFonts w:ascii="Arial" w:cs="Arial" w:eastAsia="Arial" w:hAnsi="Arial"/>
                <w:sz w:val="17"/>
                <w:szCs w:val="17"/>
                <w:color w:val="auto"/>
                <w:w w:val="96"/>
              </w:rPr>
              <w:t>12,894 54,000 Shoppers Food</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auto"/>
              </w:rPr>
              <w:t>Warehouse</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Old Keene Mill</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5,158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24,000 Whole Foods</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Pan Am</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1993</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25,542</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218,000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99%</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3"/>
          </w:tcPr>
          <w:p>
            <w:pPr>
              <w:ind w:left="20"/>
              <w:spacing w:after="0"/>
              <w:rPr>
                <w:sz w:val="20"/>
                <w:szCs w:val="20"/>
                <w:color w:val="auto"/>
              </w:rPr>
            </w:pPr>
            <w:r>
              <w:rPr>
                <w:rFonts w:ascii="Arial" w:cs="Arial" w:eastAsia="Arial" w:hAnsi="Arial"/>
                <w:sz w:val="17"/>
                <w:szCs w:val="17"/>
                <w:color w:val="auto"/>
              </w:rPr>
              <w:t>33,000 Safeway</w:t>
            </w: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Micro Center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Michaels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Pentagon Row</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87,248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296,000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99%</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45,000 Harris Teeter</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Bally’s / Bed,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DSW / Cost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Plus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Pike 7</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1997</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33,461</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164,000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97%</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Staples / TJ</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Maxx / Tower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Records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Quince Orchard</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19,759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252,000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24,000 Magruders</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Circuit City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Staples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Rockville Town</w:t>
            </w:r>
          </w:p>
        </w:tc>
        <w:tc>
          <w:tcPr>
            <w:tcW w:w="460" w:type="dxa"/>
            <w:vAlign w:val="bottom"/>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80" w:type="dxa"/>
            <w:vAlign w:val="bottom"/>
          </w:tcPr>
          <w:p>
            <w:pPr>
              <w:spacing w:after="0"/>
              <w:rPr>
                <w:sz w:val="17"/>
                <w:szCs w:val="17"/>
                <w:color w:val="auto"/>
              </w:rPr>
            </w:pPr>
          </w:p>
        </w:tc>
        <w:tc>
          <w:tcPr>
            <w:tcW w:w="660" w:type="dxa"/>
            <w:vAlign w:val="bottom"/>
            <w:gridSpan w:val="2"/>
          </w:tcPr>
          <w:p>
            <w:pPr>
              <w:ind w:left="280"/>
              <w:spacing w:after="0"/>
              <w:rPr>
                <w:sz w:val="20"/>
                <w:szCs w:val="20"/>
                <w:color w:val="auto"/>
              </w:rPr>
            </w:pPr>
            <w:r>
              <w:rPr>
                <w:rFonts w:ascii="Arial" w:cs="Arial" w:eastAsia="Arial" w:hAnsi="Arial"/>
                <w:sz w:val="17"/>
                <w:szCs w:val="17"/>
                <w:color w:val="auto"/>
              </w:rPr>
              <w:t>N/A</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2,584</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(8)</w:t>
            </w:r>
          </w:p>
        </w:tc>
        <w:tc>
          <w:tcPr>
            <w:tcW w:w="780" w:type="dxa"/>
            <w:vAlign w:val="bottom"/>
            <w:gridSpan w:val="2"/>
          </w:tcPr>
          <w:p>
            <w:pPr>
              <w:ind w:left="400"/>
              <w:spacing w:after="0"/>
              <w:rPr>
                <w:sz w:val="20"/>
                <w:szCs w:val="20"/>
                <w:color w:val="auto"/>
              </w:rPr>
            </w:pPr>
            <w:r>
              <w:rPr>
                <w:rFonts w:ascii="Arial" w:cs="Arial" w:eastAsia="Arial" w:hAnsi="Arial"/>
                <w:sz w:val="17"/>
                <w:szCs w:val="17"/>
                <w:color w:val="auto"/>
              </w:rPr>
              <w:t>N/A</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N/A</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auto"/>
              </w:rPr>
              <w:t>Magruders</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7"/>
          </w:tcPr>
          <w:p>
            <w:pPr>
              <w:spacing w:after="0"/>
              <w:rPr>
                <w:sz w:val="20"/>
                <w:szCs w:val="20"/>
                <w:color w:val="auto"/>
              </w:rPr>
            </w:pPr>
            <w:r>
              <w:rPr>
                <w:rFonts w:ascii="Arial" w:cs="Arial" w:eastAsia="Arial" w:hAnsi="Arial"/>
                <w:sz w:val="17"/>
                <w:szCs w:val="17"/>
                <w:color w:val="auto"/>
              </w:rPr>
              <w:t>Square</w:t>
            </w: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auto"/>
              </w:rPr>
              <w:t>(signed)</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Rollingwood</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6,706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N/A</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Apartments</w:t>
            </w: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00" w:type="dxa"/>
            <w:vAlign w:val="bottom"/>
            <w:gridSpan w:val="9"/>
          </w:tcPr>
          <w:p>
            <w:pPr>
              <w:spacing w:after="0"/>
              <w:rPr>
                <w:sz w:val="20"/>
                <w:szCs w:val="20"/>
                <w:color w:val="auto"/>
              </w:rPr>
            </w:pPr>
            <w:r>
              <w:rPr>
                <w:rFonts w:ascii="Arial" w:cs="Arial" w:eastAsia="Arial" w:hAnsi="Arial"/>
                <w:sz w:val="17"/>
                <w:szCs w:val="17"/>
                <w:color w:val="auto"/>
              </w:rPr>
              <w:t>Sam’s Park &amp; Shop SR</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1995</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12,098</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51,000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Petco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6" w:right="239" w:bottom="0" w:gutter="0" w:footer="0" w:header="0"/>
        </w:sectPr>
      </w:pPr>
    </w:p>
    <w:bookmarkStart w:id="23" w:name="page24"/>
    <w:bookmarkEnd w:id="2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South Valley</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7"/>
                <w:szCs w:val="17"/>
                <w:color w:val="auto"/>
              </w:rPr>
              <w:t>Washington,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14,741</w:t>
            </w: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218,000</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Home Depot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TJ Maxx</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400" w:type="dxa"/>
            <w:vAlign w:val="bottom"/>
            <w:gridSpan w:val="7"/>
            <w:vMerge w:val="restart"/>
          </w:tcPr>
          <w:p>
            <w:pPr>
              <w:spacing w:after="0"/>
              <w:rPr>
                <w:sz w:val="20"/>
                <w:szCs w:val="20"/>
                <w:color w:val="auto"/>
              </w:rPr>
            </w:pPr>
            <w:r>
              <w:rPr>
                <w:rFonts w:ascii="Arial" w:cs="Arial" w:eastAsia="Arial" w:hAnsi="Arial"/>
                <w:sz w:val="17"/>
                <w:szCs w:val="17"/>
                <w:color w:val="auto"/>
              </w:rPr>
              <w:t>Tower</w:t>
            </w:r>
          </w:p>
        </w:tc>
        <w:tc>
          <w:tcPr>
            <w:tcW w:w="40" w:type="dxa"/>
            <w:vAlign w:val="bottom"/>
            <w:shd w:val="clear" w:color="auto" w:fill="CCEEFF"/>
          </w:tcPr>
          <w:p>
            <w:pPr>
              <w:spacing w:after="0"/>
              <w:rPr>
                <w:sz w:val="8"/>
                <w:szCs w:val="8"/>
                <w:color w:val="auto"/>
              </w:rPr>
            </w:pPr>
          </w:p>
        </w:tc>
        <w:tc>
          <w:tcPr>
            <w:tcW w:w="460" w:type="dxa"/>
            <w:vAlign w:val="bottom"/>
            <w:vMerge w:val="restart"/>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8"/>
                <w:szCs w:val="8"/>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auto"/>
              </w:rPr>
              <w:t>Washington,</w:t>
            </w:r>
          </w:p>
        </w:tc>
        <w:tc>
          <w:tcPr>
            <w:tcW w:w="80" w:type="dxa"/>
            <w:vAlign w:val="bottom"/>
            <w:shd w:val="clear" w:color="auto" w:fill="CCEEFF"/>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1998</w:t>
            </w:r>
          </w:p>
        </w:tc>
        <w:tc>
          <w:tcPr>
            <w:tcW w:w="80" w:type="dxa"/>
            <w:vAlign w:val="bottom"/>
            <w:shd w:val="clear" w:color="auto" w:fill="CCEEFF"/>
          </w:tcPr>
          <w:p>
            <w:pPr>
              <w:spacing w:after="0"/>
              <w:rPr>
                <w:sz w:val="8"/>
                <w:szCs w:val="8"/>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18,775</w:t>
            </w:r>
          </w:p>
        </w:tc>
        <w:tc>
          <w:tcPr>
            <w:tcW w:w="60" w:type="dxa"/>
            <w:vAlign w:val="bottom"/>
            <w:shd w:val="clear" w:color="auto" w:fill="CCEEFF"/>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100.0%</w:t>
            </w:r>
          </w:p>
        </w:tc>
        <w:tc>
          <w:tcPr>
            <w:tcW w:w="60" w:type="dxa"/>
            <w:vAlign w:val="bottom"/>
            <w:shd w:val="clear" w:color="auto" w:fill="CCEEFF"/>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109,000</w:t>
            </w:r>
          </w:p>
        </w:tc>
        <w:tc>
          <w:tcPr>
            <w:tcW w:w="80" w:type="dxa"/>
            <w:vAlign w:val="bottom"/>
            <w:shd w:val="clear" w:color="auto" w:fill="CCEEFF"/>
          </w:tcPr>
          <w:p>
            <w:pPr>
              <w:spacing w:after="0"/>
              <w:rPr>
                <w:sz w:val="8"/>
                <w:szCs w:val="8"/>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Borders>
              <w:left w:val="single" w:sz="8" w:color="CCEEFF"/>
            </w:tcBorders>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tcBorders>
              <w:right w:val="single" w:sz="8" w:color="CCEEFF"/>
            </w:tcBorders>
          </w:tcPr>
          <w:p>
            <w:pPr>
              <w:spacing w:after="0"/>
              <w:rPr>
                <w:sz w:val="8"/>
                <w:szCs w:val="8"/>
                <w:color w:val="auto"/>
              </w:rPr>
            </w:pPr>
          </w:p>
        </w:tc>
        <w:tc>
          <w:tcPr>
            <w:tcW w:w="1400" w:type="dxa"/>
            <w:vAlign w:val="bottom"/>
            <w:vMerge w:val="restart"/>
          </w:tcPr>
          <w:p>
            <w:pPr>
              <w:spacing w:after="0"/>
              <w:rPr>
                <w:sz w:val="20"/>
                <w:szCs w:val="20"/>
                <w:color w:val="auto"/>
              </w:rPr>
            </w:pPr>
            <w:r>
              <w:rPr>
                <w:rFonts w:ascii="Arial" w:cs="Arial" w:eastAsia="Arial" w:hAnsi="Arial"/>
                <w:sz w:val="17"/>
                <w:szCs w:val="17"/>
                <w:color w:val="auto"/>
              </w:rPr>
              <w:t>Virginia Fine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Wine / Talbots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Tyson’s Station</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3,356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940" w:type="dxa"/>
            <w:vAlign w:val="bottom"/>
            <w:tcBorders>
              <w:left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6,664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Trader Joes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Village at</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1995</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33,533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204,000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Cineplex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6"/>
          </w:tcPr>
          <w:p>
            <w:pPr>
              <w:spacing w:after="0"/>
              <w:rPr>
                <w:sz w:val="20"/>
                <w:szCs w:val="20"/>
                <w:color w:val="auto"/>
              </w:rPr>
            </w:pPr>
            <w:r>
              <w:rPr>
                <w:rFonts w:ascii="Arial" w:cs="Arial" w:eastAsia="Arial" w:hAnsi="Arial"/>
                <w:sz w:val="17"/>
                <w:szCs w:val="17"/>
                <w:color w:val="auto"/>
              </w:rPr>
              <w:t>Shirlington</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Odeon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Carlyle Grand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Café</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Wildwood</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17,498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86,000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680" w:type="dxa"/>
            <w:vAlign w:val="bottom"/>
            <w:tcBorders>
              <w:left w:val="single" w:sz="8" w:color="CCEEFF"/>
              <w:right w:val="single" w:sz="8" w:color="CCEEFF"/>
            </w:tcBorders>
            <w:gridSpan w:val="5"/>
            <w:shd w:val="clear" w:color="auto" w:fill="CCEEFF"/>
          </w:tcPr>
          <w:p>
            <w:pPr>
              <w:ind w:left="400"/>
              <w:spacing w:after="0"/>
              <w:rPr>
                <w:sz w:val="20"/>
                <w:szCs w:val="20"/>
                <w:color w:val="auto"/>
              </w:rPr>
            </w:pPr>
            <w:r>
              <w:rPr>
                <w:rFonts w:ascii="Arial" w:cs="Arial" w:eastAsia="Arial" w:hAnsi="Arial"/>
                <w:sz w:val="17"/>
                <w:szCs w:val="17"/>
                <w:color w:val="auto"/>
              </w:rPr>
              <w:t>27,323 20,000 Balducci’s</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CVS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735,968</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4,791,000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1420" w:type="dxa"/>
            <w:vAlign w:val="bottom"/>
            <w:gridSpan w:val="8"/>
          </w:tcPr>
          <w:p>
            <w:pPr>
              <w:spacing w:after="0"/>
              <w:rPr>
                <w:sz w:val="20"/>
                <w:szCs w:val="20"/>
                <w:color w:val="auto"/>
              </w:rPr>
            </w:pPr>
            <w:r>
              <w:rPr>
                <w:rFonts w:ascii="Arial" w:cs="Arial" w:eastAsia="Arial" w:hAnsi="Arial"/>
                <w:sz w:val="17"/>
                <w:szCs w:val="17"/>
                <w:color w:val="auto"/>
              </w:rPr>
              <w:t>Mid-Atlantic</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6"/>
          </w:tcPr>
          <w:p>
            <w:pPr>
              <w:spacing w:after="0" w:line="194" w:lineRule="exact"/>
              <w:rPr>
                <w:sz w:val="20"/>
                <w:szCs w:val="20"/>
                <w:color w:val="auto"/>
              </w:rPr>
            </w:pPr>
            <w:r>
              <w:rPr>
                <w:rFonts w:ascii="Arial" w:cs="Arial" w:eastAsia="Arial" w:hAnsi="Arial"/>
                <w:sz w:val="17"/>
                <w:szCs w:val="17"/>
                <w:color w:val="auto"/>
              </w:rPr>
              <w:t>Region - Other</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Governor Plaza</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Baltimore, MD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18,876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269,000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8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Bally’s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Comp USA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Office Depot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Perring Plaza</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Baltimore, MD</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1985</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25,020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99.9%</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401,000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96%</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color w:val="auto"/>
                <w:w w:val="97"/>
              </w:rPr>
              <w:t>58,000 Shoppers Food</w:t>
            </w:r>
          </w:p>
        </w:tc>
        <w:tc>
          <w:tcPr>
            <w:tcW w:w="1400" w:type="dxa"/>
            <w:vAlign w:val="bottom"/>
          </w:tcPr>
          <w:p>
            <w:pPr>
              <w:spacing w:after="0"/>
              <w:rPr>
                <w:sz w:val="20"/>
                <w:szCs w:val="20"/>
                <w:color w:val="auto"/>
              </w:rPr>
            </w:pPr>
            <w:r>
              <w:rPr>
                <w:rFonts w:ascii="Arial" w:cs="Arial" w:eastAsia="Arial" w:hAnsi="Arial"/>
                <w:sz w:val="17"/>
                <w:szCs w:val="17"/>
                <w:color w:val="auto"/>
              </w:rPr>
              <w:t>Home Depot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7"/>
                <w:szCs w:val="17"/>
                <w:color w:val="auto"/>
              </w:rPr>
              <w:t>Warehouse</w:t>
            </w:r>
          </w:p>
        </w:tc>
        <w:tc>
          <w:tcPr>
            <w:tcW w:w="1400" w:type="dxa"/>
            <w:vAlign w:val="bottom"/>
          </w:tcPr>
          <w:p>
            <w:pPr>
              <w:spacing w:after="0"/>
              <w:rPr>
                <w:sz w:val="20"/>
                <w:szCs w:val="20"/>
                <w:color w:val="auto"/>
              </w:rPr>
            </w:pPr>
            <w:r>
              <w:rPr>
                <w:rFonts w:ascii="Arial" w:cs="Arial" w:eastAsia="Arial" w:hAnsi="Arial"/>
                <w:sz w:val="17"/>
                <w:szCs w:val="17"/>
                <w:color w:val="auto"/>
              </w:rPr>
              <w:t>Burlington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Coat Factory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Jo-Ann Stores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Barracks Road</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6"/>
              </w:rPr>
              <w:t>Charlottesville,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39,837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483,000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680" w:type="dxa"/>
            <w:vAlign w:val="bottom"/>
            <w:tcBorders>
              <w:left w:val="single" w:sz="8" w:color="CCEEFF"/>
              <w:right w:val="single" w:sz="8" w:color="CCEEFF"/>
            </w:tcBorders>
            <w:gridSpan w:val="5"/>
            <w:shd w:val="clear" w:color="auto" w:fill="CCEEFF"/>
          </w:tcPr>
          <w:p>
            <w:pPr>
              <w:ind w:left="400"/>
              <w:spacing w:after="0"/>
              <w:rPr>
                <w:sz w:val="20"/>
                <w:szCs w:val="20"/>
                <w:color w:val="auto"/>
              </w:rPr>
            </w:pPr>
            <w:r>
              <w:rPr>
                <w:rFonts w:ascii="Arial" w:cs="Arial" w:eastAsia="Arial" w:hAnsi="Arial"/>
                <w:sz w:val="17"/>
                <w:szCs w:val="17"/>
                <w:color w:val="auto"/>
              </w:rPr>
              <w:t>43,855 91,000 Harris Teeter /</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VA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Kroger</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Barnes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Noble / Old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Navy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Winter Park</w:t>
            </w:r>
          </w:p>
        </w:tc>
        <w:tc>
          <w:tcPr>
            <w:tcW w:w="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Orlando, FL</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1996</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6,972</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28,000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Eastgate</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Raleigh-</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1986</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16,466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159,000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23,000 Earth Fare</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Stein Mart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Durham-</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Chapel Hill,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NC</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Shops at Willow</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Richmond-</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1983</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61,093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99.9%</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488,000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color w:val="auto"/>
              </w:rPr>
              <w:t>60,000 Kroger</w:t>
            </w:r>
          </w:p>
        </w:tc>
        <w:tc>
          <w:tcPr>
            <w:tcW w:w="1400" w:type="dxa"/>
            <w:vAlign w:val="bottom"/>
          </w:tcPr>
          <w:p>
            <w:pPr>
              <w:spacing w:after="0"/>
              <w:rPr>
                <w:sz w:val="20"/>
                <w:szCs w:val="20"/>
                <w:color w:val="auto"/>
              </w:rPr>
            </w:pPr>
            <w:r>
              <w:rPr>
                <w:rFonts w:ascii="Arial" w:cs="Arial" w:eastAsia="Arial" w:hAnsi="Arial"/>
                <w:sz w:val="17"/>
                <w:szCs w:val="17"/>
                <w:color w:val="auto"/>
              </w:rPr>
              <w:t>Old Navy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6"/>
          </w:tcPr>
          <w:p>
            <w:pPr>
              <w:spacing w:after="0"/>
              <w:rPr>
                <w:sz w:val="20"/>
                <w:szCs w:val="20"/>
                <w:color w:val="auto"/>
              </w:rPr>
            </w:pPr>
            <w:r>
              <w:rPr>
                <w:rFonts w:ascii="Arial" w:cs="Arial" w:eastAsia="Arial" w:hAnsi="Arial"/>
                <w:sz w:val="17"/>
                <w:szCs w:val="17"/>
                <w:color w:val="auto"/>
              </w:rPr>
              <w:t>Lawn</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w w:val="93"/>
              </w:rPr>
              <w:t>Petersburg, 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Tower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Records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Staples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168,264</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1,828,000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Total Mid-</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904,232</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w w:val="97"/>
              </w:rPr>
              <w:t>6,619,000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93%</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Atlantic</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Region</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0" w:type="dxa"/>
            <w:vAlign w:val="bottom"/>
            <w:gridSpan w:val="7"/>
            <w:shd w:val="clear" w:color="auto" w:fill="CCEEFF"/>
          </w:tcPr>
          <w:p>
            <w:pPr>
              <w:spacing w:after="0" w:line="176" w:lineRule="exact"/>
              <w:rPr>
                <w:sz w:val="20"/>
                <w:szCs w:val="20"/>
                <w:color w:val="auto"/>
              </w:rPr>
            </w:pPr>
            <w:r>
              <w:rPr>
                <w:rFonts w:ascii="Arial" w:cs="Arial" w:eastAsia="Arial" w:hAnsi="Arial"/>
                <w:sz w:val="17"/>
                <w:szCs w:val="17"/>
                <w:color w:val="auto"/>
              </w:rPr>
              <w:t>Northeast Region</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420" w:type="dxa"/>
            <w:vAlign w:val="bottom"/>
            <w:gridSpan w:val="8"/>
          </w:tcPr>
          <w:p>
            <w:pPr>
              <w:spacing w:after="0"/>
              <w:rPr>
                <w:sz w:val="20"/>
                <w:szCs w:val="20"/>
                <w:color w:val="auto"/>
              </w:rPr>
            </w:pPr>
            <w:r>
              <w:rPr>
                <w:rFonts w:ascii="Arial" w:cs="Arial" w:eastAsia="Arial" w:hAnsi="Arial"/>
                <w:sz w:val="17"/>
                <w:szCs w:val="17"/>
                <w:color w:val="auto"/>
              </w:rPr>
              <w:t>Philadelphia</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6"/>
          </w:tcPr>
          <w:p>
            <w:pPr>
              <w:spacing w:after="0" w:line="194" w:lineRule="exact"/>
              <w:rPr>
                <w:sz w:val="20"/>
                <w:szCs w:val="20"/>
                <w:color w:val="auto"/>
              </w:rPr>
            </w:pPr>
            <w:r>
              <w:rPr>
                <w:rFonts w:ascii="Arial" w:cs="Arial" w:eastAsia="Arial" w:hAnsi="Arial"/>
                <w:sz w:val="17"/>
                <w:szCs w:val="17"/>
                <w:color w:val="auto"/>
              </w:rPr>
              <w:t>Metropolitan</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gridSpan w:val="3"/>
          </w:tcPr>
          <w:p>
            <w:pPr>
              <w:spacing w:after="0" w:line="194" w:lineRule="exact"/>
              <w:rPr>
                <w:sz w:val="20"/>
                <w:szCs w:val="20"/>
                <w:color w:val="auto"/>
              </w:rPr>
            </w:pPr>
            <w:r>
              <w:rPr>
                <w:rFonts w:ascii="Arial" w:cs="Arial" w:eastAsia="Arial" w:hAnsi="Arial"/>
                <w:sz w:val="17"/>
                <w:szCs w:val="17"/>
                <w:color w:val="auto"/>
              </w:rPr>
              <w:t>Area</w:t>
            </w:r>
          </w:p>
        </w:tc>
        <w:tc>
          <w:tcPr>
            <w:tcW w:w="30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Andorra</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21,734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259,000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24,000 Acme Markets</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Kohl’s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PA-NJ</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Staples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Bala Cynwyd</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1993</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24,933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281,000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color w:val="auto"/>
              </w:rPr>
              <w:t>45,000 Acme Markets</w:t>
            </w:r>
          </w:p>
        </w:tc>
        <w:tc>
          <w:tcPr>
            <w:tcW w:w="1400" w:type="dxa"/>
            <w:vAlign w:val="bottom"/>
          </w:tcPr>
          <w:p>
            <w:pPr>
              <w:spacing w:after="0"/>
              <w:rPr>
                <w:sz w:val="20"/>
                <w:szCs w:val="20"/>
                <w:color w:val="auto"/>
              </w:rPr>
            </w:pPr>
            <w:r>
              <w:rPr>
                <w:rFonts w:ascii="Arial" w:cs="Arial" w:eastAsia="Arial" w:hAnsi="Arial"/>
                <w:sz w:val="17"/>
                <w:szCs w:val="17"/>
                <w:color w:val="auto"/>
              </w:rPr>
              <w:t>Lord &amp; Taylor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PA-NJ</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Ellisburg Circle</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28,946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268,000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47,000 Genuardi’s</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PA-NJ</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Beyond / Stein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Mart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Feasterville</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1980</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11,653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111,000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color w:val="auto"/>
              </w:rPr>
              <w:t>53,000 Genuardi’s</w:t>
            </w:r>
          </w:p>
        </w:tc>
        <w:tc>
          <w:tcPr>
            <w:tcW w:w="1400" w:type="dxa"/>
            <w:vAlign w:val="bottom"/>
          </w:tcPr>
          <w:p>
            <w:pPr>
              <w:spacing w:after="0"/>
              <w:rPr>
                <w:sz w:val="20"/>
                <w:szCs w:val="20"/>
                <w:color w:val="auto"/>
              </w:rPr>
            </w:pPr>
            <w:r>
              <w:rPr>
                <w:rFonts w:ascii="Arial" w:cs="Arial" w:eastAsia="Arial" w:hAnsi="Arial"/>
                <w:sz w:val="17"/>
                <w:szCs w:val="17"/>
                <w:color w:val="auto"/>
              </w:rPr>
              <w:t>OfficeMax</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PA-NJ</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Flourtown</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9,025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187,000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42,000 Genuardi’s</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PA-NJ</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w w:val="97"/>
              </w:rPr>
              <w:t>Langhorne Square</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1985</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17,793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216,000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color w:val="auto"/>
              </w:rPr>
              <w:t>55,000 Redner’s</w:t>
            </w:r>
          </w:p>
        </w:tc>
        <w:tc>
          <w:tcPr>
            <w:tcW w:w="1400" w:type="dxa"/>
            <w:vAlign w:val="bottom"/>
          </w:tcPr>
          <w:p>
            <w:pPr>
              <w:spacing w:after="0"/>
              <w:rPr>
                <w:sz w:val="20"/>
                <w:szCs w:val="20"/>
                <w:color w:val="auto"/>
              </w:rPr>
            </w:pPr>
            <w:r>
              <w:rPr>
                <w:rFonts w:ascii="Arial" w:cs="Arial" w:eastAsia="Arial" w:hAnsi="Arial"/>
                <w:sz w:val="17"/>
                <w:szCs w:val="17"/>
                <w:color w:val="auto"/>
              </w:rPr>
              <w:t>Marshalls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PA-NJ</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7"/>
                <w:szCs w:val="17"/>
                <w:color w:val="auto"/>
              </w:rPr>
              <w:t>Warehouse</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7"/>
                <w:szCs w:val="17"/>
                <w:color w:val="auto"/>
              </w:rPr>
              <w:t>Mkts.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Lawrence Park</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25,886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348,000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680" w:type="dxa"/>
            <w:vAlign w:val="bottom"/>
            <w:tcBorders>
              <w:left w:val="single" w:sz="8" w:color="CCEEFF"/>
              <w:right w:val="single" w:sz="8" w:color="CCEEFF"/>
            </w:tcBorders>
            <w:gridSpan w:val="5"/>
            <w:shd w:val="clear" w:color="auto" w:fill="CCEEFF"/>
          </w:tcPr>
          <w:p>
            <w:pPr>
              <w:ind w:left="400"/>
              <w:spacing w:after="0"/>
              <w:rPr>
                <w:sz w:val="20"/>
                <w:szCs w:val="20"/>
                <w:color w:val="auto"/>
              </w:rPr>
            </w:pPr>
            <w:r>
              <w:rPr>
                <w:rFonts w:ascii="Arial" w:cs="Arial" w:eastAsia="Arial" w:hAnsi="Arial"/>
                <w:sz w:val="17"/>
                <w:szCs w:val="17"/>
                <w:color w:val="auto"/>
              </w:rPr>
              <w:t>31,084 53,000 Acme Markets</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CHI / TJ</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PA-NJ</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Maxx / CVS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Northeast</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1983</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22,014</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292,000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Burlington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PA-NJ</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Coat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Marshalls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Tower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Records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Willow Grove</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1984</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26,308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215,000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Barnes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PA-NJ</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Noble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Marshalls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Toys R Us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Wynnewood</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1996</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35,292</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255,000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w:t>
            </w:r>
          </w:p>
        </w:tc>
        <w:tc>
          <w:tcPr>
            <w:tcW w:w="2680" w:type="dxa"/>
            <w:vAlign w:val="bottom"/>
            <w:gridSpan w:val="5"/>
          </w:tcPr>
          <w:p>
            <w:pPr>
              <w:ind w:left="400"/>
              <w:spacing w:after="0"/>
              <w:rPr>
                <w:sz w:val="20"/>
                <w:szCs w:val="20"/>
                <w:color w:val="auto"/>
              </w:rPr>
            </w:pPr>
            <w:r>
              <w:rPr>
                <w:rFonts w:ascii="Arial" w:cs="Arial" w:eastAsia="Arial" w:hAnsi="Arial"/>
                <w:sz w:val="17"/>
                <w:szCs w:val="17"/>
                <w:color w:val="auto"/>
              </w:rPr>
              <w:t>31,678 98,000 Genuardi’s</w:t>
            </w:r>
          </w:p>
        </w:tc>
        <w:tc>
          <w:tcPr>
            <w:tcW w:w="1400" w:type="dxa"/>
            <w:vAlign w:val="bottom"/>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PA-NJ</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Borders / Old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Navy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223,584</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2,432,000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52" w:orient="portrait"/>
          <w:cols w:equalWidth="0" w:num="1">
            <w:col w:w="11420"/>
          </w:cols>
          <w:pgMar w:left="240" w:top="140" w:right="239" w:bottom="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New York / New</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Jersey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Allwood</w:t>
            </w: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SC</w:t>
            </w: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Bergen-</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1988</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4,295</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52,000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25,000</w:t>
            </w:r>
          </w:p>
        </w:tc>
        <w:tc>
          <w:tcPr>
            <w:tcW w:w="1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Stop &amp; Shop</w:t>
            </w:r>
          </w:p>
        </w:tc>
        <w:tc>
          <w:tcPr>
            <w:tcW w:w="1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Mandee Shop</w:t>
            </w:r>
          </w:p>
        </w:tc>
      </w:tr>
      <w:tr>
        <w:trPr>
          <w:trHeight w:val="223"/>
        </w:trPr>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Passaic, NJ</w:t>
            </w: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06"/>
        </w:trPr>
        <w:tc>
          <w:tcPr>
            <w:tcW w:w="1320" w:type="dxa"/>
            <w:vAlign w:val="bottom"/>
          </w:tcPr>
          <w:p>
            <w:pPr>
              <w:spacing w:after="0"/>
              <w:rPr>
                <w:sz w:val="20"/>
                <w:szCs w:val="20"/>
                <w:color w:val="auto"/>
              </w:rPr>
            </w:pPr>
            <w:r>
              <w:rPr>
                <w:rFonts w:ascii="Arial" w:cs="Arial" w:eastAsia="Arial" w:hAnsi="Arial"/>
                <w:sz w:val="17"/>
                <w:szCs w:val="17"/>
                <w:color w:val="auto"/>
              </w:rPr>
              <w:t>Clifton</w:t>
            </w:r>
          </w:p>
        </w:tc>
        <w:tc>
          <w:tcPr>
            <w:tcW w:w="520" w:type="dxa"/>
            <w:vAlign w:val="bottom"/>
          </w:tcPr>
          <w:p>
            <w:pPr>
              <w:ind w:left="140"/>
              <w:spacing w:after="0"/>
              <w:rPr>
                <w:sz w:val="20"/>
                <w:szCs w:val="20"/>
                <w:color w:val="auto"/>
              </w:rPr>
            </w:pPr>
            <w:r>
              <w:rPr>
                <w:rFonts w:ascii="Arial" w:cs="Arial" w:eastAsia="Arial" w:hAnsi="Arial"/>
                <w:sz w:val="17"/>
                <w:szCs w:val="17"/>
                <w:color w:val="auto"/>
              </w:rPr>
              <w:t>SC</w:t>
            </w:r>
          </w:p>
        </w:tc>
        <w:tc>
          <w:tcPr>
            <w:tcW w:w="1380" w:type="dxa"/>
            <w:vAlign w:val="bottom"/>
          </w:tcPr>
          <w:p>
            <w:pPr>
              <w:ind w:left="160"/>
              <w:spacing w:after="0"/>
              <w:rPr>
                <w:sz w:val="20"/>
                <w:szCs w:val="20"/>
                <w:color w:val="auto"/>
              </w:rPr>
            </w:pPr>
            <w:r>
              <w:rPr>
                <w:rFonts w:ascii="Arial" w:cs="Arial" w:eastAsia="Arial" w:hAnsi="Arial"/>
                <w:sz w:val="17"/>
                <w:szCs w:val="17"/>
                <w:color w:val="auto"/>
              </w:rPr>
              <w:t>Bergen-</w:t>
            </w: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1988</w:t>
            </w: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5,034</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(7)</w:t>
            </w:r>
          </w:p>
        </w:tc>
        <w:tc>
          <w:tcPr>
            <w:tcW w:w="860" w:type="dxa"/>
            <w:vAlign w:val="bottom"/>
          </w:tcPr>
          <w:p>
            <w:pPr>
              <w:jc w:val="right"/>
              <w:ind w:right="113"/>
              <w:spacing w:after="0"/>
              <w:rPr>
                <w:sz w:val="20"/>
                <w:szCs w:val="20"/>
                <w:color w:val="auto"/>
              </w:rPr>
            </w:pPr>
            <w:r>
              <w:rPr>
                <w:rFonts w:ascii="Arial" w:cs="Arial" w:eastAsia="Arial" w:hAnsi="Arial"/>
                <w:sz w:val="17"/>
                <w:szCs w:val="17"/>
                <w:color w:val="auto"/>
              </w:rPr>
              <w:t>80,000</w:t>
            </w:r>
          </w:p>
        </w:tc>
        <w:tc>
          <w:tcPr>
            <w:tcW w:w="800" w:type="dxa"/>
            <w:vAlign w:val="bottom"/>
          </w:tcPr>
          <w:p>
            <w:pPr>
              <w:jc w:val="right"/>
              <w:ind w:right="113"/>
              <w:spacing w:after="0"/>
              <w:rPr>
                <w:sz w:val="20"/>
                <w:szCs w:val="20"/>
                <w:color w:val="auto"/>
              </w:rPr>
            </w:pPr>
            <w:r>
              <w:rPr>
                <w:rFonts w:ascii="Arial" w:cs="Arial" w:eastAsia="Arial" w:hAnsi="Arial"/>
                <w:sz w:val="17"/>
                <w:szCs w:val="17"/>
                <w:color w:val="auto"/>
              </w:rPr>
              <w:t>66%</w:t>
            </w:r>
          </w:p>
        </w:tc>
        <w:tc>
          <w:tcPr>
            <w:tcW w:w="720" w:type="dxa"/>
            <w:vAlign w:val="bottom"/>
          </w:tcPr>
          <w:p>
            <w:pPr>
              <w:jc w:val="right"/>
              <w:spacing w:after="0"/>
              <w:rPr>
                <w:sz w:val="20"/>
                <w:szCs w:val="20"/>
                <w:color w:val="auto"/>
              </w:rPr>
            </w:pPr>
            <w:r>
              <w:rPr>
                <w:rFonts w:ascii="Arial" w:cs="Arial" w:eastAsia="Arial" w:hAnsi="Arial"/>
                <w:sz w:val="17"/>
                <w:szCs w:val="17"/>
                <w:color w:val="auto"/>
              </w:rPr>
              <w:t>3,247</w:t>
            </w: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Drug Fair /</w:t>
            </w:r>
          </w:p>
        </w:tc>
      </w:tr>
      <w:tr>
        <w:trPr>
          <w:trHeight w:val="221"/>
        </w:trPr>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7"/>
                <w:szCs w:val="17"/>
                <w:color w:val="auto"/>
              </w:rPr>
              <w:t>Passaic, NJ</w:t>
            </w: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Dollar Express</w:t>
            </w:r>
          </w:p>
        </w:tc>
      </w:tr>
      <w:tr>
        <w:trPr>
          <w:trHeight w:val="207"/>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Blue Star</w:t>
            </w: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SC</w:t>
            </w: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Middlesex-</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1988</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39,561</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407,000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97%</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26,651</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43,000</w:t>
            </w:r>
          </w:p>
        </w:tc>
        <w:tc>
          <w:tcPr>
            <w:tcW w:w="1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Shop Rite</w:t>
            </w:r>
          </w:p>
        </w:tc>
        <w:tc>
          <w:tcPr>
            <w:tcW w:w="1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Kohl’s /</w:t>
            </w:r>
          </w:p>
        </w:tc>
      </w:tr>
      <w:tr>
        <w:trPr>
          <w:trHeight w:val="214"/>
        </w:trPr>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Somerset-</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Michaels /</w:t>
            </w:r>
          </w:p>
        </w:tc>
      </w:tr>
      <w:tr>
        <w:trPr>
          <w:trHeight w:val="214"/>
        </w:trPr>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Hunterdon, NJ</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Toys R Us /</w:t>
            </w:r>
          </w:p>
        </w:tc>
      </w:tr>
      <w:tr>
        <w:trPr>
          <w:trHeight w:val="223"/>
        </w:trPr>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Marshalls</w:t>
            </w:r>
          </w:p>
        </w:tc>
      </w:tr>
      <w:tr>
        <w:trPr>
          <w:trHeight w:val="206"/>
        </w:trPr>
        <w:tc>
          <w:tcPr>
            <w:tcW w:w="1320" w:type="dxa"/>
            <w:vAlign w:val="bottom"/>
          </w:tcPr>
          <w:p>
            <w:pPr>
              <w:spacing w:after="0"/>
              <w:rPr>
                <w:sz w:val="20"/>
                <w:szCs w:val="20"/>
                <w:color w:val="auto"/>
              </w:rPr>
            </w:pPr>
            <w:r>
              <w:rPr>
                <w:rFonts w:ascii="Arial" w:cs="Arial" w:eastAsia="Arial" w:hAnsi="Arial"/>
                <w:sz w:val="17"/>
                <w:szCs w:val="17"/>
                <w:color w:val="auto"/>
              </w:rPr>
              <w:t>Brunswick</w:t>
            </w:r>
          </w:p>
        </w:tc>
        <w:tc>
          <w:tcPr>
            <w:tcW w:w="520" w:type="dxa"/>
            <w:vAlign w:val="bottom"/>
          </w:tcPr>
          <w:p>
            <w:pPr>
              <w:ind w:left="140"/>
              <w:spacing w:after="0"/>
              <w:rPr>
                <w:sz w:val="20"/>
                <w:szCs w:val="20"/>
                <w:color w:val="auto"/>
              </w:rPr>
            </w:pPr>
            <w:r>
              <w:rPr>
                <w:rFonts w:ascii="Arial" w:cs="Arial" w:eastAsia="Arial" w:hAnsi="Arial"/>
                <w:sz w:val="17"/>
                <w:szCs w:val="17"/>
                <w:color w:val="auto"/>
              </w:rPr>
              <w:t>SC</w:t>
            </w:r>
          </w:p>
        </w:tc>
        <w:tc>
          <w:tcPr>
            <w:tcW w:w="1380" w:type="dxa"/>
            <w:vAlign w:val="bottom"/>
          </w:tcPr>
          <w:p>
            <w:pPr>
              <w:ind w:left="160"/>
              <w:spacing w:after="0"/>
              <w:rPr>
                <w:sz w:val="20"/>
                <w:szCs w:val="20"/>
                <w:color w:val="auto"/>
              </w:rPr>
            </w:pPr>
            <w:r>
              <w:rPr>
                <w:rFonts w:ascii="Arial" w:cs="Arial" w:eastAsia="Arial" w:hAnsi="Arial"/>
                <w:sz w:val="17"/>
                <w:szCs w:val="17"/>
                <w:color w:val="auto"/>
              </w:rPr>
              <w:t>Middlesex-</w:t>
            </w: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1988</w:t>
            </w: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24,010</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(7)</w:t>
            </w:r>
          </w:p>
        </w:tc>
        <w:tc>
          <w:tcPr>
            <w:tcW w:w="860" w:type="dxa"/>
            <w:vAlign w:val="bottom"/>
          </w:tcPr>
          <w:p>
            <w:pPr>
              <w:jc w:val="right"/>
              <w:ind w:right="113"/>
              <w:spacing w:after="0"/>
              <w:rPr>
                <w:sz w:val="20"/>
                <w:szCs w:val="20"/>
                <w:color w:val="auto"/>
              </w:rPr>
            </w:pPr>
            <w:r>
              <w:rPr>
                <w:rFonts w:ascii="Arial" w:cs="Arial" w:eastAsia="Arial" w:hAnsi="Arial"/>
                <w:sz w:val="17"/>
                <w:szCs w:val="17"/>
                <w:color w:val="auto"/>
              </w:rPr>
              <w:t>303,000</w:t>
            </w:r>
          </w:p>
        </w:tc>
        <w:tc>
          <w:tcPr>
            <w:tcW w:w="800" w:type="dxa"/>
            <w:vAlign w:val="bottom"/>
          </w:tcPr>
          <w:p>
            <w:pPr>
              <w:jc w:val="right"/>
              <w:ind w:right="113"/>
              <w:spacing w:after="0"/>
              <w:rPr>
                <w:sz w:val="20"/>
                <w:szCs w:val="20"/>
                <w:color w:val="auto"/>
              </w:rPr>
            </w:pPr>
            <w:r>
              <w:rPr>
                <w:rFonts w:ascii="Arial" w:cs="Arial" w:eastAsia="Arial" w:hAnsi="Arial"/>
                <w:sz w:val="17"/>
                <w:szCs w:val="17"/>
                <w:color w:val="auto"/>
              </w:rPr>
              <w:t>97%</w:t>
            </w:r>
          </w:p>
        </w:tc>
        <w:tc>
          <w:tcPr>
            <w:tcW w:w="720" w:type="dxa"/>
            <w:vAlign w:val="bottom"/>
          </w:tcPr>
          <w:p>
            <w:pPr>
              <w:jc w:val="right"/>
              <w:spacing w:after="0"/>
              <w:rPr>
                <w:sz w:val="20"/>
                <w:szCs w:val="20"/>
                <w:color w:val="auto"/>
              </w:rPr>
            </w:pPr>
            <w:r>
              <w:rPr>
                <w:rFonts w:ascii="Arial" w:cs="Arial" w:eastAsia="Arial" w:hAnsi="Arial"/>
                <w:sz w:val="17"/>
                <w:szCs w:val="17"/>
                <w:color w:val="auto"/>
              </w:rPr>
              <w:t>11,095</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55,000</w:t>
            </w:r>
          </w:p>
        </w:tc>
        <w:tc>
          <w:tcPr>
            <w:tcW w:w="1080" w:type="dxa"/>
            <w:vAlign w:val="bottom"/>
          </w:tcPr>
          <w:p>
            <w:pPr>
              <w:ind w:left="40"/>
              <w:spacing w:after="0"/>
              <w:rPr>
                <w:sz w:val="20"/>
                <w:szCs w:val="20"/>
                <w:color w:val="auto"/>
              </w:rPr>
            </w:pPr>
            <w:r>
              <w:rPr>
                <w:rFonts w:ascii="Arial" w:cs="Arial" w:eastAsia="Arial" w:hAnsi="Arial"/>
                <w:sz w:val="17"/>
                <w:szCs w:val="17"/>
                <w:color w:val="auto"/>
              </w:rPr>
              <w:t>A&amp;P</w:t>
            </w:r>
          </w:p>
        </w:tc>
        <w:tc>
          <w:tcPr>
            <w:tcW w:w="1520" w:type="dxa"/>
            <w:vAlign w:val="bottom"/>
          </w:tcPr>
          <w:p>
            <w:pPr>
              <w:ind w:left="120"/>
              <w:spacing w:after="0"/>
              <w:rPr>
                <w:sz w:val="20"/>
                <w:szCs w:val="20"/>
                <w:color w:val="auto"/>
              </w:rPr>
            </w:pPr>
            <w:r>
              <w:rPr>
                <w:rFonts w:ascii="Arial" w:cs="Arial" w:eastAsia="Arial" w:hAnsi="Arial"/>
                <w:sz w:val="17"/>
                <w:szCs w:val="17"/>
                <w:color w:val="auto"/>
              </w:rPr>
              <w:t>A.J. Wright /</w:t>
            </w:r>
          </w:p>
        </w:tc>
      </w:tr>
      <w:tr>
        <w:trPr>
          <w:trHeight w:val="214"/>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7"/>
                <w:szCs w:val="17"/>
                <w:color w:val="auto"/>
              </w:rPr>
              <w:t>Somerset-</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L.A. Fitness</w:t>
            </w:r>
          </w:p>
        </w:tc>
      </w:tr>
      <w:tr>
        <w:trPr>
          <w:trHeight w:val="221"/>
        </w:trPr>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7"/>
                <w:szCs w:val="17"/>
                <w:color w:val="auto"/>
              </w:rPr>
              <w:t>Hunterdon, NJ</w:t>
            </w: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7"/>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Rutgers</w:t>
            </w: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SC</w:t>
            </w: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Middlesex-</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1988</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15,944</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217,000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99%</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44,000</w:t>
            </w:r>
          </w:p>
        </w:tc>
        <w:tc>
          <w:tcPr>
            <w:tcW w:w="1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Stop &amp; Shop</w:t>
            </w:r>
          </w:p>
        </w:tc>
        <w:tc>
          <w:tcPr>
            <w:tcW w:w="1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Kmart</w:t>
            </w:r>
          </w:p>
        </w:tc>
      </w:tr>
      <w:tr>
        <w:trPr>
          <w:trHeight w:val="214"/>
        </w:trPr>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Somerset-</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3"/>
        </w:trPr>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Hunterdon, NJ</w:t>
            </w: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06"/>
        </w:trPr>
        <w:tc>
          <w:tcPr>
            <w:tcW w:w="1320" w:type="dxa"/>
            <w:vAlign w:val="bottom"/>
          </w:tcPr>
          <w:p>
            <w:pPr>
              <w:spacing w:after="0"/>
              <w:rPr>
                <w:sz w:val="20"/>
                <w:szCs w:val="20"/>
                <w:color w:val="auto"/>
              </w:rPr>
            </w:pPr>
            <w:r>
              <w:rPr>
                <w:rFonts w:ascii="Arial" w:cs="Arial" w:eastAsia="Arial" w:hAnsi="Arial"/>
                <w:sz w:val="17"/>
                <w:szCs w:val="17"/>
                <w:color w:val="auto"/>
              </w:rPr>
              <w:t>Brick Plaza</w:t>
            </w:r>
          </w:p>
        </w:tc>
        <w:tc>
          <w:tcPr>
            <w:tcW w:w="520" w:type="dxa"/>
            <w:vAlign w:val="bottom"/>
          </w:tcPr>
          <w:p>
            <w:pPr>
              <w:ind w:left="140"/>
              <w:spacing w:after="0"/>
              <w:rPr>
                <w:sz w:val="20"/>
                <w:szCs w:val="20"/>
                <w:color w:val="auto"/>
              </w:rPr>
            </w:pPr>
            <w:r>
              <w:rPr>
                <w:rFonts w:ascii="Arial" w:cs="Arial" w:eastAsia="Arial" w:hAnsi="Arial"/>
                <w:sz w:val="17"/>
                <w:szCs w:val="17"/>
                <w:color w:val="auto"/>
              </w:rPr>
              <w:t>SC</w:t>
            </w:r>
          </w:p>
        </w:tc>
        <w:tc>
          <w:tcPr>
            <w:tcW w:w="1380" w:type="dxa"/>
            <w:vAlign w:val="bottom"/>
          </w:tcPr>
          <w:p>
            <w:pPr>
              <w:ind w:left="160"/>
              <w:spacing w:after="0"/>
              <w:rPr>
                <w:sz w:val="20"/>
                <w:szCs w:val="20"/>
                <w:color w:val="auto"/>
              </w:rPr>
            </w:pPr>
            <w:r>
              <w:rPr>
                <w:rFonts w:ascii="Arial" w:cs="Arial" w:eastAsia="Arial" w:hAnsi="Arial"/>
                <w:sz w:val="17"/>
                <w:szCs w:val="17"/>
                <w:color w:val="auto"/>
              </w:rPr>
              <w:t>Monmouth-</w:t>
            </w: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1989</w:t>
            </w: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55,202</w:t>
            </w:r>
          </w:p>
        </w:tc>
        <w:tc>
          <w:tcPr>
            <w:tcW w:w="960" w:type="dxa"/>
            <w:vAlign w:val="bottom"/>
          </w:tcPr>
          <w:p>
            <w:pPr>
              <w:jc w:val="right"/>
              <w:ind w:right="73"/>
              <w:spacing w:after="0"/>
              <w:rPr>
                <w:sz w:val="20"/>
                <w:szCs w:val="20"/>
                <w:color w:val="auto"/>
              </w:rPr>
            </w:pPr>
            <w:r>
              <w:rPr>
                <w:rFonts w:ascii="Arial" w:cs="Arial" w:eastAsia="Arial" w:hAnsi="Arial"/>
                <w:sz w:val="17"/>
                <w:szCs w:val="17"/>
                <w:color w:val="auto"/>
              </w:rPr>
              <w:t>100.0%</w:t>
            </w:r>
          </w:p>
        </w:tc>
        <w:tc>
          <w:tcPr>
            <w:tcW w:w="860" w:type="dxa"/>
            <w:vAlign w:val="bottom"/>
          </w:tcPr>
          <w:p>
            <w:pPr>
              <w:jc w:val="right"/>
              <w:ind w:right="113"/>
              <w:spacing w:after="0"/>
              <w:rPr>
                <w:sz w:val="20"/>
                <w:szCs w:val="20"/>
                <w:color w:val="auto"/>
              </w:rPr>
            </w:pPr>
            <w:r>
              <w:rPr>
                <w:rFonts w:ascii="Arial" w:cs="Arial" w:eastAsia="Arial" w:hAnsi="Arial"/>
                <w:sz w:val="17"/>
                <w:szCs w:val="17"/>
                <w:color w:val="auto"/>
              </w:rPr>
              <w:t>409,000</w:t>
            </w:r>
          </w:p>
        </w:tc>
        <w:tc>
          <w:tcPr>
            <w:tcW w:w="800" w:type="dxa"/>
            <w:vAlign w:val="bottom"/>
          </w:tcPr>
          <w:p>
            <w:pPr>
              <w:jc w:val="right"/>
              <w:ind w:right="113"/>
              <w:spacing w:after="0"/>
              <w:rPr>
                <w:sz w:val="20"/>
                <w:szCs w:val="20"/>
                <w:color w:val="auto"/>
              </w:rPr>
            </w:pPr>
            <w:r>
              <w:rPr>
                <w:rFonts w:ascii="Arial" w:cs="Arial" w:eastAsia="Arial" w:hAnsi="Arial"/>
                <w:sz w:val="17"/>
                <w:szCs w:val="17"/>
                <w:color w:val="auto"/>
              </w:rPr>
              <w:t>95%</w:t>
            </w:r>
          </w:p>
        </w:tc>
        <w:tc>
          <w:tcPr>
            <w:tcW w:w="720" w:type="dxa"/>
            <w:vAlign w:val="bottom"/>
          </w:tcPr>
          <w:p>
            <w:pPr>
              <w:jc w:val="right"/>
              <w:spacing w:after="0"/>
              <w:rPr>
                <w:sz w:val="20"/>
                <w:szCs w:val="20"/>
                <w:color w:val="auto"/>
              </w:rPr>
            </w:pPr>
            <w:r>
              <w:rPr>
                <w:rFonts w:ascii="Arial" w:cs="Arial" w:eastAsia="Arial" w:hAnsi="Arial"/>
                <w:sz w:val="17"/>
                <w:szCs w:val="17"/>
                <w:color w:val="auto"/>
              </w:rPr>
              <w:t>32,636</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66,000</w:t>
            </w:r>
          </w:p>
        </w:tc>
        <w:tc>
          <w:tcPr>
            <w:tcW w:w="1080" w:type="dxa"/>
            <w:vAlign w:val="bottom"/>
          </w:tcPr>
          <w:p>
            <w:pPr>
              <w:ind w:left="40"/>
              <w:spacing w:after="0"/>
              <w:rPr>
                <w:sz w:val="20"/>
                <w:szCs w:val="20"/>
                <w:color w:val="auto"/>
              </w:rPr>
            </w:pPr>
            <w:r>
              <w:rPr>
                <w:rFonts w:ascii="Arial" w:cs="Arial" w:eastAsia="Arial" w:hAnsi="Arial"/>
                <w:sz w:val="17"/>
                <w:szCs w:val="17"/>
                <w:color w:val="auto"/>
              </w:rPr>
              <w:t>A&amp;P</w:t>
            </w:r>
          </w:p>
        </w:tc>
        <w:tc>
          <w:tcPr>
            <w:tcW w:w="1520" w:type="dxa"/>
            <w:vAlign w:val="bottom"/>
          </w:tcPr>
          <w:p>
            <w:pPr>
              <w:ind w:left="120"/>
              <w:spacing w:after="0"/>
              <w:rPr>
                <w:sz w:val="20"/>
                <w:szCs w:val="20"/>
                <w:color w:val="auto"/>
              </w:rPr>
            </w:pPr>
            <w:r>
              <w:rPr>
                <w:rFonts w:ascii="Arial" w:cs="Arial" w:eastAsia="Arial" w:hAnsi="Arial"/>
                <w:sz w:val="17"/>
                <w:szCs w:val="17"/>
                <w:color w:val="auto"/>
              </w:rPr>
              <w:t>Loews Theatre</w:t>
            </w:r>
          </w:p>
        </w:tc>
      </w:tr>
      <w:tr>
        <w:trPr>
          <w:trHeight w:val="214"/>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7"/>
                <w:szCs w:val="17"/>
                <w:color w:val="auto"/>
              </w:rPr>
              <w:t>Ocean, NJ</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w:t>
            </w:r>
          </w:p>
        </w:tc>
      </w:tr>
      <w:tr>
        <w:trPr>
          <w:trHeight w:val="214"/>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Barnes&amp;Noble</w:t>
            </w:r>
          </w:p>
        </w:tc>
      </w:tr>
      <w:tr>
        <w:trPr>
          <w:trHeight w:val="214"/>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 Sports</w:t>
            </w:r>
          </w:p>
        </w:tc>
      </w:tr>
      <w:tr>
        <w:trPr>
          <w:trHeight w:val="221"/>
        </w:trPr>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Authority</w:t>
            </w:r>
          </w:p>
        </w:tc>
      </w:tr>
      <w:tr>
        <w:trPr>
          <w:trHeight w:val="207"/>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Greenlawn Plaza</w:t>
            </w: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SC</w:t>
            </w: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Nassau-</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2000</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11,979</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100.0%</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102,000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46,000</w:t>
            </w:r>
          </w:p>
        </w:tc>
        <w:tc>
          <w:tcPr>
            <w:tcW w:w="1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Waldbaum’s</w:t>
            </w:r>
          </w:p>
        </w:tc>
        <w:tc>
          <w:tcPr>
            <w:tcW w:w="1520" w:type="dxa"/>
            <w:vAlign w:val="bottom"/>
            <w:shd w:val="clear" w:color="auto" w:fill="CCEEFF"/>
          </w:tcPr>
          <w:p>
            <w:pPr>
              <w:spacing w:after="0"/>
              <w:rPr>
                <w:sz w:val="18"/>
                <w:szCs w:val="18"/>
                <w:color w:val="auto"/>
              </w:rPr>
            </w:pPr>
          </w:p>
        </w:tc>
      </w:tr>
      <w:tr>
        <w:trPr>
          <w:trHeight w:val="223"/>
        </w:trPr>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Suffolk, NY</w:t>
            </w: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06"/>
        </w:trPr>
        <w:tc>
          <w:tcPr>
            <w:tcW w:w="1320" w:type="dxa"/>
            <w:vAlign w:val="bottom"/>
          </w:tcPr>
          <w:p>
            <w:pPr>
              <w:spacing w:after="0"/>
              <w:rPr>
                <w:sz w:val="20"/>
                <w:szCs w:val="20"/>
                <w:color w:val="auto"/>
              </w:rPr>
            </w:pPr>
            <w:r>
              <w:rPr>
                <w:rFonts w:ascii="Arial" w:cs="Arial" w:eastAsia="Arial" w:hAnsi="Arial"/>
                <w:sz w:val="17"/>
                <w:szCs w:val="17"/>
                <w:color w:val="auto"/>
              </w:rPr>
              <w:t>Hauppauge</w:t>
            </w:r>
          </w:p>
        </w:tc>
        <w:tc>
          <w:tcPr>
            <w:tcW w:w="520" w:type="dxa"/>
            <w:vAlign w:val="bottom"/>
          </w:tcPr>
          <w:p>
            <w:pPr>
              <w:ind w:left="140"/>
              <w:spacing w:after="0"/>
              <w:rPr>
                <w:sz w:val="20"/>
                <w:szCs w:val="20"/>
                <w:color w:val="auto"/>
              </w:rPr>
            </w:pPr>
            <w:r>
              <w:rPr>
                <w:rFonts w:ascii="Arial" w:cs="Arial" w:eastAsia="Arial" w:hAnsi="Arial"/>
                <w:sz w:val="17"/>
                <w:szCs w:val="17"/>
                <w:color w:val="auto"/>
              </w:rPr>
              <w:t>SC</w:t>
            </w:r>
          </w:p>
        </w:tc>
        <w:tc>
          <w:tcPr>
            <w:tcW w:w="1380" w:type="dxa"/>
            <w:vAlign w:val="bottom"/>
          </w:tcPr>
          <w:p>
            <w:pPr>
              <w:ind w:left="160"/>
              <w:spacing w:after="0"/>
              <w:rPr>
                <w:sz w:val="20"/>
                <w:szCs w:val="20"/>
                <w:color w:val="auto"/>
              </w:rPr>
            </w:pPr>
            <w:r>
              <w:rPr>
                <w:rFonts w:ascii="Arial" w:cs="Arial" w:eastAsia="Arial" w:hAnsi="Arial"/>
                <w:sz w:val="17"/>
                <w:szCs w:val="17"/>
                <w:color w:val="auto"/>
              </w:rPr>
              <w:t>Nassau-</w:t>
            </w: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1998</w:t>
            </w: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26,380</w:t>
            </w:r>
          </w:p>
        </w:tc>
        <w:tc>
          <w:tcPr>
            <w:tcW w:w="960" w:type="dxa"/>
            <w:vAlign w:val="bottom"/>
          </w:tcPr>
          <w:p>
            <w:pPr>
              <w:jc w:val="right"/>
              <w:ind w:right="73"/>
              <w:spacing w:after="0"/>
              <w:rPr>
                <w:sz w:val="20"/>
                <w:szCs w:val="20"/>
                <w:color w:val="auto"/>
              </w:rPr>
            </w:pPr>
            <w:r>
              <w:rPr>
                <w:rFonts w:ascii="Arial" w:cs="Arial" w:eastAsia="Arial" w:hAnsi="Arial"/>
                <w:sz w:val="17"/>
                <w:szCs w:val="17"/>
                <w:color w:val="auto"/>
              </w:rPr>
              <w:t>100.0%</w:t>
            </w:r>
          </w:p>
        </w:tc>
        <w:tc>
          <w:tcPr>
            <w:tcW w:w="860" w:type="dxa"/>
            <w:vAlign w:val="bottom"/>
          </w:tcPr>
          <w:p>
            <w:pPr>
              <w:jc w:val="right"/>
              <w:ind w:right="113"/>
              <w:spacing w:after="0"/>
              <w:rPr>
                <w:sz w:val="20"/>
                <w:szCs w:val="20"/>
                <w:color w:val="auto"/>
              </w:rPr>
            </w:pPr>
            <w:r>
              <w:rPr>
                <w:rFonts w:ascii="Arial" w:cs="Arial" w:eastAsia="Arial" w:hAnsi="Arial"/>
                <w:sz w:val="17"/>
                <w:szCs w:val="17"/>
                <w:color w:val="auto"/>
              </w:rPr>
              <w:t>131,000</w:t>
            </w:r>
          </w:p>
        </w:tc>
        <w:tc>
          <w:tcPr>
            <w:tcW w:w="800" w:type="dxa"/>
            <w:vAlign w:val="bottom"/>
          </w:tcPr>
          <w:p>
            <w:pPr>
              <w:jc w:val="right"/>
              <w:ind w:right="113"/>
              <w:spacing w:after="0"/>
              <w:rPr>
                <w:sz w:val="20"/>
                <w:szCs w:val="20"/>
                <w:color w:val="auto"/>
              </w:rPr>
            </w:pPr>
            <w:r>
              <w:rPr>
                <w:rFonts w:ascii="Arial" w:cs="Arial" w:eastAsia="Arial" w:hAnsi="Arial"/>
                <w:sz w:val="17"/>
                <w:szCs w:val="17"/>
                <w:color w:val="auto"/>
              </w:rPr>
              <w:t>100%</w:t>
            </w:r>
          </w:p>
        </w:tc>
        <w:tc>
          <w:tcPr>
            <w:tcW w:w="720" w:type="dxa"/>
            <w:vAlign w:val="bottom"/>
          </w:tcPr>
          <w:p>
            <w:pPr>
              <w:jc w:val="right"/>
              <w:spacing w:after="0"/>
              <w:rPr>
                <w:sz w:val="20"/>
                <w:szCs w:val="20"/>
                <w:color w:val="auto"/>
              </w:rPr>
            </w:pPr>
            <w:r>
              <w:rPr>
                <w:rFonts w:ascii="Arial" w:cs="Arial" w:eastAsia="Arial" w:hAnsi="Arial"/>
                <w:sz w:val="17"/>
                <w:szCs w:val="17"/>
                <w:color w:val="auto"/>
              </w:rPr>
              <w:t>16,532</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61,000</w:t>
            </w:r>
          </w:p>
        </w:tc>
        <w:tc>
          <w:tcPr>
            <w:tcW w:w="1080" w:type="dxa"/>
            <w:vAlign w:val="bottom"/>
          </w:tcPr>
          <w:p>
            <w:pPr>
              <w:ind w:left="40"/>
              <w:spacing w:after="0"/>
              <w:rPr>
                <w:sz w:val="20"/>
                <w:szCs w:val="20"/>
                <w:color w:val="auto"/>
              </w:rPr>
            </w:pPr>
            <w:r>
              <w:rPr>
                <w:rFonts w:ascii="Arial" w:cs="Arial" w:eastAsia="Arial" w:hAnsi="Arial"/>
                <w:sz w:val="17"/>
                <w:szCs w:val="17"/>
                <w:color w:val="auto"/>
              </w:rPr>
              <w:t>Shop Rite</w:t>
            </w:r>
          </w:p>
        </w:tc>
        <w:tc>
          <w:tcPr>
            <w:tcW w:w="1520" w:type="dxa"/>
            <w:vAlign w:val="bottom"/>
          </w:tcPr>
          <w:p>
            <w:pPr>
              <w:ind w:left="120"/>
              <w:spacing w:after="0"/>
              <w:rPr>
                <w:sz w:val="20"/>
                <w:szCs w:val="20"/>
                <w:color w:val="auto"/>
              </w:rPr>
            </w:pPr>
            <w:r>
              <w:rPr>
                <w:rFonts w:ascii="Arial" w:cs="Arial" w:eastAsia="Arial" w:hAnsi="Arial"/>
                <w:sz w:val="17"/>
                <w:szCs w:val="17"/>
                <w:color w:val="auto"/>
              </w:rPr>
              <w:t>AC Moore</w:t>
            </w:r>
          </w:p>
        </w:tc>
      </w:tr>
      <w:tr>
        <w:trPr>
          <w:trHeight w:val="221"/>
        </w:trPr>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7"/>
                <w:szCs w:val="17"/>
                <w:color w:val="auto"/>
              </w:rPr>
              <w:t>Suffolk, NY</w:t>
            </w: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ectPr>
          <w:pgSz w:w="11900" w:h="16838" w:orient="portrait"/>
          <w:cols w:equalWidth="0" w:num="1">
            <w:col w:w="11420"/>
          </w:cols>
          <w:pgMar w:left="240" w:top="131" w:right="239" w:bottom="1440" w:gutter="0" w:footer="0" w:header="0"/>
        </w:sectPr>
      </w:pPr>
    </w:p>
    <w:bookmarkStart w:id="25" w:name="page26"/>
    <w:bookmarkEnd w:id="2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Mortgage or</w:t>
            </w:r>
          </w:p>
        </w:tc>
        <w:tc>
          <w:tcPr>
            <w:tcW w:w="1680" w:type="dxa"/>
            <w:vAlign w:val="bottom"/>
            <w:gridSpan w:val="3"/>
          </w:tcPr>
          <w:p>
            <w:pPr>
              <w:spacing w:after="0"/>
              <w:rPr>
                <w:sz w:val="20"/>
                <w:szCs w:val="20"/>
                <w:color w:val="auto"/>
              </w:rPr>
            </w:pPr>
            <w:r>
              <w:rPr>
                <w:rFonts w:ascii="Arial" w:cs="Arial" w:eastAsia="Arial" w:hAnsi="Arial"/>
                <w:sz w:val="13"/>
                <w:szCs w:val="13"/>
                <w:b w:val="1"/>
                <w:bCs w:val="1"/>
                <w:color w:val="auto"/>
              </w:rPr>
              <w:t>Grocery</w:t>
            </w: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Year</w:t>
            </w: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Total</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w w:val="92"/>
              </w:rPr>
              <w:t>Ownership</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3"/>
              </w:rPr>
              <w:t>Capital Lease</w:t>
            </w:r>
          </w:p>
        </w:tc>
        <w:tc>
          <w:tcPr>
            <w:tcW w:w="168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Anchor</w:t>
            </w: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40" w:type="dxa"/>
            <w:vAlign w:val="bottom"/>
            <w:gridSpan w:val="5"/>
          </w:tcPr>
          <w:p>
            <w:pPr>
              <w:spacing w:after="0"/>
              <w:rPr>
                <w:sz w:val="20"/>
                <w:szCs w:val="20"/>
                <w:color w:val="auto"/>
              </w:rPr>
            </w:pPr>
            <w:r>
              <w:rPr>
                <w:rFonts w:ascii="Arial" w:cs="Arial" w:eastAsia="Arial" w:hAnsi="Arial"/>
                <w:sz w:val="13"/>
                <w:szCs w:val="13"/>
                <w:b w:val="1"/>
                <w:bCs w:val="1"/>
                <w:color w:val="auto"/>
              </w:rPr>
              <w:t>Property Name</w:t>
            </w:r>
          </w:p>
        </w:tc>
        <w:tc>
          <w:tcPr>
            <w:tcW w:w="460" w:type="dxa"/>
            <w:vAlign w:val="bottom"/>
          </w:tcPr>
          <w:p>
            <w:pPr>
              <w:spacing w:after="0"/>
              <w:rPr>
                <w:sz w:val="20"/>
                <w:szCs w:val="20"/>
                <w:color w:val="auto"/>
              </w:rPr>
            </w:pPr>
            <w:r>
              <w:rPr>
                <w:rFonts w:ascii="Arial" w:cs="Arial" w:eastAsia="Arial" w:hAnsi="Arial"/>
                <w:sz w:val="13"/>
                <w:szCs w:val="13"/>
                <w:b w:val="1"/>
                <w:bCs w:val="1"/>
                <w:color w:val="auto"/>
                <w:w w:val="95"/>
              </w:rPr>
              <w:t>Type(1)</w:t>
            </w:r>
          </w:p>
        </w:tc>
        <w:tc>
          <w:tcPr>
            <w:tcW w:w="8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b w:val="1"/>
                <w:bCs w:val="1"/>
                <w:color w:val="auto"/>
                <w:w w:val="94"/>
              </w:rPr>
              <w:t>MSA Description</w:t>
            </w:r>
          </w:p>
        </w:tc>
        <w:tc>
          <w:tcPr>
            <w:tcW w:w="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8"/>
              </w:rPr>
              <w:t>Acquired</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Investment</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Percentage</w:t>
            </w: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GLA (2)</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9"/>
              </w:rPr>
              <w:t>% Leased</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Obligation</w:t>
            </w:r>
          </w:p>
        </w:tc>
        <w:tc>
          <w:tcPr>
            <w:tcW w:w="1680" w:type="dxa"/>
            <w:vAlign w:val="bottom"/>
            <w:gridSpan w:val="3"/>
          </w:tcPr>
          <w:p>
            <w:pPr>
              <w:spacing w:after="0"/>
              <w:rPr>
                <w:sz w:val="20"/>
                <w:szCs w:val="20"/>
                <w:color w:val="auto"/>
              </w:rPr>
            </w:pPr>
            <w:r>
              <w:rPr>
                <w:rFonts w:ascii="Arial" w:cs="Arial" w:eastAsia="Arial" w:hAnsi="Arial"/>
                <w:sz w:val="13"/>
                <w:szCs w:val="13"/>
                <w:b w:val="1"/>
                <w:bCs w:val="1"/>
                <w:color w:val="auto"/>
                <w:w w:val="98"/>
              </w:rPr>
              <w:t>GLA (3) Grocery Anchor (3)</w:t>
            </w:r>
          </w:p>
        </w:tc>
        <w:tc>
          <w:tcPr>
            <w:tcW w:w="6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3"/>
                <w:szCs w:val="13"/>
                <w:b w:val="1"/>
                <w:bCs w:val="1"/>
                <w:color w:val="auto"/>
                <w:w w:val="94"/>
              </w:rPr>
              <w:t>Other Principal Tenants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1"/>
              </w:rPr>
              <w:t>(in thousands)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(in thousands)</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Huntington</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Nassau-</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279,000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14,258</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Buy Buy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Suffolk,</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Baby / Toys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NY</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R Us / Bed,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Barnes &amp;</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Noble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Forest Hills</w:t>
            </w:r>
          </w:p>
        </w:tc>
        <w:tc>
          <w:tcPr>
            <w:tcW w:w="460" w:type="dxa"/>
            <w:vAlign w:val="bottom"/>
          </w:tcPr>
          <w:p>
            <w:pPr>
              <w:spacing w:after="0"/>
              <w:rPr>
                <w:sz w:val="20"/>
                <w:szCs w:val="20"/>
                <w:color w:val="auto"/>
              </w:rPr>
            </w:pPr>
            <w:r>
              <w:rPr>
                <w:rFonts w:ascii="Arial" w:cs="Arial" w:eastAsia="Arial" w:hAnsi="Arial"/>
                <w:sz w:val="17"/>
                <w:szCs w:val="17"/>
                <w:color w:val="auto"/>
              </w:rPr>
              <w:t>SR</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New York,</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1997</w:t>
            </w:r>
          </w:p>
        </w:tc>
        <w:tc>
          <w:tcPr>
            <w:tcW w:w="820" w:type="dxa"/>
            <w:vAlign w:val="bottom"/>
          </w:tcPr>
          <w:p>
            <w:pPr>
              <w:jc w:val="right"/>
              <w:spacing w:after="0"/>
              <w:rPr>
                <w:sz w:val="20"/>
                <w:szCs w:val="20"/>
                <w:color w:val="auto"/>
              </w:rPr>
            </w:pPr>
            <w:r>
              <w:rPr>
                <w:rFonts w:ascii="Arial" w:cs="Arial" w:eastAsia="Arial" w:hAnsi="Arial"/>
                <w:sz w:val="17"/>
                <w:szCs w:val="17"/>
                <w:color w:val="auto"/>
              </w:rPr>
              <w:t>23,969</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86,000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98%</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Midway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NY</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Theatre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Duane Reade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 Gap</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Fresh Meadows</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New York,</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64,920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403,000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Pathmark</w:t>
            </w: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Value City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NY</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(signed)</w:t>
            </w: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Kohl’s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Cineplex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Odeon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Troy</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Newark,</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1980</w:t>
            </w:r>
          </w:p>
        </w:tc>
        <w:tc>
          <w:tcPr>
            <w:tcW w:w="820" w:type="dxa"/>
            <w:vAlign w:val="bottom"/>
          </w:tcPr>
          <w:p>
            <w:pPr>
              <w:jc w:val="right"/>
              <w:spacing w:after="0"/>
              <w:rPr>
                <w:sz w:val="20"/>
                <w:szCs w:val="20"/>
                <w:color w:val="auto"/>
              </w:rPr>
            </w:pPr>
            <w:r>
              <w:rPr>
                <w:rFonts w:ascii="Arial" w:cs="Arial" w:eastAsia="Arial" w:hAnsi="Arial"/>
                <w:sz w:val="17"/>
                <w:szCs w:val="17"/>
                <w:color w:val="auto"/>
              </w:rPr>
              <w:t>20,606</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202,000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99%</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3"/>
          </w:tcPr>
          <w:p>
            <w:pPr>
              <w:spacing w:after="0"/>
              <w:rPr>
                <w:sz w:val="20"/>
                <w:szCs w:val="20"/>
                <w:color w:val="auto"/>
              </w:rPr>
            </w:pPr>
            <w:r>
              <w:rPr>
                <w:rFonts w:ascii="Arial" w:cs="Arial" w:eastAsia="Arial" w:hAnsi="Arial"/>
                <w:sz w:val="17"/>
                <w:szCs w:val="17"/>
                <w:color w:val="auto"/>
              </w:rPr>
              <w:t>64,000 Pathmark</w:t>
            </w: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AC Moore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NJ</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Comp USA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Toys R Us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Hamilton</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Trenton,</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8,123</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258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4,814 53,000 Shop Rite</w:t>
            </w: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AC Moore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NJ</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Stevens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Furniture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Mercer Mall</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Trenton,</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2003</w:t>
            </w:r>
          </w:p>
        </w:tc>
        <w:tc>
          <w:tcPr>
            <w:tcW w:w="820" w:type="dxa"/>
            <w:vAlign w:val="bottom"/>
          </w:tcPr>
          <w:p>
            <w:pPr>
              <w:jc w:val="right"/>
              <w:spacing w:after="0"/>
              <w:rPr>
                <w:sz w:val="20"/>
                <w:szCs w:val="20"/>
                <w:color w:val="auto"/>
              </w:rPr>
            </w:pPr>
            <w:r>
              <w:rPr>
                <w:rFonts w:ascii="Arial" w:cs="Arial" w:eastAsia="Arial" w:hAnsi="Arial"/>
                <w:sz w:val="17"/>
                <w:szCs w:val="17"/>
                <w:color w:val="auto"/>
              </w:rPr>
              <w:t>86,169</w:t>
            </w: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435,000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93%</w:t>
            </w:r>
          </w:p>
        </w:tc>
        <w:tc>
          <w:tcPr>
            <w:tcW w:w="2580" w:type="dxa"/>
            <w:vAlign w:val="bottom"/>
            <w:gridSpan w:val="5"/>
          </w:tcPr>
          <w:p>
            <w:pPr>
              <w:ind w:left="340"/>
              <w:spacing w:after="0"/>
              <w:rPr>
                <w:sz w:val="20"/>
                <w:szCs w:val="20"/>
                <w:color w:val="auto"/>
              </w:rPr>
            </w:pPr>
            <w:r>
              <w:rPr>
                <w:rFonts w:ascii="Arial" w:cs="Arial" w:eastAsia="Arial" w:hAnsi="Arial"/>
                <w:sz w:val="17"/>
                <w:szCs w:val="17"/>
                <w:color w:val="auto"/>
              </w:rPr>
              <w:t>59,902 74,900 Shop Rite</w:t>
            </w: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NJ</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DSW / TJ</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Maxx</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408,648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3,296,000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gridSpan w:val="4"/>
          </w:tcPr>
          <w:p>
            <w:pPr>
              <w:spacing w:after="0" w:line="174" w:lineRule="exact"/>
              <w:rPr>
                <w:sz w:val="20"/>
                <w:szCs w:val="20"/>
                <w:color w:val="auto"/>
              </w:rPr>
            </w:pPr>
            <w:r>
              <w:rPr>
                <w:rFonts w:ascii="Arial" w:cs="Arial" w:eastAsia="Arial" w:hAnsi="Arial"/>
                <w:sz w:val="17"/>
                <w:szCs w:val="17"/>
                <w:color w:val="auto"/>
              </w:rPr>
              <w:t>New England</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Dedham Plaza</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Boston-</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1993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29,961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243,000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80,000 Star Market</w:t>
            </w: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Pier One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Worcester-</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Lawrence-</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Lowell-</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Brockton,</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MA</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Queen Anne Plaza</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Boston-</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1994</w:t>
            </w:r>
          </w:p>
        </w:tc>
        <w:tc>
          <w:tcPr>
            <w:tcW w:w="820" w:type="dxa"/>
            <w:vAlign w:val="bottom"/>
          </w:tcPr>
          <w:p>
            <w:pPr>
              <w:jc w:val="right"/>
              <w:spacing w:after="0"/>
              <w:rPr>
                <w:sz w:val="20"/>
                <w:szCs w:val="20"/>
                <w:color w:val="auto"/>
              </w:rPr>
            </w:pPr>
            <w:r>
              <w:rPr>
                <w:rFonts w:ascii="Arial" w:cs="Arial" w:eastAsia="Arial" w:hAnsi="Arial"/>
                <w:sz w:val="17"/>
                <w:szCs w:val="17"/>
                <w:color w:val="auto"/>
              </w:rPr>
              <w:t>14,803</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149,000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3"/>
          </w:tcPr>
          <w:p>
            <w:pPr>
              <w:spacing w:after="0"/>
              <w:rPr>
                <w:sz w:val="20"/>
                <w:szCs w:val="20"/>
                <w:color w:val="auto"/>
              </w:rPr>
            </w:pPr>
            <w:r>
              <w:rPr>
                <w:rFonts w:ascii="Arial" w:cs="Arial" w:eastAsia="Arial" w:hAnsi="Arial"/>
                <w:sz w:val="17"/>
                <w:szCs w:val="17"/>
                <w:color w:val="auto"/>
              </w:rPr>
              <w:t>50,000 Victory</w:t>
            </w: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TJ Maxx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Worcester-</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auto"/>
              </w:rPr>
              <w:t>Supermarket</w:t>
            </w: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Lawrence-</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Lowell-</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Brockton,</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MA</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Saugus Plaza</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Boston-</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1996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171,000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55,000 Super Stop</w:t>
            </w: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Kmart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Worcester-</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&amp; Shop</w:t>
            </w: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Lawrence-</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Lowell-</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Brockton,</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MA</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Bristol Plaza</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Hartford,</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1995</w:t>
            </w:r>
          </w:p>
        </w:tc>
        <w:tc>
          <w:tcPr>
            <w:tcW w:w="820" w:type="dxa"/>
            <w:vAlign w:val="bottom"/>
          </w:tcPr>
          <w:p>
            <w:pPr>
              <w:jc w:val="right"/>
              <w:spacing w:after="0"/>
              <w:rPr>
                <w:sz w:val="20"/>
                <w:szCs w:val="20"/>
                <w:color w:val="auto"/>
              </w:rPr>
            </w:pPr>
            <w:r>
              <w:rPr>
                <w:rFonts w:ascii="Arial" w:cs="Arial" w:eastAsia="Arial" w:hAnsi="Arial"/>
                <w:sz w:val="17"/>
                <w:szCs w:val="17"/>
                <w:color w:val="auto"/>
              </w:rPr>
              <w:t>22,127</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277,000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96%</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3"/>
          </w:tcPr>
          <w:p>
            <w:pPr>
              <w:spacing w:after="0"/>
              <w:rPr>
                <w:sz w:val="20"/>
                <w:szCs w:val="20"/>
                <w:color w:val="auto"/>
              </w:rPr>
            </w:pPr>
            <w:r>
              <w:rPr>
                <w:rFonts w:ascii="Arial" w:cs="Arial" w:eastAsia="Arial" w:hAnsi="Arial"/>
                <w:sz w:val="17"/>
                <w:szCs w:val="17"/>
                <w:color w:val="auto"/>
              </w:rPr>
              <w:t>57,000 Stop &amp;</w:t>
            </w: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TJ Maxx</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CT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auto"/>
              </w:rPr>
              <w:t>Shop</w:t>
            </w: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West Hartford</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Hartford,</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1994-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89%</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CT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1996</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Greenwich Avenue</w:t>
            </w:r>
          </w:p>
        </w:tc>
        <w:tc>
          <w:tcPr>
            <w:tcW w:w="460" w:type="dxa"/>
            <w:vAlign w:val="bottom"/>
          </w:tcPr>
          <w:p>
            <w:pPr>
              <w:spacing w:after="0"/>
              <w:rPr>
                <w:sz w:val="20"/>
                <w:szCs w:val="20"/>
                <w:color w:val="auto"/>
              </w:rPr>
            </w:pPr>
            <w:r>
              <w:rPr>
                <w:rFonts w:ascii="Arial" w:cs="Arial" w:eastAsia="Arial" w:hAnsi="Arial"/>
                <w:sz w:val="17"/>
                <w:szCs w:val="17"/>
                <w:color w:val="auto"/>
              </w:rPr>
              <w:t>SR</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New</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1994-</w:t>
            </w:r>
          </w:p>
        </w:tc>
        <w:tc>
          <w:tcPr>
            <w:tcW w:w="820" w:type="dxa"/>
            <w:vAlign w:val="bottom"/>
          </w:tcPr>
          <w:p>
            <w:pPr>
              <w:jc w:val="right"/>
              <w:spacing w:after="0"/>
              <w:rPr>
                <w:sz w:val="20"/>
                <w:szCs w:val="20"/>
                <w:color w:val="auto"/>
              </w:rPr>
            </w:pPr>
            <w:r>
              <w:rPr>
                <w:rFonts w:ascii="Arial" w:cs="Arial" w:eastAsia="Arial" w:hAnsi="Arial"/>
                <w:sz w:val="17"/>
                <w:szCs w:val="17"/>
                <w:color w:val="auto"/>
              </w:rPr>
              <w:t>15,993</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42,000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Saks Fifth</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Haven-</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1996</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Avenue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Bridgeport-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Stamford-</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Waterbury</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104,242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944,000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gridSpan w:val="4"/>
          </w:tcPr>
          <w:p>
            <w:pPr>
              <w:spacing w:after="0" w:line="174" w:lineRule="exact"/>
              <w:rPr>
                <w:sz w:val="20"/>
                <w:szCs w:val="20"/>
                <w:color w:val="auto"/>
              </w:rPr>
            </w:pPr>
            <w:r>
              <w:rPr>
                <w:rFonts w:ascii="Arial" w:cs="Arial" w:eastAsia="Arial" w:hAnsi="Arial"/>
                <w:sz w:val="17"/>
                <w:szCs w:val="17"/>
                <w:color w:val="auto"/>
              </w:rPr>
              <w:t>Chicago</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Crossroads</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Chicago,</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1993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173,000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Comp USA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IL</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Golfsmith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Guitar Center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Finley Square</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Chicago,</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1995</w:t>
            </w:r>
          </w:p>
        </w:tc>
        <w:tc>
          <w:tcPr>
            <w:tcW w:w="820" w:type="dxa"/>
            <w:vAlign w:val="bottom"/>
          </w:tcPr>
          <w:p>
            <w:pPr>
              <w:jc w:val="right"/>
              <w:spacing w:after="0"/>
              <w:rPr>
                <w:sz w:val="20"/>
                <w:szCs w:val="20"/>
                <w:color w:val="auto"/>
              </w:rPr>
            </w:pPr>
            <w:r>
              <w:rPr>
                <w:rFonts w:ascii="Arial" w:cs="Arial" w:eastAsia="Arial" w:hAnsi="Arial"/>
                <w:sz w:val="17"/>
                <w:szCs w:val="17"/>
                <w:color w:val="auto"/>
              </w:rPr>
              <w:t>28,684</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313,000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IL</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Sports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Authority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6" w:right="239" w:bottom="0" w:gutter="0" w:footer="0" w:header="0"/>
        </w:sectPr>
      </w:pPr>
    </w:p>
    <w:bookmarkStart w:id="26" w:name="page27"/>
    <w:bookmarkEnd w:id="26"/>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Garden Market</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SC</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Chicago,</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140,000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22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63,000 Dominick’s</w:t>
            </w: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Walgreens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IL</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w w:val="97"/>
              </w:rPr>
              <w:t>North Lake Commons</w:t>
            </w:r>
          </w:p>
        </w:tc>
        <w:tc>
          <w:tcPr>
            <w:tcW w:w="460" w:type="dxa"/>
            <w:vAlign w:val="bottom"/>
          </w:tcPr>
          <w:p>
            <w:pPr>
              <w:ind w:left="80"/>
              <w:spacing w:after="0"/>
              <w:rPr>
                <w:sz w:val="20"/>
                <w:szCs w:val="20"/>
                <w:color w:val="auto"/>
              </w:rPr>
            </w:pPr>
            <w:r>
              <w:rPr>
                <w:rFonts w:ascii="Arial" w:cs="Arial" w:eastAsia="Arial" w:hAnsi="Arial"/>
                <w:sz w:val="17"/>
                <w:szCs w:val="17"/>
                <w:color w:val="auto"/>
              </w:rPr>
              <w:t>SC</w:t>
            </w:r>
          </w:p>
        </w:tc>
        <w:tc>
          <w:tcPr>
            <w:tcW w:w="1160" w:type="dxa"/>
            <w:vAlign w:val="bottom"/>
          </w:tcPr>
          <w:p>
            <w:pPr>
              <w:ind w:left="160"/>
              <w:spacing w:after="0"/>
              <w:rPr>
                <w:sz w:val="20"/>
                <w:szCs w:val="20"/>
                <w:color w:val="auto"/>
              </w:rPr>
            </w:pPr>
            <w:r>
              <w:rPr>
                <w:rFonts w:ascii="Arial" w:cs="Arial" w:eastAsia="Arial" w:hAnsi="Arial"/>
                <w:sz w:val="17"/>
                <w:szCs w:val="17"/>
                <w:color w:val="auto"/>
              </w:rPr>
              <w:t>Chicago,</w:t>
            </w:r>
          </w:p>
        </w:tc>
        <w:tc>
          <w:tcPr>
            <w:tcW w:w="680" w:type="dxa"/>
            <w:vAlign w:val="bottom"/>
          </w:tcPr>
          <w:p>
            <w:pPr>
              <w:jc w:val="right"/>
              <w:spacing w:after="0"/>
              <w:rPr>
                <w:sz w:val="20"/>
                <w:szCs w:val="20"/>
                <w:color w:val="auto"/>
              </w:rPr>
            </w:pPr>
            <w:r>
              <w:rPr>
                <w:rFonts w:ascii="Arial" w:cs="Arial" w:eastAsia="Arial" w:hAnsi="Arial"/>
                <w:sz w:val="17"/>
                <w:szCs w:val="17"/>
                <w:color w:val="auto"/>
              </w:rPr>
              <w:t>1994</w:t>
            </w:r>
          </w:p>
        </w:tc>
        <w:tc>
          <w:tcPr>
            <w:tcW w:w="820" w:type="dxa"/>
            <w:vAlign w:val="bottom"/>
          </w:tcPr>
          <w:p>
            <w:pPr>
              <w:jc w:val="right"/>
              <w:spacing w:after="0"/>
              <w:rPr>
                <w:sz w:val="20"/>
                <w:szCs w:val="20"/>
                <w:color w:val="auto"/>
              </w:rPr>
            </w:pPr>
            <w:r>
              <w:rPr>
                <w:rFonts w:ascii="Arial" w:cs="Arial" w:eastAsia="Arial" w:hAnsi="Arial"/>
                <w:sz w:val="17"/>
                <w:szCs w:val="17"/>
                <w:color w:val="auto"/>
              </w:rPr>
              <w:t>13,032</w:t>
            </w:r>
          </w:p>
        </w:tc>
        <w:tc>
          <w:tcPr>
            <w:tcW w:w="940" w:type="dxa"/>
            <w:vAlign w:val="bottom"/>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129,000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93%</w:t>
            </w:r>
          </w:p>
        </w:tc>
        <w:tc>
          <w:tcPr>
            <w:tcW w:w="2280" w:type="dxa"/>
            <w:vAlign w:val="bottom"/>
          </w:tcPr>
          <w:p>
            <w:pPr>
              <w:ind w:left="720"/>
              <w:spacing w:after="0"/>
              <w:rPr>
                <w:sz w:val="20"/>
                <w:szCs w:val="20"/>
                <w:color w:val="auto"/>
              </w:rPr>
            </w:pPr>
            <w:r>
              <w:rPr>
                <w:rFonts w:ascii="Arial" w:cs="Arial" w:eastAsia="Arial" w:hAnsi="Arial"/>
                <w:sz w:val="17"/>
                <w:szCs w:val="17"/>
                <w:color w:val="auto"/>
              </w:rPr>
              <w:t>77,000 Dominick’s</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IL</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Evanston</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Chicago,</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3,220</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Gap</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IL</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78,297</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767,000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98%</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Borders>
              <w:bottom w:val="single" w:sz="8" w:color="auto"/>
            </w:tcBorders>
            <w:gridSpan w:val="5"/>
          </w:tcPr>
          <w:p>
            <w:pPr>
              <w:spacing w:after="0" w:line="174" w:lineRule="exact"/>
              <w:rPr>
                <w:sz w:val="20"/>
                <w:szCs w:val="20"/>
                <w:color w:val="auto"/>
              </w:rPr>
            </w:pPr>
            <w:r>
              <w:rPr>
                <w:rFonts w:ascii="Arial" w:cs="Arial" w:eastAsia="Arial" w:hAnsi="Arial"/>
                <w:sz w:val="17"/>
                <w:szCs w:val="17"/>
                <w:color w:val="auto"/>
                <w:w w:val="91"/>
              </w:rPr>
              <w:t>Northeast Region -</w:t>
            </w:r>
          </w:p>
        </w:tc>
        <w:tc>
          <w:tcPr>
            <w:tcW w:w="32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6"/>
          </w:tcPr>
          <w:p>
            <w:pPr>
              <w:spacing w:after="0" w:line="194" w:lineRule="exact"/>
              <w:rPr>
                <w:sz w:val="20"/>
                <w:szCs w:val="20"/>
                <w:color w:val="auto"/>
              </w:rPr>
            </w:pPr>
            <w:r>
              <w:rPr>
                <w:rFonts w:ascii="Arial" w:cs="Arial" w:eastAsia="Arial" w:hAnsi="Arial"/>
                <w:sz w:val="17"/>
                <w:szCs w:val="17"/>
                <w:color w:val="auto"/>
              </w:rPr>
              <w:t>Other</w:t>
            </w: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Gratiot Plaza</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SC</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Detroit, MI</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17,461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218,000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22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69,000 Farmer</w:t>
            </w: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Jack’s</w:t>
            </w: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Beyond / Best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Buy / DSW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Lancaster</w:t>
            </w:r>
          </w:p>
        </w:tc>
        <w:tc>
          <w:tcPr>
            <w:tcW w:w="460" w:type="dxa"/>
            <w:vAlign w:val="bottom"/>
          </w:tcPr>
          <w:p>
            <w:pPr>
              <w:ind w:left="80"/>
              <w:spacing w:after="0"/>
              <w:rPr>
                <w:sz w:val="20"/>
                <w:szCs w:val="20"/>
                <w:color w:val="auto"/>
              </w:rPr>
            </w:pPr>
            <w:r>
              <w:rPr>
                <w:rFonts w:ascii="Arial" w:cs="Arial" w:eastAsia="Arial" w:hAnsi="Arial"/>
                <w:sz w:val="17"/>
                <w:szCs w:val="17"/>
                <w:color w:val="auto"/>
              </w:rPr>
              <w:t>SC</w:t>
            </w:r>
          </w:p>
        </w:tc>
        <w:tc>
          <w:tcPr>
            <w:tcW w:w="1160" w:type="dxa"/>
            <w:vAlign w:val="bottom"/>
          </w:tcPr>
          <w:p>
            <w:pPr>
              <w:ind w:left="160"/>
              <w:spacing w:after="0"/>
              <w:rPr>
                <w:sz w:val="20"/>
                <w:szCs w:val="20"/>
                <w:color w:val="auto"/>
              </w:rPr>
            </w:pPr>
            <w:r>
              <w:rPr>
                <w:rFonts w:ascii="Arial" w:cs="Arial" w:eastAsia="Arial" w:hAnsi="Arial"/>
                <w:sz w:val="17"/>
                <w:szCs w:val="17"/>
                <w:color w:val="auto"/>
              </w:rPr>
              <w:t>Lancaster,</w:t>
            </w:r>
          </w:p>
        </w:tc>
        <w:tc>
          <w:tcPr>
            <w:tcW w:w="680" w:type="dxa"/>
            <w:vAlign w:val="bottom"/>
          </w:tcPr>
          <w:p>
            <w:pPr>
              <w:jc w:val="right"/>
              <w:spacing w:after="0"/>
              <w:rPr>
                <w:sz w:val="20"/>
                <w:szCs w:val="20"/>
                <w:color w:val="auto"/>
              </w:rPr>
            </w:pPr>
            <w:r>
              <w:rPr>
                <w:rFonts w:ascii="Arial" w:cs="Arial" w:eastAsia="Arial" w:hAnsi="Arial"/>
                <w:sz w:val="17"/>
                <w:szCs w:val="17"/>
                <w:color w:val="auto"/>
              </w:rPr>
              <w:t>1980</w:t>
            </w:r>
          </w:p>
        </w:tc>
        <w:tc>
          <w:tcPr>
            <w:tcW w:w="820" w:type="dxa"/>
            <w:vAlign w:val="bottom"/>
          </w:tcPr>
          <w:p>
            <w:pPr>
              <w:jc w:val="right"/>
              <w:spacing w:after="0"/>
              <w:rPr>
                <w:sz w:val="20"/>
                <w:szCs w:val="20"/>
                <w:color w:val="auto"/>
              </w:rPr>
            </w:pPr>
            <w:r>
              <w:rPr>
                <w:rFonts w:ascii="Arial" w:cs="Arial" w:eastAsia="Arial" w:hAnsi="Arial"/>
                <w:sz w:val="17"/>
                <w:szCs w:val="17"/>
                <w:color w:val="auto"/>
              </w:rPr>
              <w:t>10,137</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107,000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97%</w:t>
            </w:r>
          </w:p>
        </w:tc>
        <w:tc>
          <w:tcPr>
            <w:tcW w:w="2280" w:type="dxa"/>
            <w:vAlign w:val="bottom"/>
          </w:tcPr>
          <w:p>
            <w:pPr>
              <w:ind w:left="240"/>
              <w:spacing w:after="0"/>
              <w:rPr>
                <w:sz w:val="20"/>
                <w:szCs w:val="20"/>
                <w:color w:val="auto"/>
              </w:rPr>
            </w:pPr>
            <w:r>
              <w:rPr>
                <w:rFonts w:ascii="Arial" w:cs="Arial" w:eastAsia="Arial" w:hAnsi="Arial"/>
                <w:sz w:val="17"/>
                <w:szCs w:val="17"/>
                <w:color w:val="auto"/>
              </w:rPr>
              <w:t>4,907 39,000 Giant Food</w:t>
            </w:r>
          </w:p>
        </w:tc>
        <w:tc>
          <w:tcPr>
            <w:tcW w:w="1580" w:type="dxa"/>
            <w:vAlign w:val="bottom"/>
          </w:tcPr>
          <w:p>
            <w:pPr>
              <w:ind w:left="180"/>
              <w:spacing w:after="0"/>
              <w:rPr>
                <w:sz w:val="20"/>
                <w:szCs w:val="20"/>
                <w:color w:val="auto"/>
              </w:rPr>
            </w:pPr>
            <w:r>
              <w:rPr>
                <w:rFonts w:ascii="Arial" w:cs="Arial" w:eastAsia="Arial" w:hAnsi="Arial"/>
                <w:sz w:val="17"/>
                <w:szCs w:val="17"/>
                <w:color w:val="auto"/>
              </w:rPr>
              <w:t>Michaels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PA</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27,598</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325,000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99%</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Total</w:t>
            </w:r>
          </w:p>
        </w:tc>
        <w:tc>
          <w:tcPr>
            <w:tcW w:w="6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842,369</w:t>
            </w:r>
          </w:p>
        </w:tc>
        <w:tc>
          <w:tcPr>
            <w:tcW w:w="9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7,764,000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96%</w:t>
            </w:r>
          </w:p>
        </w:tc>
        <w:tc>
          <w:tcPr>
            <w:tcW w:w="2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Northeast</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Region</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7"/>
                <w:szCs w:val="17"/>
                <w:color w:val="auto"/>
                <w:w w:val="88"/>
              </w:rPr>
              <w:t>West Region</w:t>
            </w:r>
          </w:p>
        </w:tc>
        <w:tc>
          <w:tcPr>
            <w:tcW w:w="760" w:type="dxa"/>
            <w:vAlign w:val="bottom"/>
            <w:tcBorders>
              <w:bottom w:val="single" w:sz="8" w:color="CCEEFF"/>
            </w:tcBorders>
            <w:gridSpan w:val="3"/>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gridSpan w:val="7"/>
          </w:tcPr>
          <w:p>
            <w:pPr>
              <w:spacing w:after="0" w:line="174" w:lineRule="exact"/>
              <w:rPr>
                <w:sz w:val="20"/>
                <w:szCs w:val="20"/>
                <w:color w:val="auto"/>
              </w:rPr>
            </w:pPr>
            <w:r>
              <w:rPr>
                <w:rFonts w:ascii="Arial" w:cs="Arial" w:eastAsia="Arial" w:hAnsi="Arial"/>
                <w:sz w:val="17"/>
                <w:szCs w:val="17"/>
                <w:color w:val="auto"/>
              </w:rPr>
              <w:t>California</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Colorado Blvd</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16,580</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98%</w:t>
            </w:r>
          </w:p>
        </w:tc>
        <w:tc>
          <w:tcPr>
            <w:tcW w:w="2280" w:type="dxa"/>
            <w:vAlign w:val="bottom"/>
            <w:shd w:val="clear" w:color="auto" w:fill="CCEEFF"/>
          </w:tcPr>
          <w:p>
            <w:pPr>
              <w:spacing w:after="0"/>
              <w:rPr>
                <w:sz w:val="17"/>
                <w:szCs w:val="17"/>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Pottery Barn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Angeles-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Banana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Long</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Republic</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Beach, CA</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Hermosa Ave</w:t>
            </w:r>
          </w:p>
        </w:tc>
        <w:tc>
          <w:tcPr>
            <w:tcW w:w="460" w:type="dxa"/>
            <w:vAlign w:val="bottom"/>
          </w:tcPr>
          <w:p>
            <w:pPr>
              <w:ind w:left="80"/>
              <w:spacing w:after="0"/>
              <w:rPr>
                <w:sz w:val="20"/>
                <w:szCs w:val="20"/>
                <w:color w:val="auto"/>
              </w:rPr>
            </w:pPr>
            <w:r>
              <w:rPr>
                <w:rFonts w:ascii="Arial" w:cs="Arial" w:eastAsia="Arial" w:hAnsi="Arial"/>
                <w:sz w:val="17"/>
                <w:szCs w:val="17"/>
                <w:color w:val="auto"/>
              </w:rPr>
              <w:t>SR</w:t>
            </w:r>
          </w:p>
        </w:tc>
        <w:tc>
          <w:tcPr>
            <w:tcW w:w="1160" w:type="dxa"/>
            <w:vAlign w:val="bottom"/>
          </w:tcPr>
          <w:p>
            <w:pPr>
              <w:ind w:left="160"/>
              <w:spacing w:after="0"/>
              <w:rPr>
                <w:sz w:val="20"/>
                <w:szCs w:val="20"/>
                <w:color w:val="auto"/>
              </w:rPr>
            </w:pPr>
            <w:r>
              <w:rPr>
                <w:rFonts w:ascii="Arial" w:cs="Arial" w:eastAsia="Arial" w:hAnsi="Arial"/>
                <w:sz w:val="17"/>
                <w:szCs w:val="17"/>
                <w:color w:val="auto"/>
              </w:rPr>
              <w:t>Los</w:t>
            </w:r>
          </w:p>
        </w:tc>
        <w:tc>
          <w:tcPr>
            <w:tcW w:w="680" w:type="dxa"/>
            <w:vAlign w:val="bottom"/>
          </w:tcPr>
          <w:p>
            <w:pPr>
              <w:jc w:val="right"/>
              <w:spacing w:after="0"/>
              <w:rPr>
                <w:sz w:val="20"/>
                <w:szCs w:val="20"/>
                <w:color w:val="auto"/>
              </w:rPr>
            </w:pPr>
            <w:r>
              <w:rPr>
                <w:rFonts w:ascii="Arial" w:cs="Arial" w:eastAsia="Arial" w:hAnsi="Arial"/>
                <w:sz w:val="17"/>
                <w:szCs w:val="17"/>
                <w:color w:val="auto"/>
              </w:rPr>
              <w:t>1997</w:t>
            </w:r>
          </w:p>
        </w:tc>
        <w:tc>
          <w:tcPr>
            <w:tcW w:w="820" w:type="dxa"/>
            <w:vAlign w:val="bottom"/>
          </w:tcPr>
          <w:p>
            <w:pPr>
              <w:jc w:val="right"/>
              <w:spacing w:after="0"/>
              <w:rPr>
                <w:sz w:val="20"/>
                <w:szCs w:val="20"/>
                <w:color w:val="auto"/>
              </w:rPr>
            </w:pPr>
            <w:r>
              <w:rPr>
                <w:rFonts w:ascii="Arial" w:cs="Arial" w:eastAsia="Arial" w:hAnsi="Arial"/>
                <w:sz w:val="17"/>
                <w:szCs w:val="17"/>
                <w:color w:val="auto"/>
              </w:rPr>
              <w:t>4,722</w:t>
            </w:r>
          </w:p>
        </w:tc>
        <w:tc>
          <w:tcPr>
            <w:tcW w:w="940" w:type="dxa"/>
            <w:vAlign w:val="bottom"/>
          </w:tcPr>
          <w:p>
            <w:pPr>
              <w:jc w:val="right"/>
              <w:spacing w:after="0"/>
              <w:rPr>
                <w:sz w:val="20"/>
                <w:szCs w:val="20"/>
                <w:color w:val="auto"/>
              </w:rPr>
            </w:pPr>
            <w:r>
              <w:rPr>
                <w:rFonts w:ascii="Arial" w:cs="Arial" w:eastAsia="Arial" w:hAnsi="Arial"/>
                <w:sz w:val="17"/>
                <w:szCs w:val="17"/>
                <w:color w:val="auto"/>
              </w:rPr>
              <w:t>90.0%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23,000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100%</w:t>
            </w:r>
          </w:p>
        </w:tc>
        <w:tc>
          <w:tcPr>
            <w:tcW w:w="2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Angeles-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Long</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Beach, CA</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Hollywood Blvd</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24,729</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78%</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Hollywood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Angeles-</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Entertainment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Long</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Museum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Beach, CA</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Third St Promenade</w:t>
            </w:r>
          </w:p>
        </w:tc>
        <w:tc>
          <w:tcPr>
            <w:tcW w:w="460" w:type="dxa"/>
            <w:vAlign w:val="bottom"/>
          </w:tcPr>
          <w:p>
            <w:pPr>
              <w:ind w:left="80"/>
              <w:spacing w:after="0"/>
              <w:rPr>
                <w:sz w:val="20"/>
                <w:szCs w:val="20"/>
                <w:color w:val="auto"/>
              </w:rPr>
            </w:pPr>
            <w:r>
              <w:rPr>
                <w:rFonts w:ascii="Arial" w:cs="Arial" w:eastAsia="Arial" w:hAnsi="Arial"/>
                <w:sz w:val="17"/>
                <w:szCs w:val="17"/>
                <w:color w:val="auto"/>
              </w:rPr>
              <w:t>SR</w:t>
            </w:r>
          </w:p>
        </w:tc>
        <w:tc>
          <w:tcPr>
            <w:tcW w:w="1160" w:type="dxa"/>
            <w:vAlign w:val="bottom"/>
          </w:tcPr>
          <w:p>
            <w:pPr>
              <w:ind w:left="160"/>
              <w:spacing w:after="0"/>
              <w:rPr>
                <w:sz w:val="20"/>
                <w:szCs w:val="20"/>
                <w:color w:val="auto"/>
              </w:rPr>
            </w:pPr>
            <w:r>
              <w:rPr>
                <w:rFonts w:ascii="Arial" w:cs="Arial" w:eastAsia="Arial" w:hAnsi="Arial"/>
                <w:sz w:val="17"/>
                <w:szCs w:val="17"/>
                <w:color w:val="auto"/>
              </w:rPr>
              <w:t>Los</w:t>
            </w:r>
          </w:p>
        </w:tc>
        <w:tc>
          <w:tcPr>
            <w:tcW w:w="680" w:type="dxa"/>
            <w:vAlign w:val="bottom"/>
          </w:tcPr>
          <w:p>
            <w:pPr>
              <w:jc w:val="right"/>
              <w:spacing w:after="0"/>
              <w:rPr>
                <w:sz w:val="20"/>
                <w:szCs w:val="20"/>
                <w:color w:val="auto"/>
              </w:rPr>
            </w:pPr>
            <w:r>
              <w:rPr>
                <w:rFonts w:ascii="Arial" w:cs="Arial" w:eastAsia="Arial" w:hAnsi="Arial"/>
                <w:sz w:val="17"/>
                <w:szCs w:val="17"/>
                <w:color w:val="auto"/>
              </w:rPr>
              <w:t>1996-</w:t>
            </w:r>
          </w:p>
        </w:tc>
        <w:tc>
          <w:tcPr>
            <w:tcW w:w="820" w:type="dxa"/>
            <w:vAlign w:val="bottom"/>
          </w:tcPr>
          <w:p>
            <w:pPr>
              <w:jc w:val="right"/>
              <w:spacing w:after="0"/>
              <w:rPr>
                <w:sz w:val="20"/>
                <w:szCs w:val="20"/>
                <w:color w:val="auto"/>
              </w:rPr>
            </w:pPr>
            <w:r>
              <w:rPr>
                <w:rFonts w:ascii="Arial" w:cs="Arial" w:eastAsia="Arial" w:hAnsi="Arial"/>
                <w:sz w:val="17"/>
                <w:szCs w:val="17"/>
                <w:color w:val="auto"/>
              </w:rPr>
              <w:t>73,818</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(9)</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209,000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99%</w:t>
            </w:r>
          </w:p>
        </w:tc>
        <w:tc>
          <w:tcPr>
            <w:tcW w:w="22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J. Crew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Angeles-</w:t>
            </w:r>
          </w:p>
        </w:tc>
        <w:tc>
          <w:tcPr>
            <w:tcW w:w="680" w:type="dxa"/>
            <w:vAlign w:val="bottom"/>
          </w:tcPr>
          <w:p>
            <w:pPr>
              <w:jc w:val="right"/>
              <w:spacing w:after="0"/>
              <w:rPr>
                <w:sz w:val="20"/>
                <w:szCs w:val="20"/>
                <w:color w:val="auto"/>
              </w:rPr>
            </w:pPr>
            <w:r>
              <w:rPr>
                <w:rFonts w:ascii="Arial" w:cs="Arial" w:eastAsia="Arial" w:hAnsi="Arial"/>
                <w:sz w:val="17"/>
                <w:szCs w:val="17"/>
                <w:color w:val="auto"/>
              </w:rPr>
              <w:t>2000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Banana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Long</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Republic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Beach, CA</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Old Navy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Abercrombie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&amp; Fitch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Escondido</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SC</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San Diego,</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24,924</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222,000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97%</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Plus / TJ</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Maxx / Toys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 Us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Fifth Ave</w:t>
            </w:r>
          </w:p>
        </w:tc>
        <w:tc>
          <w:tcPr>
            <w:tcW w:w="460" w:type="dxa"/>
            <w:vAlign w:val="bottom"/>
          </w:tcPr>
          <w:p>
            <w:pPr>
              <w:ind w:left="80"/>
              <w:spacing w:after="0"/>
              <w:rPr>
                <w:sz w:val="20"/>
                <w:szCs w:val="20"/>
                <w:color w:val="auto"/>
              </w:rPr>
            </w:pPr>
            <w:r>
              <w:rPr>
                <w:rFonts w:ascii="Arial" w:cs="Arial" w:eastAsia="Arial" w:hAnsi="Arial"/>
                <w:sz w:val="17"/>
                <w:szCs w:val="17"/>
                <w:color w:val="auto"/>
              </w:rPr>
              <w:t>SR</w:t>
            </w:r>
          </w:p>
        </w:tc>
        <w:tc>
          <w:tcPr>
            <w:tcW w:w="1160" w:type="dxa"/>
            <w:vAlign w:val="bottom"/>
          </w:tcPr>
          <w:p>
            <w:pPr>
              <w:ind w:left="160"/>
              <w:spacing w:after="0"/>
              <w:rPr>
                <w:sz w:val="20"/>
                <w:szCs w:val="20"/>
                <w:color w:val="auto"/>
              </w:rPr>
            </w:pPr>
            <w:r>
              <w:rPr>
                <w:rFonts w:ascii="Arial" w:cs="Arial" w:eastAsia="Arial" w:hAnsi="Arial"/>
                <w:sz w:val="17"/>
                <w:szCs w:val="17"/>
                <w:color w:val="auto"/>
              </w:rPr>
              <w:t>San Diego,</w:t>
            </w:r>
          </w:p>
        </w:tc>
        <w:tc>
          <w:tcPr>
            <w:tcW w:w="680" w:type="dxa"/>
            <w:vAlign w:val="bottom"/>
          </w:tcPr>
          <w:p>
            <w:pPr>
              <w:jc w:val="right"/>
              <w:spacing w:after="0"/>
              <w:rPr>
                <w:sz w:val="20"/>
                <w:szCs w:val="20"/>
                <w:color w:val="auto"/>
              </w:rPr>
            </w:pPr>
            <w:r>
              <w:rPr>
                <w:rFonts w:ascii="Arial" w:cs="Arial" w:eastAsia="Arial" w:hAnsi="Arial"/>
                <w:sz w:val="17"/>
                <w:szCs w:val="17"/>
                <w:color w:val="auto"/>
              </w:rPr>
              <w:t>1996-</w:t>
            </w:r>
          </w:p>
        </w:tc>
        <w:tc>
          <w:tcPr>
            <w:tcW w:w="820" w:type="dxa"/>
            <w:vAlign w:val="bottom"/>
          </w:tcPr>
          <w:p>
            <w:pPr>
              <w:jc w:val="right"/>
              <w:spacing w:after="0"/>
              <w:rPr>
                <w:sz w:val="20"/>
                <w:szCs w:val="20"/>
                <w:color w:val="auto"/>
              </w:rPr>
            </w:pPr>
            <w:r>
              <w:rPr>
                <w:rFonts w:ascii="Arial" w:cs="Arial" w:eastAsia="Arial" w:hAnsi="Arial"/>
                <w:sz w:val="17"/>
                <w:szCs w:val="17"/>
                <w:color w:val="auto"/>
              </w:rPr>
              <w:t>12,335</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(10)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51,000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82%</w:t>
            </w:r>
          </w:p>
        </w:tc>
        <w:tc>
          <w:tcPr>
            <w:tcW w:w="22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Urban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CA</w:t>
            </w:r>
          </w:p>
        </w:tc>
        <w:tc>
          <w:tcPr>
            <w:tcW w:w="680" w:type="dxa"/>
            <w:vAlign w:val="bottom"/>
          </w:tcPr>
          <w:p>
            <w:pPr>
              <w:jc w:val="right"/>
              <w:spacing w:after="0"/>
              <w:rPr>
                <w:sz w:val="20"/>
                <w:szCs w:val="20"/>
                <w:color w:val="auto"/>
              </w:rPr>
            </w:pPr>
            <w:r>
              <w:rPr>
                <w:rFonts w:ascii="Arial" w:cs="Arial" w:eastAsia="Arial" w:hAnsi="Arial"/>
                <w:sz w:val="17"/>
                <w:szCs w:val="17"/>
                <w:color w:val="auto"/>
              </w:rPr>
              <w:t>1997</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Outfitters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150 Post Street</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San</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32,344</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102,000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Brooks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Francisco,</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Brothers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Kings Court</w:t>
            </w:r>
          </w:p>
        </w:tc>
        <w:tc>
          <w:tcPr>
            <w:tcW w:w="460" w:type="dxa"/>
            <w:vAlign w:val="bottom"/>
          </w:tcPr>
          <w:p>
            <w:pPr>
              <w:ind w:left="80"/>
              <w:spacing w:after="0"/>
              <w:rPr>
                <w:sz w:val="20"/>
                <w:szCs w:val="20"/>
                <w:color w:val="auto"/>
              </w:rPr>
            </w:pPr>
            <w:r>
              <w:rPr>
                <w:rFonts w:ascii="Arial" w:cs="Arial" w:eastAsia="Arial" w:hAnsi="Arial"/>
                <w:sz w:val="17"/>
                <w:szCs w:val="17"/>
                <w:color w:val="auto"/>
              </w:rPr>
              <w:t>SC</w:t>
            </w:r>
          </w:p>
        </w:tc>
        <w:tc>
          <w:tcPr>
            <w:tcW w:w="1160" w:type="dxa"/>
            <w:vAlign w:val="bottom"/>
          </w:tcPr>
          <w:p>
            <w:pPr>
              <w:ind w:left="160"/>
              <w:spacing w:after="0"/>
              <w:rPr>
                <w:sz w:val="20"/>
                <w:szCs w:val="20"/>
                <w:color w:val="auto"/>
              </w:rPr>
            </w:pPr>
            <w:r>
              <w:rPr>
                <w:rFonts w:ascii="Arial" w:cs="Arial" w:eastAsia="Arial" w:hAnsi="Arial"/>
                <w:sz w:val="17"/>
                <w:szCs w:val="17"/>
                <w:color w:val="auto"/>
              </w:rPr>
              <w:t>San Jose,</w:t>
            </w:r>
          </w:p>
        </w:tc>
        <w:tc>
          <w:tcPr>
            <w:tcW w:w="680" w:type="dxa"/>
            <w:vAlign w:val="bottom"/>
          </w:tcPr>
          <w:p>
            <w:pPr>
              <w:jc w:val="right"/>
              <w:spacing w:after="0"/>
              <w:rPr>
                <w:sz w:val="20"/>
                <w:szCs w:val="20"/>
                <w:color w:val="auto"/>
              </w:rPr>
            </w:pPr>
            <w:r>
              <w:rPr>
                <w:rFonts w:ascii="Arial" w:cs="Arial" w:eastAsia="Arial" w:hAnsi="Arial"/>
                <w:sz w:val="17"/>
                <w:szCs w:val="17"/>
                <w:color w:val="auto"/>
              </w:rPr>
              <w:t>1998</w:t>
            </w:r>
          </w:p>
        </w:tc>
        <w:tc>
          <w:tcPr>
            <w:tcW w:w="820" w:type="dxa"/>
            <w:vAlign w:val="bottom"/>
          </w:tcPr>
          <w:p>
            <w:pPr>
              <w:jc w:val="right"/>
              <w:spacing w:after="0"/>
              <w:rPr>
                <w:sz w:val="20"/>
                <w:szCs w:val="20"/>
                <w:color w:val="auto"/>
              </w:rPr>
            </w:pPr>
            <w:r>
              <w:rPr>
                <w:rFonts w:ascii="Arial" w:cs="Arial" w:eastAsia="Arial" w:hAnsi="Arial"/>
                <w:sz w:val="17"/>
                <w:szCs w:val="17"/>
                <w:color w:val="auto"/>
              </w:rPr>
              <w:t>11,410</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(6)</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79,000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98%</w:t>
            </w:r>
          </w:p>
        </w:tc>
        <w:tc>
          <w:tcPr>
            <w:tcW w:w="2280" w:type="dxa"/>
            <w:vAlign w:val="bottom"/>
          </w:tcPr>
          <w:p>
            <w:pPr>
              <w:ind w:left="720"/>
              <w:spacing w:after="0"/>
              <w:rPr>
                <w:sz w:val="20"/>
                <w:szCs w:val="20"/>
                <w:color w:val="auto"/>
              </w:rPr>
            </w:pPr>
            <w:r>
              <w:rPr>
                <w:rFonts w:ascii="Arial" w:cs="Arial" w:eastAsia="Arial" w:hAnsi="Arial"/>
                <w:sz w:val="17"/>
                <w:szCs w:val="17"/>
                <w:color w:val="auto"/>
              </w:rPr>
              <w:t>25,000 Lunardi’s</w:t>
            </w:r>
          </w:p>
        </w:tc>
        <w:tc>
          <w:tcPr>
            <w:tcW w:w="1580" w:type="dxa"/>
            <w:vAlign w:val="bottom"/>
          </w:tcPr>
          <w:p>
            <w:pPr>
              <w:ind w:left="180"/>
              <w:spacing w:after="0"/>
              <w:rPr>
                <w:sz w:val="20"/>
                <w:szCs w:val="20"/>
                <w:color w:val="auto"/>
              </w:rPr>
            </w:pPr>
            <w:r>
              <w:rPr>
                <w:rFonts w:ascii="Arial" w:cs="Arial" w:eastAsia="Arial" w:hAnsi="Arial"/>
                <w:sz w:val="17"/>
                <w:szCs w:val="17"/>
                <w:color w:val="auto"/>
              </w:rPr>
              <w:t>Longs Drug</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CA</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ind w:left="1280"/>
              <w:spacing w:after="0"/>
              <w:rPr>
                <w:sz w:val="20"/>
                <w:szCs w:val="20"/>
                <w:color w:val="auto"/>
              </w:rPr>
            </w:pPr>
            <w:r>
              <w:rPr>
                <w:rFonts w:ascii="Arial" w:cs="Arial" w:eastAsia="Arial" w:hAnsi="Arial"/>
                <w:sz w:val="17"/>
                <w:szCs w:val="17"/>
                <w:color w:val="auto"/>
              </w:rPr>
              <w:t>Super</w:t>
            </w:r>
          </w:p>
        </w:tc>
        <w:tc>
          <w:tcPr>
            <w:tcW w:w="1580" w:type="dxa"/>
            <w:vAlign w:val="bottom"/>
          </w:tcPr>
          <w:p>
            <w:pPr>
              <w:ind w:left="180"/>
              <w:spacing w:after="0"/>
              <w:rPr>
                <w:sz w:val="20"/>
                <w:szCs w:val="20"/>
                <w:color w:val="auto"/>
              </w:rPr>
            </w:pPr>
            <w:r>
              <w:rPr>
                <w:rFonts w:ascii="Arial" w:cs="Arial" w:eastAsia="Arial" w:hAnsi="Arial"/>
                <w:sz w:val="17"/>
                <w:szCs w:val="17"/>
                <w:color w:val="auto"/>
              </w:rPr>
              <w:t>Store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ind w:left="1280"/>
              <w:spacing w:after="0"/>
              <w:rPr>
                <w:sz w:val="20"/>
                <w:szCs w:val="20"/>
                <w:color w:val="auto"/>
              </w:rPr>
            </w:pPr>
            <w:r>
              <w:rPr>
                <w:rFonts w:ascii="Arial" w:cs="Arial" w:eastAsia="Arial" w:hAnsi="Arial"/>
                <w:sz w:val="17"/>
                <w:szCs w:val="17"/>
                <w:color w:val="auto"/>
              </w:rPr>
              <w:t>Market</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Old Town Center</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San Jose,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33,712</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96%</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Borders / Gap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Kids / Banana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Republic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Westgate</w:t>
            </w:r>
          </w:p>
        </w:tc>
        <w:tc>
          <w:tcPr>
            <w:tcW w:w="460" w:type="dxa"/>
            <w:vAlign w:val="bottom"/>
          </w:tcPr>
          <w:p>
            <w:pPr>
              <w:ind w:left="80"/>
              <w:spacing w:after="0"/>
              <w:rPr>
                <w:sz w:val="20"/>
                <w:szCs w:val="20"/>
                <w:color w:val="auto"/>
              </w:rPr>
            </w:pPr>
            <w:r>
              <w:rPr>
                <w:rFonts w:ascii="Arial" w:cs="Arial" w:eastAsia="Arial" w:hAnsi="Arial"/>
                <w:sz w:val="17"/>
                <w:szCs w:val="17"/>
                <w:color w:val="auto"/>
              </w:rPr>
              <w:t>SC</w:t>
            </w:r>
          </w:p>
        </w:tc>
        <w:tc>
          <w:tcPr>
            <w:tcW w:w="1160" w:type="dxa"/>
            <w:vAlign w:val="bottom"/>
          </w:tcPr>
          <w:p>
            <w:pPr>
              <w:ind w:left="160"/>
              <w:spacing w:after="0"/>
              <w:rPr>
                <w:sz w:val="20"/>
                <w:szCs w:val="20"/>
                <w:color w:val="auto"/>
              </w:rPr>
            </w:pPr>
            <w:r>
              <w:rPr>
                <w:rFonts w:ascii="Arial" w:cs="Arial" w:eastAsia="Arial" w:hAnsi="Arial"/>
                <w:sz w:val="17"/>
                <w:szCs w:val="17"/>
                <w:color w:val="auto"/>
              </w:rPr>
              <w:t>San Jose,</w:t>
            </w:r>
          </w:p>
        </w:tc>
        <w:tc>
          <w:tcPr>
            <w:tcW w:w="680" w:type="dxa"/>
            <w:vAlign w:val="bottom"/>
          </w:tcPr>
          <w:p>
            <w:pPr>
              <w:jc w:val="right"/>
              <w:spacing w:after="0"/>
              <w:rPr>
                <w:sz w:val="20"/>
                <w:szCs w:val="20"/>
                <w:color w:val="auto"/>
              </w:rPr>
            </w:pPr>
            <w:r>
              <w:rPr>
                <w:rFonts w:ascii="Arial" w:cs="Arial" w:eastAsia="Arial" w:hAnsi="Arial"/>
                <w:sz w:val="17"/>
                <w:szCs w:val="17"/>
                <w:color w:val="auto"/>
              </w:rPr>
              <w:t>2004</w:t>
            </w:r>
          </w:p>
        </w:tc>
        <w:tc>
          <w:tcPr>
            <w:tcW w:w="820" w:type="dxa"/>
            <w:vAlign w:val="bottom"/>
          </w:tcPr>
          <w:p>
            <w:pPr>
              <w:jc w:val="right"/>
              <w:spacing w:after="0"/>
              <w:rPr>
                <w:sz w:val="20"/>
                <w:szCs w:val="20"/>
                <w:color w:val="auto"/>
              </w:rPr>
            </w:pPr>
            <w:r>
              <w:rPr>
                <w:rFonts w:ascii="Arial" w:cs="Arial" w:eastAsia="Arial" w:hAnsi="Arial"/>
                <w:sz w:val="17"/>
                <w:szCs w:val="17"/>
                <w:color w:val="auto"/>
              </w:rPr>
              <w:t>113,651</w:t>
            </w:r>
          </w:p>
        </w:tc>
        <w:tc>
          <w:tcPr>
            <w:tcW w:w="940" w:type="dxa"/>
            <w:vAlign w:val="bottom"/>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640,000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96%</w:t>
            </w:r>
          </w:p>
        </w:tc>
        <w:tc>
          <w:tcPr>
            <w:tcW w:w="2280" w:type="dxa"/>
            <w:vAlign w:val="bottom"/>
          </w:tcPr>
          <w:p>
            <w:pPr>
              <w:ind w:left="720"/>
              <w:spacing w:after="0"/>
              <w:rPr>
                <w:sz w:val="20"/>
                <w:szCs w:val="20"/>
                <w:color w:val="auto"/>
              </w:rPr>
            </w:pPr>
            <w:r>
              <w:rPr>
                <w:rFonts w:ascii="Arial" w:cs="Arial" w:eastAsia="Arial" w:hAnsi="Arial"/>
                <w:sz w:val="17"/>
                <w:szCs w:val="17"/>
                <w:color w:val="auto"/>
              </w:rPr>
              <w:t>38,000 Safeway</w:t>
            </w:r>
          </w:p>
        </w:tc>
        <w:tc>
          <w:tcPr>
            <w:tcW w:w="1580" w:type="dxa"/>
            <w:vAlign w:val="bottom"/>
          </w:tcPr>
          <w:p>
            <w:pPr>
              <w:ind w:left="180"/>
              <w:spacing w:after="0"/>
              <w:rPr>
                <w:sz w:val="20"/>
                <w:szCs w:val="20"/>
                <w:color w:val="auto"/>
              </w:rPr>
            </w:pPr>
            <w:r>
              <w:rPr>
                <w:rFonts w:ascii="Arial" w:cs="Arial" w:eastAsia="Arial" w:hAnsi="Arial"/>
                <w:sz w:val="17"/>
                <w:szCs w:val="17"/>
                <w:color w:val="auto"/>
              </w:rPr>
              <w:t>Target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CA</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Burlington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Coat Factory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 Barnes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Noble / Ross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Santana Row</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San Jose,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490,237</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558,000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92%</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Crate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Barrel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Container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Store / Best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Buy / Borders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 CineArts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Theatre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838,462</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2,198,000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92%</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gridSpan w:val="7"/>
          </w:tcPr>
          <w:p>
            <w:pPr>
              <w:spacing w:after="0" w:line="174" w:lineRule="exact"/>
              <w:rPr>
                <w:sz w:val="20"/>
                <w:szCs w:val="20"/>
                <w:color w:val="auto"/>
              </w:rPr>
            </w:pPr>
            <w:r>
              <w:rPr>
                <w:rFonts w:ascii="Arial" w:cs="Arial" w:eastAsia="Arial" w:hAnsi="Arial"/>
                <w:sz w:val="17"/>
                <w:szCs w:val="17"/>
                <w:color w:val="auto"/>
              </w:rPr>
              <w:t>West Region - Other</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Mill Avenue</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Phoenix-</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11,195</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2280" w:type="dxa"/>
            <w:vAlign w:val="bottom"/>
            <w:shd w:val="clear" w:color="auto" w:fill="CCEEFF"/>
          </w:tcPr>
          <w:p>
            <w:pPr>
              <w:spacing w:after="0"/>
              <w:rPr>
                <w:sz w:val="17"/>
                <w:szCs w:val="17"/>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Gordon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Mesa, AZ</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Biersch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Houston St</w:t>
            </w:r>
          </w:p>
        </w:tc>
        <w:tc>
          <w:tcPr>
            <w:tcW w:w="460" w:type="dxa"/>
            <w:vAlign w:val="bottom"/>
          </w:tcPr>
          <w:p>
            <w:pPr>
              <w:ind w:left="80"/>
              <w:spacing w:after="0"/>
              <w:rPr>
                <w:sz w:val="20"/>
                <w:szCs w:val="20"/>
                <w:color w:val="auto"/>
              </w:rPr>
            </w:pPr>
            <w:r>
              <w:rPr>
                <w:rFonts w:ascii="Arial" w:cs="Arial" w:eastAsia="Arial" w:hAnsi="Arial"/>
                <w:sz w:val="17"/>
                <w:szCs w:val="17"/>
                <w:color w:val="auto"/>
              </w:rPr>
              <w:t>SR</w:t>
            </w:r>
          </w:p>
        </w:tc>
        <w:tc>
          <w:tcPr>
            <w:tcW w:w="1160" w:type="dxa"/>
            <w:vAlign w:val="bottom"/>
          </w:tcPr>
          <w:p>
            <w:pPr>
              <w:ind w:left="160"/>
              <w:spacing w:after="0"/>
              <w:rPr>
                <w:sz w:val="20"/>
                <w:szCs w:val="20"/>
                <w:color w:val="auto"/>
              </w:rPr>
            </w:pPr>
            <w:r>
              <w:rPr>
                <w:rFonts w:ascii="Arial" w:cs="Arial" w:eastAsia="Arial" w:hAnsi="Arial"/>
                <w:sz w:val="17"/>
                <w:szCs w:val="17"/>
                <w:color w:val="auto"/>
              </w:rPr>
              <w:t>San</w:t>
            </w:r>
          </w:p>
        </w:tc>
        <w:tc>
          <w:tcPr>
            <w:tcW w:w="680" w:type="dxa"/>
            <w:vAlign w:val="bottom"/>
          </w:tcPr>
          <w:p>
            <w:pPr>
              <w:jc w:val="right"/>
              <w:spacing w:after="0"/>
              <w:rPr>
                <w:sz w:val="20"/>
                <w:szCs w:val="20"/>
                <w:color w:val="auto"/>
              </w:rPr>
            </w:pPr>
            <w:r>
              <w:rPr>
                <w:rFonts w:ascii="Arial" w:cs="Arial" w:eastAsia="Arial" w:hAnsi="Arial"/>
                <w:sz w:val="17"/>
                <w:szCs w:val="17"/>
                <w:color w:val="auto"/>
              </w:rPr>
              <w:t>1998</w:t>
            </w:r>
          </w:p>
        </w:tc>
        <w:tc>
          <w:tcPr>
            <w:tcW w:w="820" w:type="dxa"/>
            <w:vAlign w:val="bottom"/>
          </w:tcPr>
          <w:p>
            <w:pPr>
              <w:jc w:val="right"/>
              <w:spacing w:after="0"/>
              <w:rPr>
                <w:sz w:val="20"/>
                <w:szCs w:val="20"/>
                <w:color w:val="auto"/>
              </w:rPr>
            </w:pPr>
            <w:r>
              <w:rPr>
                <w:rFonts w:ascii="Arial" w:cs="Arial" w:eastAsia="Arial" w:hAnsi="Arial"/>
                <w:sz w:val="17"/>
                <w:szCs w:val="17"/>
                <w:color w:val="auto"/>
              </w:rPr>
              <w:t>63,645</w:t>
            </w:r>
          </w:p>
        </w:tc>
        <w:tc>
          <w:tcPr>
            <w:tcW w:w="940" w:type="dxa"/>
            <w:vAlign w:val="bottom"/>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171,000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82%</w:t>
            </w:r>
          </w:p>
        </w:tc>
        <w:tc>
          <w:tcPr>
            <w:tcW w:w="2280" w:type="dxa"/>
            <w:vAlign w:val="bottom"/>
          </w:tcPr>
          <w:p>
            <w:pPr>
              <w:ind w:left="380"/>
              <w:spacing w:after="0"/>
              <w:rPr>
                <w:sz w:val="20"/>
                <w:szCs w:val="20"/>
                <w:color w:val="auto"/>
              </w:rPr>
            </w:pPr>
            <w:r>
              <w:rPr>
                <w:rFonts w:ascii="Arial" w:cs="Arial" w:eastAsia="Arial" w:hAnsi="Arial"/>
                <w:sz w:val="17"/>
                <w:szCs w:val="17"/>
                <w:color w:val="auto"/>
              </w:rPr>
              <w:t>200</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Antonio,</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TX</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74,840</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210,000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86%</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Total West</w:t>
            </w: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913,302</w:t>
            </w:r>
          </w:p>
        </w:tc>
        <w:tc>
          <w:tcPr>
            <w:tcW w:w="9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2,408,000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92%</w:t>
            </w: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86" w:orient="portrait"/>
          <w:cols w:equalWidth="0" w:num="1">
            <w:col w:w="11420"/>
          </w:cols>
          <w:pgMar w:left="240" w:top="140" w:right="239" w:bottom="0" w:gutter="0" w:footer="0" w:header="0"/>
        </w:sectPr>
      </w:pPr>
    </w:p>
    <w:bookmarkStart w:id="27" w:name="page28"/>
    <w:bookmarkEnd w:id="27"/>
    <w:p>
      <w:pPr>
        <w:ind w:left="2280"/>
        <w:spacing w:after="0"/>
        <w:rPr>
          <w:sz w:val="20"/>
          <w:szCs w:val="20"/>
          <w:color w:val="auto"/>
        </w:rPr>
      </w:pPr>
      <w:r>
        <w:rPr>
          <w:rFonts w:ascii="Arial" w:cs="Arial" w:eastAsia="Arial" w:hAnsi="Arial"/>
          <w:sz w:val="17"/>
          <w:szCs w:val="17"/>
          <w:color w:val="auto"/>
        </w:rPr>
        <w:t>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2519680</wp:posOffset>
            </wp:positionH>
            <wp:positionV relativeFrom="paragraph">
              <wp:posOffset>85090</wp:posOffset>
            </wp:positionV>
            <wp:extent cx="518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8160"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85090</wp:posOffset>
            </wp:positionV>
            <wp:extent cx="15716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32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2,659,903</w:t>
            </w:r>
          </w:p>
        </w:tc>
        <w:tc>
          <w:tcPr>
            <w:tcW w:w="15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16,791,000</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94%</w:t>
            </w:r>
          </w:p>
        </w:tc>
        <w:tc>
          <w:tcPr>
            <w:tcW w:w="3940" w:type="dxa"/>
            <w:vAlign w:val="bottom"/>
            <w:shd w:val="clear" w:color="auto" w:fill="CCEEFF"/>
          </w:tcPr>
          <w:p>
            <w:pPr>
              <w:jc w:val="right"/>
              <w:ind w:right="3133"/>
              <w:spacing w:after="0"/>
              <w:rPr>
                <w:sz w:val="20"/>
                <w:szCs w:val="20"/>
                <w:color w:val="auto"/>
              </w:rPr>
            </w:pPr>
            <w:r>
              <w:rPr>
                <w:rFonts w:ascii="Arial" w:cs="Arial" w:eastAsia="Arial" w:hAnsi="Arial"/>
                <w:sz w:val="17"/>
                <w:szCs w:val="17"/>
                <w:color w:val="auto"/>
              </w:rPr>
              <w:t>411,831</w:t>
            </w:r>
          </w:p>
        </w:tc>
      </w:tr>
      <w:tr>
        <w:trPr>
          <w:trHeight w:val="107"/>
        </w:trPr>
        <w:tc>
          <w:tcPr>
            <w:tcW w:w="94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940" w:type="dxa"/>
            <w:vAlign w:val="bottom"/>
          </w:tcPr>
          <w:p>
            <w:pPr>
              <w:spacing w:after="0"/>
              <w:rPr>
                <w:sz w:val="9"/>
                <w:szCs w:val="9"/>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SR - Street Retail; SC - Shopping Center</w:t>
      </w:r>
    </w:p>
    <w:p>
      <w:pPr>
        <w:spacing w:after="0" w:line="18" w:lineRule="exact"/>
        <w:rPr>
          <w:rFonts w:ascii="Arial" w:cs="Arial" w:eastAsia="Arial" w:hAnsi="Arial"/>
          <w:sz w:val="17"/>
          <w:szCs w:val="17"/>
          <w:color w:val="auto"/>
        </w:rPr>
      </w:pPr>
    </w:p>
    <w:p>
      <w:pPr>
        <w:ind w:left="460" w:right="820" w:hanging="453"/>
        <w:spacing w:after="0" w:line="262"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Excludes redevelopment square footage not yet in service, Santana Row residential, future phases of Santana Row, Rollingwood and The Crest at Congressional Apartments.</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Total investment includes dollars associated with the 146 units of The Crest at Congressional.</w:t>
      </w:r>
    </w:p>
    <w:p>
      <w:pPr>
        <w:spacing w:after="0" w:line="18" w:lineRule="exact"/>
        <w:rPr>
          <w:rFonts w:ascii="Arial" w:cs="Arial" w:eastAsia="Arial" w:hAnsi="Arial"/>
          <w:sz w:val="17"/>
          <w:szCs w:val="17"/>
          <w:color w:val="auto"/>
        </w:rPr>
      </w:pPr>
    </w:p>
    <w:p>
      <w:pPr>
        <w:ind w:left="460" w:right="280" w:hanging="453"/>
        <w:spacing w:after="0" w:line="262"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Currently under contract to acquire the retail square footage upon completion of development.</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nine properties, seven at 100% and two at 90%.</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four properties, three at 100% and one at 90%.</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two properties, one at 100% and one at 85%. On October 1, 2004 we acquired the remaining 15% interest on the one.</w:t>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Shopping Center / Street Retail Summary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Shopping Center Summary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 thousands, except square footage data)</w:t>
      </w:r>
    </w:p>
    <w:p>
      <w:pPr>
        <w:spacing w:after="0" w:line="19" w:lineRule="exact"/>
        <w:rPr>
          <w:sz w:val="20"/>
          <w:szCs w:val="20"/>
          <w:color w:val="auto"/>
        </w:rPr>
      </w:pPr>
    </w:p>
    <w:p>
      <w:pPr>
        <w:jc w:val="center"/>
        <w:ind w:left="9320"/>
        <w:spacing w:after="0"/>
        <w:rPr>
          <w:sz w:val="20"/>
          <w:szCs w:val="20"/>
          <w:color w:val="auto"/>
        </w:rPr>
      </w:pPr>
      <w:r>
        <w:rPr>
          <w:rFonts w:ascii="Arial" w:cs="Arial" w:eastAsia="Arial" w:hAnsi="Arial"/>
          <w:sz w:val="13"/>
          <w:szCs w:val="13"/>
          <w:b w:val="1"/>
          <w:bCs w:val="1"/>
          <w:color w:val="auto"/>
        </w:rPr>
        <w:t>For the nine months ended</w:t>
      </w:r>
    </w:p>
    <w:p>
      <w:pPr>
        <w:jc w:val="center"/>
        <w:ind w:left="9320"/>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5918200</wp:posOffset>
            </wp:positionH>
            <wp:positionV relativeFrom="paragraph">
              <wp:posOffset>66040</wp:posOffset>
            </wp:positionV>
            <wp:extent cx="13341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6"/>
              <w:spacing w:after="0"/>
              <w:rPr>
                <w:sz w:val="20"/>
                <w:szCs w:val="20"/>
                <w:color w:val="auto"/>
              </w:rPr>
            </w:pPr>
            <w:r>
              <w:rPr>
                <w:rFonts w:ascii="Arial" w:cs="Arial" w:eastAsia="Arial" w:hAnsi="Arial"/>
                <w:sz w:val="13"/>
                <w:szCs w:val="13"/>
                <w:b w:val="1"/>
                <w:bCs w:val="1"/>
                <w:color w:val="auto"/>
              </w:rPr>
              <w:t>2004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5"/>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Real Estate Assets, at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1,584,743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1,328,345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9300" w:type="dxa"/>
            <w:vAlign w:val="bottom"/>
            <w:gridSpan w:val="3"/>
          </w:tcPr>
          <w:p>
            <w:pPr>
              <w:ind w:left="420"/>
              <w:spacing w:after="0"/>
              <w:rPr>
                <w:sz w:val="20"/>
                <w:szCs w:val="20"/>
                <w:color w:val="auto"/>
              </w:rPr>
            </w:pPr>
            <w:r>
              <w:rPr>
                <w:rFonts w:ascii="Arial" w:cs="Arial" w:eastAsia="Arial" w:hAnsi="Arial"/>
                <w:sz w:val="17"/>
                <w:szCs w:val="17"/>
                <w:color w:val="auto"/>
              </w:rPr>
              <w:t>Rental Income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187,987</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169,491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00" w:type="dxa"/>
            <w:vAlign w:val="bottom"/>
            <w:gridSpan w:val="3"/>
          </w:tcPr>
          <w:p>
            <w:pPr>
              <w:ind w:left="420"/>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196,253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00" w:type="dxa"/>
            <w:vAlign w:val="bottom"/>
            <w:gridSpan w:val="3"/>
          </w:tcPr>
          <w:p>
            <w:pPr>
              <w:ind w:left="420"/>
              <w:spacing w:after="0"/>
              <w:rPr>
                <w:sz w:val="20"/>
                <w:szCs w:val="20"/>
                <w:color w:val="auto"/>
              </w:rPr>
            </w:pPr>
            <w:r>
              <w:rPr>
                <w:rFonts w:ascii="Arial" w:cs="Arial" w:eastAsia="Arial" w:hAnsi="Arial"/>
                <w:sz w:val="17"/>
                <w:szCs w:val="17"/>
                <w:color w:val="auto"/>
              </w:rPr>
              <w:t>Rental Expense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37,296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Real Estate Tax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Property Operating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Property Operating Income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Square Feet (3)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13,985,000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13,015,000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3"/>
              </w:rPr>
              <w:t>Street Retail Summary</w:t>
            </w:r>
          </w:p>
        </w:tc>
        <w:tc>
          <w:tcPr>
            <w:tcW w:w="7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9320" w:type="dxa"/>
            <w:vAlign w:val="bottom"/>
            <w:gridSpan w:val="4"/>
          </w:tcPr>
          <w:p>
            <w:pPr>
              <w:spacing w:after="0"/>
              <w:rPr>
                <w:sz w:val="20"/>
                <w:szCs w:val="20"/>
                <w:color w:val="auto"/>
              </w:rPr>
            </w:pPr>
            <w:r>
              <w:rPr>
                <w:rFonts w:ascii="Arial" w:cs="Arial" w:eastAsia="Arial" w:hAnsi="Arial"/>
                <w:sz w:val="17"/>
                <w:szCs w:val="17"/>
                <w:color w:val="auto"/>
              </w:rPr>
              <w:t>(in thousands, except square footage data)</w:t>
            </w:r>
          </w:p>
        </w:tc>
        <w:tc>
          <w:tcPr>
            <w:tcW w:w="100" w:type="dxa"/>
            <w:vAlign w:val="bottom"/>
          </w:tcPr>
          <w:p>
            <w:pPr>
              <w:spacing w:after="0"/>
              <w:rPr>
                <w:sz w:val="20"/>
                <w:szCs w:val="20"/>
                <w:color w:val="auto"/>
              </w:rPr>
            </w:pPr>
          </w:p>
        </w:tc>
        <w:tc>
          <w:tcPr>
            <w:tcW w:w="2020" w:type="dxa"/>
            <w:vAlign w:val="bottom"/>
            <w:gridSpan w:val="5"/>
            <w:vMerge w:val="restart"/>
          </w:tcPr>
          <w:p>
            <w:pPr>
              <w:jc w:val="right"/>
              <w:ind w:right="300"/>
              <w:spacing w:after="0"/>
              <w:rPr>
                <w:sz w:val="20"/>
                <w:szCs w:val="20"/>
                <w:color w:val="auto"/>
              </w:rPr>
            </w:pPr>
            <w:r>
              <w:rPr>
                <w:rFonts w:ascii="Arial" w:cs="Arial" w:eastAsia="Arial" w:hAnsi="Arial"/>
                <w:sz w:val="13"/>
                <w:szCs w:val="13"/>
                <w:b w:val="1"/>
                <w:bCs w:val="1"/>
                <w:color w:val="auto"/>
              </w:rPr>
              <w:t>For the nine months ended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6"/>
              <w:spacing w:after="0"/>
              <w:rPr>
                <w:sz w:val="20"/>
                <w:szCs w:val="20"/>
                <w:color w:val="auto"/>
              </w:rPr>
            </w:pPr>
            <w:r>
              <w:rPr>
                <w:rFonts w:ascii="Arial" w:cs="Arial" w:eastAsia="Arial" w:hAnsi="Arial"/>
                <w:sz w:val="13"/>
                <w:szCs w:val="13"/>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5"/>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Real Estate Assets, at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9300" w:type="dxa"/>
            <w:vAlign w:val="bottom"/>
            <w:gridSpan w:val="3"/>
          </w:tcPr>
          <w:p>
            <w:pPr>
              <w:ind w:left="420"/>
              <w:spacing w:after="0"/>
              <w:rPr>
                <w:sz w:val="20"/>
                <w:szCs w:val="20"/>
                <w:color w:val="auto"/>
              </w:rPr>
            </w:pPr>
            <w:r>
              <w:rPr>
                <w:rFonts w:ascii="Arial" w:cs="Arial" w:eastAsia="Arial" w:hAnsi="Arial"/>
                <w:sz w:val="17"/>
                <w:szCs w:val="17"/>
                <w:color w:val="auto"/>
              </w:rPr>
              <w:t>Rental Income (4)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83,988</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69,073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11,782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00" w:type="dxa"/>
            <w:vAlign w:val="bottom"/>
            <w:gridSpan w:val="3"/>
          </w:tcPr>
          <w:p>
            <w:pPr>
              <w:ind w:left="420"/>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3,716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9300" w:type="dxa"/>
            <w:vAlign w:val="bottom"/>
            <w:gridSpan w:val="3"/>
          </w:tcPr>
          <w:p>
            <w:pPr>
              <w:ind w:left="420"/>
              <w:spacing w:after="0"/>
              <w:rPr>
                <w:sz w:val="20"/>
                <w:szCs w:val="20"/>
                <w:color w:val="auto"/>
              </w:rPr>
            </w:pPr>
            <w:r>
              <w:rPr>
                <w:rFonts w:ascii="Arial" w:cs="Arial" w:eastAsia="Arial" w:hAnsi="Arial"/>
                <w:sz w:val="17"/>
                <w:szCs w:val="17"/>
                <w:color w:val="auto"/>
              </w:rPr>
              <w:t>Rental Expense</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29,871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26,491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Real Estate Tax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Property Operating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Property Operating Income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Square Feet (3)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2,806,000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-3375025</wp:posOffset>
            </wp:positionV>
            <wp:extent cx="56515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150" cy="29845"/>
                    </a:xfrm>
                    <a:prstGeom prst="rect">
                      <a:avLst/>
                    </a:prstGeom>
                    <a:noFill/>
                  </pic:spPr>
                </pic:pic>
              </a:graphicData>
            </a:graphic>
          </wp:anchor>
        </w:drawing>
        <w:drawing>
          <wp:anchor simplePos="0" relativeHeight="251657728" behindDoc="1" locked="0" layoutInCell="0" allowOverlap="1">
            <wp:simplePos x="0" y="0"/>
            <wp:positionH relativeFrom="column">
              <wp:posOffset>6689725</wp:posOffset>
            </wp:positionH>
            <wp:positionV relativeFrom="paragraph">
              <wp:posOffset>-3375025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-3375025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6740525</wp:posOffset>
            </wp:positionH>
            <wp:positionV relativeFrom="paragraph">
              <wp:posOffset>-3375025</wp:posOffset>
            </wp:positionV>
            <wp:extent cx="2095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-307340</wp:posOffset>
            </wp:positionV>
            <wp:extent cx="56515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150" cy="29845"/>
                    </a:xfrm>
                    <a:prstGeom prst="rect">
                      <a:avLst/>
                    </a:prstGeom>
                    <a:noFill/>
                  </pic:spPr>
                </pic:pic>
              </a:graphicData>
            </a:graphic>
          </wp:anchor>
        </w:drawing>
        <w:drawing>
          <wp:anchor simplePos="0" relativeHeight="251657728" behindDoc="1" locked="0" layoutInCell="0" allowOverlap="1">
            <wp:simplePos x="0" y="0"/>
            <wp:positionH relativeFrom="column">
              <wp:posOffset>6689725</wp:posOffset>
            </wp:positionH>
            <wp:positionV relativeFrom="paragraph">
              <wp:posOffset>-307340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-307340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6740525</wp:posOffset>
            </wp:positionH>
            <wp:positionV relativeFrom="paragraph">
              <wp:posOffset>-307340</wp:posOffset>
            </wp:positionV>
            <wp:extent cx="2095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rent revenue from residential units of $1.6 million in 2004 and $0.6 million in 2003.</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components of property operating income for the periods ended September 30, 2004 and 2003 have been restated for discontinued operations.</w:t>
      </w:r>
    </w:p>
    <w:p>
      <w:pPr>
        <w:spacing w:after="0" w:line="30" w:lineRule="exact"/>
        <w:rPr>
          <w:rFonts w:ascii="Arial" w:cs="Arial" w:eastAsia="Arial" w:hAnsi="Arial"/>
          <w:sz w:val="16"/>
          <w:szCs w:val="16"/>
          <w:color w:val="auto"/>
        </w:rPr>
      </w:pPr>
    </w:p>
    <w:p>
      <w:pPr>
        <w:ind w:left="460" w:right="80" w:hanging="453"/>
        <w:spacing w:after="0" w:line="262"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Excludes redevelopment square footage not yet in service. Does not include any future phases of Santana Row or residential square footage at Santana Row, Rollingwood Apartments or The Crest at Congressional Apartments.</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rent revenue from residential units of $7.7 million in 2004 and $5.4 million in 2003.</w:t>
      </w:r>
    </w:p>
    <w:p>
      <w:pPr>
        <w:sectPr>
          <w:pgSz w:w="11900" w:h="16838" w:orient="portrait"/>
          <w:cols w:equalWidth="0" w:num="1">
            <w:col w:w="11420"/>
          </w:cols>
          <w:pgMar w:left="240" w:top="456"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 - Comparable Basis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Renewal Lease Summary - Comparable (2) (7)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tcPr>
          <w:p>
            <w:pPr>
              <w:spacing w:after="0" w:line="148" w:lineRule="exact"/>
              <w:rPr>
                <w:sz w:val="20"/>
                <w:szCs w:val="20"/>
                <w:color w:val="auto"/>
              </w:rPr>
            </w:pPr>
            <w:r>
              <w:rPr>
                <w:rFonts w:ascii="Arial" w:cs="Arial" w:eastAsia="Arial" w:hAnsi="Arial"/>
                <w:sz w:val="13"/>
                <w:szCs w:val="13"/>
                <w:b w:val="1"/>
                <w:bCs w:val="1"/>
                <w:color w:val="auto"/>
                <w:w w:val="99"/>
              </w:rPr>
              <w:t>Contractual</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ind w:left="160"/>
              <w:spacing w:after="0" w:line="148" w:lineRule="exact"/>
              <w:rPr>
                <w:sz w:val="20"/>
                <w:szCs w:val="20"/>
                <w:color w:val="auto"/>
              </w:rPr>
            </w:pPr>
            <w:r>
              <w:rPr>
                <w:rFonts w:ascii="Arial" w:cs="Arial" w:eastAsia="Arial" w:hAnsi="Arial"/>
                <w:sz w:val="13"/>
                <w:szCs w:val="13"/>
                <w:b w:val="1"/>
                <w:bCs w:val="1"/>
                <w:color w:val="auto"/>
              </w:rPr>
              <w:t>Cash Basis</w:t>
            </w:r>
          </w:p>
        </w:tc>
        <w:tc>
          <w:tcPr>
            <w:tcW w:w="118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5"/>
              </w:rPr>
              <w:t>Straight-lined</w:t>
            </w: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8" w:lineRule="exact"/>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2"/>
                <w:szCs w:val="12"/>
                <w:color w:val="auto"/>
              </w:rPr>
            </w:pPr>
          </w:p>
        </w:tc>
        <w:tc>
          <w:tcPr>
            <w:tcW w:w="1000" w:type="dxa"/>
            <w:vAlign w:val="bottom"/>
            <w:gridSpan w:val="5"/>
          </w:tcPr>
          <w:p>
            <w:pPr>
              <w:ind w:left="100"/>
              <w:spacing w:after="0" w:line="148" w:lineRule="exact"/>
              <w:rPr>
                <w:sz w:val="20"/>
                <w:szCs w:val="20"/>
                <w:color w:val="auto"/>
              </w:rPr>
            </w:pPr>
            <w:r>
              <w:rPr>
                <w:rFonts w:ascii="Arial" w:cs="Arial" w:eastAsia="Arial" w:hAnsi="Arial"/>
                <w:sz w:val="13"/>
                <w:szCs w:val="13"/>
                <w:b w:val="1"/>
                <w:bCs w:val="1"/>
                <w:color w:val="auto"/>
              </w:rPr>
              <w:t>% of Total</w:t>
            </w:r>
          </w:p>
        </w:tc>
        <w:tc>
          <w:tcPr>
            <w:tcW w:w="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GLA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right"/>
              <w:spacing w:after="0" w:line="148" w:lineRule="exact"/>
              <w:rPr>
                <w:sz w:val="20"/>
                <w:szCs w:val="20"/>
                <w:color w:val="auto"/>
              </w:rPr>
            </w:pPr>
            <w:r>
              <w:rPr>
                <w:rFonts w:ascii="Arial" w:cs="Arial" w:eastAsia="Arial" w:hAnsi="Arial"/>
                <w:sz w:val="13"/>
                <w:szCs w:val="13"/>
                <w:b w:val="1"/>
                <w:bCs w:val="1"/>
                <w:color w:val="auto"/>
              </w:rPr>
              <w:t>Rent (3)  Prior Rent (4)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Annual</w:t>
            </w:r>
          </w:p>
        </w:tc>
        <w:tc>
          <w:tcPr>
            <w:tcW w:w="1120" w:type="dxa"/>
            <w:vAlign w:val="bottom"/>
            <w:gridSpan w:val="2"/>
          </w:tcPr>
          <w:p>
            <w:pPr>
              <w:ind w:left="140"/>
              <w:spacing w:after="0" w:line="148" w:lineRule="exact"/>
              <w:rPr>
                <w:sz w:val="20"/>
                <w:szCs w:val="20"/>
                <w:color w:val="auto"/>
              </w:rPr>
            </w:pPr>
            <w:r>
              <w:rPr>
                <w:rFonts w:ascii="Arial" w:cs="Arial" w:eastAsia="Arial" w:hAnsi="Arial"/>
                <w:sz w:val="13"/>
                <w:szCs w:val="13"/>
                <w:b w:val="1"/>
                <w:bCs w:val="1"/>
                <w:color w:val="auto"/>
              </w:rPr>
              <w:t>% Increase</w:t>
            </w:r>
          </w:p>
        </w:tc>
        <w:tc>
          <w:tcPr>
            <w:tcW w:w="118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2"/>
              </w:rPr>
              <w:t>Basis % Increase</w:t>
            </w: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1"/>
              </w:rPr>
              <w:t>Lease Term</w:t>
            </w:r>
          </w:p>
        </w:tc>
        <w:tc>
          <w:tcPr>
            <w:tcW w:w="100" w:type="dxa"/>
            <w:vAlign w:val="bottom"/>
          </w:tcPr>
          <w:p>
            <w:pPr>
              <w:spacing w:after="0"/>
              <w:rPr>
                <w:sz w:val="12"/>
                <w:szCs w:val="12"/>
                <w:color w:val="auto"/>
              </w:rPr>
            </w:pPr>
          </w:p>
        </w:tc>
        <w:tc>
          <w:tcPr>
            <w:tcW w:w="920" w:type="dxa"/>
            <w:vAlign w:val="bottom"/>
          </w:tcPr>
          <w:p>
            <w:pPr>
              <w:jc w:val="right"/>
              <w:ind w:right="236"/>
              <w:spacing w:after="0" w:line="148" w:lineRule="exact"/>
              <w:rPr>
                <w:sz w:val="20"/>
                <w:szCs w:val="20"/>
                <w:color w:val="auto"/>
              </w:rPr>
            </w:pPr>
            <w:r>
              <w:rPr>
                <w:rFonts w:ascii="Arial" w:cs="Arial" w:eastAsia="Arial" w:hAnsi="Arial"/>
                <w:sz w:val="13"/>
                <w:szCs w:val="13"/>
                <w:b w:val="1"/>
                <w:bCs w:val="1"/>
                <w:color w:val="auto"/>
              </w:rPr>
              <w:t>Tenant</w:t>
            </w:r>
          </w:p>
        </w:tc>
        <w:tc>
          <w:tcPr>
            <w:tcW w:w="40" w:type="dxa"/>
            <w:vAlign w:val="bottom"/>
          </w:tcPr>
          <w:p>
            <w:pPr>
              <w:spacing w:after="0"/>
              <w:rPr>
                <w:sz w:val="12"/>
                <w:szCs w:val="12"/>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73"/>
        </w:trPr>
        <w:tc>
          <w:tcPr>
            <w:tcW w:w="1280" w:type="dxa"/>
            <w:vAlign w:val="bottom"/>
            <w:gridSpan w:val="4"/>
          </w:tcPr>
          <w:p>
            <w:pPr>
              <w:spacing w:after="0"/>
              <w:rPr>
                <w:sz w:val="20"/>
                <w:szCs w:val="20"/>
                <w:color w:val="auto"/>
              </w:rPr>
            </w:pPr>
            <w:r>
              <w:rPr>
                <w:rFonts w:ascii="Arial" w:cs="Arial" w:eastAsia="Arial" w:hAnsi="Arial"/>
                <w:sz w:val="13"/>
                <w:szCs w:val="13"/>
                <w:b w:val="1"/>
                <w:bCs w:val="1"/>
                <w:color w:val="auto"/>
              </w:rPr>
              <w:t>Quarter</w:t>
            </w:r>
          </w:p>
        </w:tc>
        <w:tc>
          <w:tcPr>
            <w:tcW w:w="1840" w:type="dxa"/>
            <w:vAlign w:val="bottom"/>
            <w:gridSpan w:val="7"/>
          </w:tcPr>
          <w:p>
            <w:pPr>
              <w:spacing w:after="0"/>
              <w:rPr>
                <w:sz w:val="20"/>
                <w:szCs w:val="20"/>
                <w:color w:val="auto"/>
              </w:rPr>
            </w:pPr>
            <w:r>
              <w:rPr>
                <w:rFonts w:ascii="Arial" w:cs="Arial" w:eastAsia="Arial" w:hAnsi="Arial"/>
                <w:sz w:val="13"/>
                <w:szCs w:val="13"/>
                <w:b w:val="1"/>
                <w:bCs w:val="1"/>
                <w:color w:val="auto"/>
                <w:w w:val="97"/>
              </w:rPr>
              <w:t>Leases Signed Leases Signed</w:t>
            </w: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Signed</w:t>
            </w:r>
          </w:p>
        </w:tc>
        <w:tc>
          <w:tcPr>
            <w:tcW w:w="40" w:type="dxa"/>
            <w:vAlign w:val="bottom"/>
          </w:tcPr>
          <w:p>
            <w:pPr>
              <w:spacing w:after="0"/>
              <w:rPr>
                <w:sz w:val="15"/>
                <w:szCs w:val="15"/>
                <w:color w:val="auto"/>
              </w:rPr>
            </w:pPr>
          </w:p>
        </w:tc>
        <w:tc>
          <w:tcPr>
            <w:tcW w:w="740" w:type="dxa"/>
            <w:vAlign w:val="bottom"/>
            <w:gridSpan w:val="4"/>
          </w:tcPr>
          <w:p>
            <w:pPr>
              <w:ind w:left="40"/>
              <w:spacing w:after="0"/>
              <w:rPr>
                <w:sz w:val="20"/>
                <w:szCs w:val="20"/>
                <w:color w:val="auto"/>
              </w:rPr>
            </w:pPr>
            <w:r>
              <w:rPr>
                <w:rFonts w:ascii="Arial" w:cs="Arial" w:eastAsia="Arial" w:hAnsi="Arial"/>
                <w:sz w:val="13"/>
                <w:szCs w:val="13"/>
                <w:b w:val="1"/>
                <w:bCs w:val="1"/>
                <w:color w:val="auto"/>
              </w:rPr>
              <w:t>Per Sq. Ft.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w w:val="93"/>
              </w:rPr>
              <w:t>Per Sq. Ft.</w:t>
            </w:r>
          </w:p>
        </w:tc>
        <w:tc>
          <w:tcPr>
            <w:tcW w:w="4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Over Prior Rent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(5)</w:t>
            </w:r>
          </w:p>
        </w:tc>
        <w:tc>
          <w:tcPr>
            <w:tcW w:w="4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92"/>
              </w:rPr>
              <w:t>Improvements (6)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5"/>
              </w:rPr>
              <w:t>3rd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55%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183,428</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24.44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893,800</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190,135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3"/>
              </w:rPr>
              <w:t>2nd Quarter 2004</w:t>
            </w:r>
          </w:p>
        </w:tc>
        <w:tc>
          <w:tcPr>
            <w:tcW w:w="800" w:type="dxa"/>
            <w:vAlign w:val="bottom"/>
          </w:tcPr>
          <w:p>
            <w:pPr>
              <w:jc w:val="right"/>
              <w:spacing w:after="0"/>
              <w:rPr>
                <w:sz w:val="20"/>
                <w:szCs w:val="20"/>
                <w:color w:val="auto"/>
              </w:rPr>
            </w:pPr>
            <w:r>
              <w:rPr>
                <w:rFonts w:ascii="Arial" w:cs="Arial" w:eastAsia="Arial" w:hAnsi="Arial"/>
                <w:sz w:val="17"/>
                <w:szCs w:val="17"/>
                <w:color w:val="auto"/>
              </w:rPr>
              <w:t>52</w:t>
            </w: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auto"/>
                <w:w w:val="87"/>
              </w:rPr>
              <w:t>219,919</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20.83</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18.35</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544,693</w:t>
            </w:r>
          </w:p>
        </w:tc>
        <w:tc>
          <w:tcPr>
            <w:tcW w:w="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c>
          <w:tcPr>
            <w:tcW w:w="860" w:type="dxa"/>
            <w:vAlign w:val="bottom"/>
          </w:tcPr>
          <w:p>
            <w:pPr>
              <w:jc w:val="right"/>
              <w:spacing w:after="0"/>
              <w:rPr>
                <w:sz w:val="20"/>
                <w:szCs w:val="20"/>
                <w:color w:val="auto"/>
              </w:rPr>
            </w:pPr>
            <w:r>
              <w:rPr>
                <w:rFonts w:ascii="Arial" w:cs="Arial" w:eastAsia="Arial" w:hAnsi="Arial"/>
                <w:sz w:val="17"/>
                <w:szCs w:val="17"/>
                <w:color w:val="auto"/>
              </w:rPr>
              <w:t>5.3</w:t>
            </w: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529,924</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7"/>
              </w:rPr>
              <w:t>1st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102,220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252,272</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6"/>
              </w:rPr>
              <w:t>4th Quarter 2003</w:t>
            </w:r>
          </w:p>
        </w:tc>
        <w:tc>
          <w:tcPr>
            <w:tcW w:w="800" w:type="dxa"/>
            <w:vAlign w:val="bottom"/>
          </w:tcPr>
          <w:p>
            <w:pPr>
              <w:jc w:val="right"/>
              <w:spacing w:after="0"/>
              <w:rPr>
                <w:sz w:val="20"/>
                <w:szCs w:val="20"/>
                <w:color w:val="auto"/>
              </w:rPr>
            </w:pPr>
            <w:r>
              <w:rPr>
                <w:rFonts w:ascii="Arial" w:cs="Arial" w:eastAsia="Arial" w:hAnsi="Arial"/>
                <w:sz w:val="17"/>
                <w:szCs w:val="17"/>
                <w:color w:val="auto"/>
              </w:rPr>
              <w:t>40</w:t>
            </w: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auto"/>
                <w:w w:val="87"/>
              </w:rPr>
              <w:t>124,683</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26.95</w:t>
            </w:r>
          </w:p>
        </w:tc>
        <w:tc>
          <w:tcPr>
            <w:tcW w:w="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25.59</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169,950</w:t>
            </w:r>
          </w:p>
        </w:tc>
        <w:tc>
          <w:tcPr>
            <w:tcW w:w="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c>
          <w:tcPr>
            <w:tcW w:w="860" w:type="dxa"/>
            <w:vAlign w:val="bottom"/>
          </w:tcPr>
          <w:p>
            <w:pPr>
              <w:jc w:val="right"/>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47,000</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3"/>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54%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630,250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1,860,715</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837,059</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31"/>
        </w:trPr>
        <w:tc>
          <w:tcPr>
            <w:tcW w:w="940" w:type="dxa"/>
            <w:vAlign w:val="bottom"/>
            <w:gridSpan w:val="3"/>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2"/>
        </w:trPr>
        <w:tc>
          <w:tcPr>
            <w:tcW w:w="3120" w:type="dxa"/>
            <w:vAlign w:val="bottom"/>
            <w:gridSpan w:val="11"/>
          </w:tcPr>
          <w:p>
            <w:pPr>
              <w:spacing w:after="0"/>
              <w:rPr>
                <w:sz w:val="20"/>
                <w:szCs w:val="20"/>
                <w:color w:val="auto"/>
              </w:rPr>
            </w:pPr>
            <w:r>
              <w:rPr>
                <w:rFonts w:ascii="Arial" w:cs="Arial" w:eastAsia="Arial" w:hAnsi="Arial"/>
                <w:sz w:val="17"/>
                <w:szCs w:val="17"/>
                <w:b w:val="1"/>
                <w:bCs w:val="1"/>
                <w:color w:val="auto"/>
              </w:rPr>
              <w:t>New Lease Summary - Comparable (2)</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Arial" w:cs="Arial" w:eastAsia="Arial" w:hAnsi="Arial"/>
                <w:sz w:val="13"/>
                <w:szCs w:val="13"/>
                <w:b w:val="1"/>
                <w:bCs w:val="1"/>
                <w:color w:val="auto"/>
                <w:w w:val="99"/>
              </w:rPr>
              <w:t>Contractual</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Cash Basis</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Straight-lined</w:t>
            </w: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9"/>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19"/>
              <w:spacing w:after="0" w:line="148"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2"/>
                <w:szCs w:val="12"/>
                <w:color w:val="auto"/>
              </w:rPr>
            </w:pPr>
          </w:p>
        </w:tc>
        <w:tc>
          <w:tcPr>
            <w:tcW w:w="1000" w:type="dxa"/>
            <w:vAlign w:val="bottom"/>
            <w:gridSpan w:val="5"/>
          </w:tcPr>
          <w:p>
            <w:pPr>
              <w:ind w:left="100"/>
              <w:spacing w:after="0" w:line="148" w:lineRule="exact"/>
              <w:rPr>
                <w:sz w:val="20"/>
                <w:szCs w:val="20"/>
                <w:color w:val="auto"/>
              </w:rPr>
            </w:pPr>
            <w:r>
              <w:rPr>
                <w:rFonts w:ascii="Arial" w:cs="Arial" w:eastAsia="Arial" w:hAnsi="Arial"/>
                <w:sz w:val="13"/>
                <w:szCs w:val="13"/>
                <w:b w:val="1"/>
                <w:bCs w:val="1"/>
                <w:color w:val="auto"/>
              </w:rPr>
              <w:t>% of Total</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right"/>
              <w:spacing w:after="0" w:line="148" w:lineRule="exact"/>
              <w:rPr>
                <w:sz w:val="20"/>
                <w:szCs w:val="20"/>
                <w:color w:val="auto"/>
              </w:rPr>
            </w:pPr>
            <w:r>
              <w:rPr>
                <w:rFonts w:ascii="Arial" w:cs="Arial" w:eastAsia="Arial" w:hAnsi="Arial"/>
                <w:sz w:val="13"/>
                <w:szCs w:val="13"/>
                <w:b w:val="1"/>
                <w:bCs w:val="1"/>
                <w:color w:val="auto"/>
              </w:rPr>
              <w:t>Rent (3)  Prior Rent (4)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Annual</w:t>
            </w:r>
          </w:p>
        </w:tc>
        <w:tc>
          <w:tcPr>
            <w:tcW w:w="1120" w:type="dxa"/>
            <w:vAlign w:val="bottom"/>
            <w:gridSpan w:val="2"/>
          </w:tcPr>
          <w:p>
            <w:pPr>
              <w:ind w:left="140"/>
              <w:spacing w:after="0" w:line="148" w:lineRule="exact"/>
              <w:rPr>
                <w:sz w:val="20"/>
                <w:szCs w:val="20"/>
                <w:color w:val="auto"/>
              </w:rPr>
            </w:pPr>
            <w:r>
              <w:rPr>
                <w:rFonts w:ascii="Arial" w:cs="Arial" w:eastAsia="Arial" w:hAnsi="Arial"/>
                <w:sz w:val="13"/>
                <w:szCs w:val="13"/>
                <w:b w:val="1"/>
                <w:bCs w:val="1"/>
                <w:color w:val="auto"/>
              </w:rPr>
              <w:t>% Increase</w:t>
            </w:r>
          </w:p>
        </w:tc>
        <w:tc>
          <w:tcPr>
            <w:tcW w:w="118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1"/>
              </w:rPr>
              <w:t>Basis% Increase</w:t>
            </w: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920" w:type="dxa"/>
            <w:vAlign w:val="bottom"/>
          </w:tcPr>
          <w:p>
            <w:pPr>
              <w:jc w:val="right"/>
              <w:ind w:right="236"/>
              <w:spacing w:after="0" w:line="148" w:lineRule="exact"/>
              <w:rPr>
                <w:sz w:val="20"/>
                <w:szCs w:val="20"/>
                <w:color w:val="auto"/>
              </w:rPr>
            </w:pPr>
            <w:r>
              <w:rPr>
                <w:rFonts w:ascii="Arial" w:cs="Arial" w:eastAsia="Arial" w:hAnsi="Arial"/>
                <w:sz w:val="13"/>
                <w:szCs w:val="13"/>
                <w:b w:val="1"/>
                <w:bCs w:val="1"/>
                <w:color w:val="auto"/>
              </w:rPr>
              <w:t>Tenant</w:t>
            </w:r>
          </w:p>
        </w:tc>
        <w:tc>
          <w:tcPr>
            <w:tcW w:w="40" w:type="dxa"/>
            <w:vAlign w:val="bottom"/>
          </w:tcPr>
          <w:p>
            <w:pPr>
              <w:spacing w:after="0"/>
              <w:rPr>
                <w:sz w:val="12"/>
                <w:szCs w:val="12"/>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73"/>
        </w:trPr>
        <w:tc>
          <w:tcPr>
            <w:tcW w:w="1280" w:type="dxa"/>
            <w:vAlign w:val="bottom"/>
            <w:gridSpan w:val="4"/>
          </w:tcPr>
          <w:p>
            <w:pPr>
              <w:spacing w:after="0"/>
              <w:rPr>
                <w:sz w:val="20"/>
                <w:szCs w:val="20"/>
                <w:color w:val="auto"/>
              </w:rPr>
            </w:pPr>
            <w:r>
              <w:rPr>
                <w:rFonts w:ascii="Arial" w:cs="Arial" w:eastAsia="Arial" w:hAnsi="Arial"/>
                <w:sz w:val="13"/>
                <w:szCs w:val="13"/>
                <w:b w:val="1"/>
                <w:bCs w:val="1"/>
                <w:color w:val="auto"/>
              </w:rPr>
              <w:t>Quarter</w:t>
            </w:r>
          </w:p>
        </w:tc>
        <w:tc>
          <w:tcPr>
            <w:tcW w:w="1840" w:type="dxa"/>
            <w:vAlign w:val="bottom"/>
            <w:gridSpan w:val="7"/>
          </w:tcPr>
          <w:p>
            <w:pPr>
              <w:spacing w:after="0"/>
              <w:rPr>
                <w:sz w:val="20"/>
                <w:szCs w:val="20"/>
                <w:color w:val="auto"/>
              </w:rPr>
            </w:pPr>
            <w:r>
              <w:rPr>
                <w:rFonts w:ascii="Arial" w:cs="Arial" w:eastAsia="Arial" w:hAnsi="Arial"/>
                <w:sz w:val="13"/>
                <w:szCs w:val="13"/>
                <w:b w:val="1"/>
                <w:bCs w:val="1"/>
                <w:color w:val="auto"/>
                <w:w w:val="97"/>
              </w:rPr>
              <w:t>Leases Signed Leases Signed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4"/>
              </w:rPr>
              <w:t>GLA Signed</w:t>
            </w:r>
          </w:p>
        </w:tc>
        <w:tc>
          <w:tcPr>
            <w:tcW w:w="40" w:type="dxa"/>
            <w:vAlign w:val="bottom"/>
          </w:tcPr>
          <w:p>
            <w:pPr>
              <w:spacing w:after="0"/>
              <w:rPr>
                <w:sz w:val="15"/>
                <w:szCs w:val="15"/>
                <w:color w:val="auto"/>
              </w:rPr>
            </w:pPr>
          </w:p>
        </w:tc>
        <w:tc>
          <w:tcPr>
            <w:tcW w:w="740" w:type="dxa"/>
            <w:vAlign w:val="bottom"/>
            <w:gridSpan w:val="4"/>
          </w:tcPr>
          <w:p>
            <w:pPr>
              <w:ind w:left="40"/>
              <w:spacing w:after="0"/>
              <w:rPr>
                <w:sz w:val="20"/>
                <w:szCs w:val="20"/>
                <w:color w:val="auto"/>
              </w:rPr>
            </w:pPr>
            <w:r>
              <w:rPr>
                <w:rFonts w:ascii="Arial" w:cs="Arial" w:eastAsia="Arial" w:hAnsi="Arial"/>
                <w:sz w:val="13"/>
                <w:szCs w:val="13"/>
                <w:b w:val="1"/>
                <w:bCs w:val="1"/>
                <w:color w:val="auto"/>
              </w:rPr>
              <w:t>Per Sq. Ft.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w w:val="93"/>
              </w:rPr>
              <w:t>Per Sq. Ft.</w:t>
            </w:r>
          </w:p>
        </w:tc>
        <w:tc>
          <w:tcPr>
            <w:tcW w:w="4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Over Prior Rent</w:t>
            </w:r>
          </w:p>
        </w:tc>
        <w:tc>
          <w:tcPr>
            <w:tcW w:w="1920" w:type="dxa"/>
            <w:vAlign w:val="bottom"/>
            <w:gridSpan w:val="4"/>
          </w:tcPr>
          <w:p>
            <w:pPr>
              <w:jc w:val="right"/>
              <w:spacing w:after="0"/>
              <w:rPr>
                <w:sz w:val="20"/>
                <w:szCs w:val="20"/>
                <w:color w:val="auto"/>
              </w:rPr>
            </w:pPr>
            <w:r>
              <w:rPr>
                <w:rFonts w:ascii="Arial" w:cs="Arial" w:eastAsia="Arial" w:hAnsi="Arial"/>
                <w:sz w:val="13"/>
                <w:szCs w:val="13"/>
                <w:b w:val="1"/>
                <w:bCs w:val="1"/>
                <w:color w:val="auto"/>
                <w:w w:val="93"/>
              </w:rPr>
              <w:t>Lease Term (5) Improvements (6)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5"/>
              </w:rPr>
              <w:t>3rd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45%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225,497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791,958</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5,302,465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3"/>
              </w:rPr>
              <w:t>2nd Quarter 2004</w:t>
            </w:r>
          </w:p>
        </w:tc>
        <w:tc>
          <w:tcPr>
            <w:tcW w:w="800" w:type="dxa"/>
            <w:vAlign w:val="bottom"/>
          </w:tcPr>
          <w:p>
            <w:pPr>
              <w:jc w:val="right"/>
              <w:spacing w:after="0"/>
              <w:rPr>
                <w:sz w:val="20"/>
                <w:szCs w:val="20"/>
                <w:color w:val="auto"/>
              </w:rPr>
            </w:pPr>
            <w:r>
              <w:rPr>
                <w:rFonts w:ascii="Arial" w:cs="Arial" w:eastAsia="Arial" w:hAnsi="Arial"/>
                <w:sz w:val="17"/>
                <w:szCs w:val="17"/>
                <w:color w:val="auto"/>
              </w:rPr>
              <w:t>30</w:t>
            </w: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auto"/>
                <w:w w:val="87"/>
              </w:rPr>
              <w:t>261,186</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19.10</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16.74</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617,736</w:t>
            </w:r>
          </w:p>
        </w:tc>
        <w:tc>
          <w:tcPr>
            <w:tcW w:w="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c>
          <w:tcPr>
            <w:tcW w:w="860" w:type="dxa"/>
            <w:vAlign w:val="bottom"/>
          </w:tcPr>
          <w:p>
            <w:pPr>
              <w:jc w:val="right"/>
              <w:spacing w:after="0"/>
              <w:rPr>
                <w:sz w:val="20"/>
                <w:szCs w:val="20"/>
                <w:color w:val="auto"/>
              </w:rPr>
            </w:pPr>
            <w:r>
              <w:rPr>
                <w:rFonts w:ascii="Arial" w:cs="Arial" w:eastAsia="Arial" w:hAnsi="Arial"/>
                <w:sz w:val="17"/>
                <w:szCs w:val="17"/>
                <w:color w:val="auto"/>
              </w:rPr>
              <w:t>9.5</w:t>
            </w: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3,694,856</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7"/>
              </w:rPr>
              <w:t>1st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57%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272,835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948,063</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2,754,080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6"/>
              </w:rPr>
              <w:t>4th Quarter 2003</w:t>
            </w:r>
          </w:p>
        </w:tc>
        <w:tc>
          <w:tcPr>
            <w:tcW w:w="800" w:type="dxa"/>
            <w:vAlign w:val="bottom"/>
          </w:tcPr>
          <w:p>
            <w:pPr>
              <w:jc w:val="right"/>
              <w:spacing w:after="0"/>
              <w:rPr>
                <w:sz w:val="20"/>
                <w:szCs w:val="20"/>
                <w:color w:val="auto"/>
              </w:rPr>
            </w:pPr>
            <w:r>
              <w:rPr>
                <w:rFonts w:ascii="Arial" w:cs="Arial" w:eastAsia="Arial" w:hAnsi="Arial"/>
                <w:sz w:val="17"/>
                <w:szCs w:val="17"/>
                <w:color w:val="auto"/>
              </w:rPr>
              <w:t>33</w:t>
            </w: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auto"/>
                <w:w w:val="87"/>
              </w:rPr>
              <w:t>124,333</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23.90</w:t>
            </w:r>
          </w:p>
        </w:tc>
        <w:tc>
          <w:tcPr>
            <w:tcW w:w="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18.88</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623,990</w:t>
            </w:r>
          </w:p>
        </w:tc>
        <w:tc>
          <w:tcPr>
            <w:tcW w:w="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c>
          <w:tcPr>
            <w:tcW w:w="860" w:type="dxa"/>
            <w:vAlign w:val="bottom"/>
          </w:tcPr>
          <w:p>
            <w:pPr>
              <w:jc w:val="right"/>
              <w:spacing w:after="0"/>
              <w:rPr>
                <w:sz w:val="20"/>
                <w:szCs w:val="20"/>
                <w:color w:val="auto"/>
              </w:rPr>
            </w:pPr>
            <w:r>
              <w:rPr>
                <w:rFonts w:ascii="Arial" w:cs="Arial" w:eastAsia="Arial" w:hAnsi="Arial"/>
                <w:sz w:val="17"/>
                <w:szCs w:val="17"/>
                <w:color w:val="auto"/>
              </w:rPr>
              <w:t>7.8</w:t>
            </w:r>
          </w:p>
        </w:tc>
        <w:tc>
          <w:tcPr>
            <w:tcW w:w="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3,700,718</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3"/>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46%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883,851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2,981,747</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15,452,119</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130"/>
        </w:trPr>
        <w:tc>
          <w:tcPr>
            <w:tcW w:w="940" w:type="dxa"/>
            <w:vAlign w:val="bottom"/>
            <w:gridSpan w:val="3"/>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2"/>
        </w:trPr>
        <w:tc>
          <w:tcPr>
            <w:tcW w:w="3120" w:type="dxa"/>
            <w:vAlign w:val="bottom"/>
            <w:gridSpan w:val="11"/>
          </w:tcPr>
          <w:p>
            <w:pPr>
              <w:spacing w:after="0"/>
              <w:rPr>
                <w:sz w:val="20"/>
                <w:szCs w:val="20"/>
                <w:color w:val="auto"/>
              </w:rPr>
            </w:pPr>
            <w:r>
              <w:rPr>
                <w:rFonts w:ascii="Arial" w:cs="Arial" w:eastAsia="Arial" w:hAnsi="Arial"/>
                <w:sz w:val="17"/>
                <w:szCs w:val="17"/>
                <w:b w:val="1"/>
                <w:bCs w:val="1"/>
                <w:color w:val="auto"/>
                <w:w w:val="98"/>
              </w:rPr>
              <w:t>Total Lease Summary - Comparable (2)</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Arial" w:cs="Arial" w:eastAsia="Arial" w:hAnsi="Arial"/>
                <w:sz w:val="13"/>
                <w:szCs w:val="13"/>
                <w:b w:val="1"/>
                <w:bCs w:val="1"/>
                <w:color w:val="auto"/>
                <w:w w:val="99"/>
              </w:rPr>
              <w:t>Contractual</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Cash Basis</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Straight-lined</w:t>
            </w: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9"/>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2"/>
                <w:szCs w:val="12"/>
                <w:color w:val="auto"/>
              </w:rPr>
            </w:pPr>
          </w:p>
        </w:tc>
        <w:tc>
          <w:tcPr>
            <w:tcW w:w="1000" w:type="dxa"/>
            <w:vAlign w:val="bottom"/>
            <w:gridSpan w:val="5"/>
          </w:tcPr>
          <w:p>
            <w:pPr>
              <w:ind w:left="100"/>
              <w:spacing w:after="0" w:line="148" w:lineRule="exact"/>
              <w:rPr>
                <w:sz w:val="20"/>
                <w:szCs w:val="20"/>
                <w:color w:val="auto"/>
              </w:rPr>
            </w:pPr>
            <w:r>
              <w:rPr>
                <w:rFonts w:ascii="Arial" w:cs="Arial" w:eastAsia="Arial" w:hAnsi="Arial"/>
                <w:sz w:val="13"/>
                <w:szCs w:val="13"/>
                <w:b w:val="1"/>
                <w:bCs w:val="1"/>
                <w:color w:val="auto"/>
              </w:rPr>
              <w:t>% of Total</w:t>
            </w:r>
          </w:p>
        </w:tc>
        <w:tc>
          <w:tcPr>
            <w:tcW w:w="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GLA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right"/>
              <w:spacing w:after="0" w:line="148" w:lineRule="exact"/>
              <w:rPr>
                <w:sz w:val="20"/>
                <w:szCs w:val="20"/>
                <w:color w:val="auto"/>
              </w:rPr>
            </w:pPr>
            <w:r>
              <w:rPr>
                <w:rFonts w:ascii="Arial" w:cs="Arial" w:eastAsia="Arial" w:hAnsi="Arial"/>
                <w:sz w:val="13"/>
                <w:szCs w:val="13"/>
                <w:b w:val="1"/>
                <w:bCs w:val="1"/>
                <w:color w:val="auto"/>
              </w:rPr>
              <w:t>Rent (3)  Prior Rent (4)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Annual</w:t>
            </w:r>
          </w:p>
        </w:tc>
        <w:tc>
          <w:tcPr>
            <w:tcW w:w="1120" w:type="dxa"/>
            <w:vAlign w:val="bottom"/>
            <w:gridSpan w:val="2"/>
          </w:tcPr>
          <w:p>
            <w:pPr>
              <w:ind w:left="140"/>
              <w:spacing w:after="0" w:line="148" w:lineRule="exact"/>
              <w:rPr>
                <w:sz w:val="20"/>
                <w:szCs w:val="20"/>
                <w:color w:val="auto"/>
              </w:rPr>
            </w:pPr>
            <w:r>
              <w:rPr>
                <w:rFonts w:ascii="Arial" w:cs="Arial" w:eastAsia="Arial" w:hAnsi="Arial"/>
                <w:sz w:val="13"/>
                <w:szCs w:val="13"/>
                <w:b w:val="1"/>
                <w:bCs w:val="1"/>
                <w:color w:val="auto"/>
              </w:rPr>
              <w:t>% Increase</w:t>
            </w:r>
          </w:p>
        </w:tc>
        <w:tc>
          <w:tcPr>
            <w:tcW w:w="118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2"/>
              </w:rPr>
              <w:t>Basis % Increase</w:t>
            </w: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89"/>
              </w:rPr>
              <w:t>Average Lease</w:t>
            </w:r>
          </w:p>
        </w:tc>
        <w:tc>
          <w:tcPr>
            <w:tcW w:w="100" w:type="dxa"/>
            <w:vAlign w:val="bottom"/>
          </w:tcPr>
          <w:p>
            <w:pPr>
              <w:spacing w:after="0"/>
              <w:rPr>
                <w:sz w:val="12"/>
                <w:szCs w:val="12"/>
                <w:color w:val="auto"/>
              </w:rPr>
            </w:pPr>
          </w:p>
        </w:tc>
        <w:tc>
          <w:tcPr>
            <w:tcW w:w="920" w:type="dxa"/>
            <w:vAlign w:val="bottom"/>
          </w:tcPr>
          <w:p>
            <w:pPr>
              <w:jc w:val="right"/>
              <w:ind w:right="236"/>
              <w:spacing w:after="0" w:line="148" w:lineRule="exact"/>
              <w:rPr>
                <w:sz w:val="20"/>
                <w:szCs w:val="20"/>
                <w:color w:val="auto"/>
              </w:rPr>
            </w:pPr>
            <w:r>
              <w:rPr>
                <w:rFonts w:ascii="Arial" w:cs="Arial" w:eastAsia="Arial" w:hAnsi="Arial"/>
                <w:sz w:val="13"/>
                <w:szCs w:val="13"/>
                <w:b w:val="1"/>
                <w:bCs w:val="1"/>
                <w:color w:val="auto"/>
              </w:rPr>
              <w:t>Tenant</w:t>
            </w:r>
          </w:p>
        </w:tc>
        <w:tc>
          <w:tcPr>
            <w:tcW w:w="40" w:type="dxa"/>
            <w:vAlign w:val="bottom"/>
          </w:tcPr>
          <w:p>
            <w:pPr>
              <w:spacing w:after="0"/>
              <w:rPr>
                <w:sz w:val="12"/>
                <w:szCs w:val="12"/>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73"/>
        </w:trPr>
        <w:tc>
          <w:tcPr>
            <w:tcW w:w="1280" w:type="dxa"/>
            <w:vAlign w:val="bottom"/>
            <w:gridSpan w:val="4"/>
          </w:tcPr>
          <w:p>
            <w:pPr>
              <w:spacing w:after="0"/>
              <w:rPr>
                <w:sz w:val="20"/>
                <w:szCs w:val="20"/>
                <w:color w:val="auto"/>
              </w:rPr>
            </w:pPr>
            <w:r>
              <w:rPr>
                <w:rFonts w:ascii="Arial" w:cs="Arial" w:eastAsia="Arial" w:hAnsi="Arial"/>
                <w:sz w:val="13"/>
                <w:szCs w:val="13"/>
                <w:b w:val="1"/>
                <w:bCs w:val="1"/>
                <w:color w:val="auto"/>
              </w:rPr>
              <w:t>Quarter</w:t>
            </w:r>
          </w:p>
        </w:tc>
        <w:tc>
          <w:tcPr>
            <w:tcW w:w="1840" w:type="dxa"/>
            <w:vAlign w:val="bottom"/>
            <w:gridSpan w:val="7"/>
          </w:tcPr>
          <w:p>
            <w:pPr>
              <w:spacing w:after="0"/>
              <w:rPr>
                <w:sz w:val="20"/>
                <w:szCs w:val="20"/>
                <w:color w:val="auto"/>
              </w:rPr>
            </w:pPr>
            <w:r>
              <w:rPr>
                <w:rFonts w:ascii="Arial" w:cs="Arial" w:eastAsia="Arial" w:hAnsi="Arial"/>
                <w:sz w:val="13"/>
                <w:szCs w:val="13"/>
                <w:b w:val="1"/>
                <w:bCs w:val="1"/>
                <w:color w:val="auto"/>
                <w:w w:val="97"/>
              </w:rPr>
              <w:t>Leases Signed Leases Signed</w:t>
            </w: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Signed</w:t>
            </w:r>
          </w:p>
        </w:tc>
        <w:tc>
          <w:tcPr>
            <w:tcW w:w="40" w:type="dxa"/>
            <w:vAlign w:val="bottom"/>
          </w:tcPr>
          <w:p>
            <w:pPr>
              <w:spacing w:after="0"/>
              <w:rPr>
                <w:sz w:val="15"/>
                <w:szCs w:val="15"/>
                <w:color w:val="auto"/>
              </w:rPr>
            </w:pPr>
          </w:p>
        </w:tc>
        <w:tc>
          <w:tcPr>
            <w:tcW w:w="740" w:type="dxa"/>
            <w:vAlign w:val="bottom"/>
            <w:gridSpan w:val="4"/>
          </w:tcPr>
          <w:p>
            <w:pPr>
              <w:ind w:left="40"/>
              <w:spacing w:after="0"/>
              <w:rPr>
                <w:sz w:val="20"/>
                <w:szCs w:val="20"/>
                <w:color w:val="auto"/>
              </w:rPr>
            </w:pPr>
            <w:r>
              <w:rPr>
                <w:rFonts w:ascii="Arial" w:cs="Arial" w:eastAsia="Arial" w:hAnsi="Arial"/>
                <w:sz w:val="13"/>
                <w:szCs w:val="13"/>
                <w:b w:val="1"/>
                <w:bCs w:val="1"/>
                <w:color w:val="auto"/>
              </w:rPr>
              <w:t>Per Sq. Ft.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w w:val="93"/>
              </w:rPr>
              <w:t>Per Sq. Ft.</w:t>
            </w:r>
          </w:p>
        </w:tc>
        <w:tc>
          <w:tcPr>
            <w:tcW w:w="4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Over Prior Rent</w:t>
            </w: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Term (5)</w:t>
            </w: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92"/>
              </w:rPr>
              <w:t>Improvements (6)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5"/>
              </w:rPr>
              <w:t>3rd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408,925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1,685,758</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5,492,600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3"/>
              </w:rPr>
              <w:t>2nd Quarter 2004</w:t>
            </w:r>
          </w:p>
        </w:tc>
        <w:tc>
          <w:tcPr>
            <w:tcW w:w="800" w:type="dxa"/>
            <w:vAlign w:val="bottom"/>
          </w:tcPr>
          <w:p>
            <w:pPr>
              <w:jc w:val="right"/>
              <w:spacing w:after="0"/>
              <w:rPr>
                <w:sz w:val="20"/>
                <w:szCs w:val="20"/>
                <w:color w:val="auto"/>
              </w:rPr>
            </w:pPr>
            <w:r>
              <w:rPr>
                <w:rFonts w:ascii="Arial" w:cs="Arial" w:eastAsia="Arial" w:hAnsi="Arial"/>
                <w:sz w:val="17"/>
                <w:szCs w:val="17"/>
                <w:color w:val="auto"/>
              </w:rPr>
              <w:t>82</w:t>
            </w: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auto"/>
                <w:w w:val="87"/>
              </w:rPr>
              <w:t>481,105</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19.89</w:t>
            </w: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17.47</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1,162,429</w:t>
            </w:r>
          </w:p>
        </w:tc>
        <w:tc>
          <w:tcPr>
            <w:tcW w:w="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c>
          <w:tcPr>
            <w:tcW w:w="860" w:type="dxa"/>
            <w:vAlign w:val="bottom"/>
          </w:tcPr>
          <w:p>
            <w:pPr>
              <w:jc w:val="right"/>
              <w:spacing w:after="0"/>
              <w:rPr>
                <w:sz w:val="20"/>
                <w:szCs w:val="20"/>
                <w:color w:val="auto"/>
              </w:rPr>
            </w:pPr>
            <w:r>
              <w:rPr>
                <w:rFonts w:ascii="Arial" w:cs="Arial" w:eastAsia="Arial" w:hAnsi="Arial"/>
                <w:sz w:val="17"/>
                <w:szCs w:val="17"/>
                <w:color w:val="auto"/>
              </w:rPr>
              <w:t>7.5</w:t>
            </w: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4,224,780</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7"/>
              </w:rPr>
              <w:t>1st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375,055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1,200,335</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2,824,080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6"/>
              </w:rPr>
              <w:t>4th Quarter 2003</w:t>
            </w:r>
          </w:p>
        </w:tc>
        <w:tc>
          <w:tcPr>
            <w:tcW w:w="800" w:type="dxa"/>
            <w:vAlign w:val="bottom"/>
          </w:tcPr>
          <w:p>
            <w:pPr>
              <w:jc w:val="right"/>
              <w:spacing w:after="0"/>
              <w:rPr>
                <w:sz w:val="20"/>
                <w:szCs w:val="20"/>
                <w:color w:val="auto"/>
              </w:rPr>
            </w:pPr>
            <w:r>
              <w:rPr>
                <w:rFonts w:ascii="Arial" w:cs="Arial" w:eastAsia="Arial" w:hAnsi="Arial"/>
                <w:sz w:val="17"/>
                <w:szCs w:val="17"/>
                <w:color w:val="auto"/>
              </w:rPr>
              <w:t>73</w:t>
            </w: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auto"/>
                <w:w w:val="87"/>
              </w:rPr>
              <w:t>249,016</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25.43</w:t>
            </w:r>
          </w:p>
        </w:tc>
        <w:tc>
          <w:tcPr>
            <w:tcW w:w="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22.24</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793,940</w:t>
            </w:r>
          </w:p>
        </w:tc>
        <w:tc>
          <w:tcPr>
            <w:tcW w:w="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c>
          <w:tcPr>
            <w:tcW w:w="860" w:type="dxa"/>
            <w:vAlign w:val="bottom"/>
          </w:tcPr>
          <w:p>
            <w:pPr>
              <w:jc w:val="right"/>
              <w:spacing w:after="0"/>
              <w:rPr>
                <w:sz w:val="20"/>
                <w:szCs w:val="20"/>
                <w:color w:val="auto"/>
              </w:rPr>
            </w:pPr>
            <w:r>
              <w:rPr>
                <w:rFonts w:ascii="Arial" w:cs="Arial" w:eastAsia="Arial" w:hAnsi="Arial"/>
                <w:sz w:val="17"/>
                <w:szCs w:val="17"/>
                <w:color w:val="auto"/>
              </w:rPr>
              <w:t>6.2</w:t>
            </w:r>
          </w:p>
        </w:tc>
        <w:tc>
          <w:tcPr>
            <w:tcW w:w="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3,747,718</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15.05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3"/>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74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100% 1,514,101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4,842,462</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16,289,178</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-3808095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-3808095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-3808095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-3808095</wp:posOffset>
            </wp:positionV>
            <wp:extent cx="381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-3808095</wp:posOffset>
            </wp:positionV>
            <wp:extent cx="534162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41620" cy="2984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-1989455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-1989455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-1989455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-1989455</wp:posOffset>
            </wp:positionV>
            <wp:extent cx="381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-1989455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-1989455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-1989455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-1989455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-1989455</wp:posOffset>
            </wp:positionV>
            <wp:extent cx="2095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-1989455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-1989455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-1989455</wp:posOffset>
            </wp:positionV>
            <wp:extent cx="2095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-1989455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-1989455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-1989455</wp:posOffset>
            </wp:positionV>
            <wp:extent cx="2095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-1989455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-1989455</wp:posOffset>
            </wp:positionV>
            <wp:extent cx="381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-1989455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-1989455</wp:posOffset>
            </wp:positionV>
            <wp:extent cx="381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-1989455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-1989455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6102985</wp:posOffset>
            </wp:positionH>
            <wp:positionV relativeFrom="paragraph">
              <wp:posOffset>-1989455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6748780</wp:posOffset>
            </wp:positionH>
            <wp:positionV relativeFrom="paragraph">
              <wp:posOffset>-1989455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-1989455</wp:posOffset>
            </wp:positionV>
            <wp:extent cx="2095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-1989455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-1989455</wp:posOffset>
            </wp:positionV>
            <wp:extent cx="571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15" cy="29845"/>
                    </a:xfrm>
                    <a:prstGeom prst="rect">
                      <a:avLst/>
                    </a:prstGeom>
                    <a:noFill/>
                  </pic:spPr>
                </pic:pic>
              </a:graphicData>
            </a:graphic>
          </wp:anchor>
        </w:drawing>
        <w:drawing>
          <wp:anchor simplePos="0" relativeHeight="251657728" behindDoc="1" locked="0" layoutInCell="0" allowOverlap="1">
            <wp:simplePos x="0" y="0"/>
            <wp:positionH relativeFrom="column">
              <wp:posOffset>6868160</wp:posOffset>
            </wp:positionH>
            <wp:positionV relativeFrom="paragraph">
              <wp:posOffset>-1989455</wp:posOffset>
            </wp:positionV>
            <wp:extent cx="2095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-171450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-171450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-171450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-171450</wp:posOffset>
            </wp:positionV>
            <wp:extent cx="381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-171450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-171450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-171450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-171450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-171450</wp:posOffset>
            </wp:positionV>
            <wp:extent cx="2095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-171450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-171450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-171450</wp:posOffset>
            </wp:positionV>
            <wp:extent cx="2095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-171450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-171450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-171450</wp:posOffset>
            </wp:positionV>
            <wp:extent cx="2095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-171450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-171450</wp:posOffset>
            </wp:positionV>
            <wp:extent cx="381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-171450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-171450</wp:posOffset>
            </wp:positionV>
            <wp:extent cx="381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-171450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-171450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6102985</wp:posOffset>
            </wp:positionH>
            <wp:positionV relativeFrom="paragraph">
              <wp:posOffset>-171450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6748780</wp:posOffset>
            </wp:positionH>
            <wp:positionV relativeFrom="paragraph">
              <wp:posOffset>-171450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-171450</wp:posOffset>
            </wp:positionV>
            <wp:extent cx="2095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-171450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-171450</wp:posOffset>
            </wp:positionV>
            <wp:extent cx="571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15" cy="29845"/>
                    </a:xfrm>
                    <a:prstGeom prst="rect">
                      <a:avLst/>
                    </a:prstGeom>
                    <a:noFill/>
                  </pic:spPr>
                </pic:pic>
              </a:graphicData>
            </a:graphic>
          </wp:anchor>
        </w:drawing>
        <w:drawing>
          <wp:anchor simplePos="0" relativeHeight="251657728" behindDoc="1" locked="0" layoutInCell="0" allowOverlap="1">
            <wp:simplePos x="0" y="0"/>
            <wp:positionH relativeFrom="column">
              <wp:posOffset>6868160</wp:posOffset>
            </wp:positionH>
            <wp:positionV relativeFrom="paragraph">
              <wp:posOffset>-171450</wp:posOffset>
            </wp:positionV>
            <wp:extent cx="2095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Comparable leases represent those leases signed on spaces for which there was a former tenant.</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paid by the prior tenant in the final 12 months of the term.</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All other leases are categorized as new.</w:t>
      </w:r>
    </w:p>
    <w:p>
      <w:pPr>
        <w:sectPr>
          <w:pgSz w:w="11900" w:h="16838" w:orient="portrait"/>
          <w:cols w:equalWidth="0" w:num="1">
            <w:col w:w="11520"/>
          </w:cols>
          <w:pgMar w:left="240" w:top="456" w:right="1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 - Non-Comparable Basis (cash, non-straight-lined basis)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Non-Comparable (2)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w w:val="94"/>
              </w:rPr>
              <w:t>Contractual</w:t>
            </w:r>
          </w:p>
        </w:tc>
        <w:tc>
          <w:tcPr>
            <w:tcW w:w="4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4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89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60" w:type="dxa"/>
            <w:vAlign w:val="bottom"/>
            <w:gridSpan w:val="3"/>
          </w:tcPr>
          <w:p>
            <w:pPr>
              <w:jc w:val="center"/>
              <w:ind w:right="480"/>
              <w:spacing w:after="0" w:line="148" w:lineRule="exact"/>
              <w:rPr>
                <w:sz w:val="20"/>
                <w:szCs w:val="20"/>
                <w:color w:val="auto"/>
              </w:rPr>
            </w:pPr>
            <w:r>
              <w:rPr>
                <w:rFonts w:ascii="Arial" w:cs="Arial" w:eastAsia="Arial" w:hAnsi="Arial"/>
                <w:sz w:val="13"/>
                <w:szCs w:val="13"/>
                <w:b w:val="1"/>
                <w:bCs w:val="1"/>
                <w:color w:val="auto"/>
                <w:w w:val="95"/>
              </w:rPr>
              <w:t>Number of</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w w:val="94"/>
              </w:rPr>
              <w:t>Rent (3)</w:t>
            </w:r>
          </w:p>
        </w:tc>
        <w:tc>
          <w:tcPr>
            <w:tcW w:w="44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Average</w:t>
            </w:r>
          </w:p>
        </w:tc>
        <w:tc>
          <w:tcPr>
            <w:tcW w:w="46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890" w:type="dxa"/>
            <w:vAlign w:val="bottom"/>
          </w:tcPr>
          <w:p>
            <w:pPr>
              <w:jc w:val="right"/>
              <w:ind w:right="216"/>
              <w:spacing w:after="0" w:line="148" w:lineRule="exact"/>
              <w:rPr>
                <w:sz w:val="20"/>
                <w:szCs w:val="20"/>
                <w:color w:val="auto"/>
              </w:rPr>
            </w:pPr>
            <w:r>
              <w:rPr>
                <w:rFonts w:ascii="Arial" w:cs="Arial" w:eastAsia="Arial" w:hAnsi="Arial"/>
                <w:sz w:val="13"/>
                <w:szCs w:val="13"/>
                <w:b w:val="1"/>
                <w:bCs w:val="1"/>
                <w:color w:val="auto"/>
              </w:rPr>
              <w:t>Tenant</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w w:val="94"/>
              </w:rPr>
              <w:t>Improvements</w:t>
            </w:r>
          </w:p>
        </w:tc>
        <w:tc>
          <w:tcPr>
            <w:tcW w:w="0" w:type="dxa"/>
            <w:vAlign w:val="bottom"/>
          </w:tcPr>
          <w:p>
            <w:pPr>
              <w:spacing w:after="0"/>
              <w:rPr>
                <w:sz w:val="1"/>
                <w:szCs w:val="1"/>
                <w:color w:val="auto"/>
              </w:rPr>
            </w:pPr>
          </w:p>
        </w:tc>
      </w:tr>
      <w:tr>
        <w:trPr>
          <w:trHeight w:val="173"/>
        </w:trPr>
        <w:tc>
          <w:tcPr>
            <w:tcW w:w="4200" w:type="dxa"/>
            <w:vAlign w:val="bottom"/>
            <w:gridSpan w:val="4"/>
          </w:tcPr>
          <w:p>
            <w:pPr>
              <w:spacing w:after="0"/>
              <w:rPr>
                <w:sz w:val="20"/>
                <w:szCs w:val="20"/>
                <w:color w:val="auto"/>
              </w:rPr>
            </w:pPr>
            <w:r>
              <w:rPr>
                <w:rFonts w:ascii="Arial" w:cs="Arial" w:eastAsia="Arial" w:hAnsi="Arial"/>
                <w:sz w:val="13"/>
                <w:szCs w:val="13"/>
                <w:b w:val="1"/>
                <w:bCs w:val="1"/>
                <w:color w:val="auto"/>
              </w:rPr>
              <w:t>Quarter</w:t>
            </w:r>
          </w:p>
        </w:tc>
        <w:tc>
          <w:tcPr>
            <w:tcW w:w="126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7"/>
              </w:rPr>
              <w:t>Leases Signed</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1"/>
              </w:rPr>
              <w:t>GLA Signed</w:t>
            </w:r>
          </w:p>
        </w:tc>
        <w:tc>
          <w:tcPr>
            <w:tcW w:w="460" w:type="dxa"/>
            <w:vAlign w:val="bottom"/>
          </w:tcPr>
          <w:p>
            <w:pPr>
              <w:spacing w:after="0"/>
              <w:rPr>
                <w:sz w:val="15"/>
                <w:szCs w:val="15"/>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6"/>
              </w:rPr>
              <w:t>Per Sq. Ft.</w:t>
            </w:r>
          </w:p>
        </w:tc>
        <w:tc>
          <w:tcPr>
            <w:tcW w:w="4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Lease Term (4)</w:t>
            </w:r>
          </w:p>
        </w:tc>
        <w:tc>
          <w:tcPr>
            <w:tcW w:w="4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92"/>
              </w:rPr>
              <w:t>Improvements (5)</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9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3rd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8,609</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58.41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59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7"/>
                <w:szCs w:val="17"/>
                <w:color w:val="auto"/>
              </w:rPr>
              <w:t>2nd Quarter 2004</w:t>
            </w:r>
          </w:p>
        </w:tc>
        <w:tc>
          <w:tcPr>
            <w:tcW w:w="800" w:type="dxa"/>
            <w:vAlign w:val="bottom"/>
          </w:tcPr>
          <w:p>
            <w:pPr>
              <w:jc w:val="right"/>
              <w:spacing w:after="0"/>
              <w:rPr>
                <w:sz w:val="20"/>
                <w:szCs w:val="20"/>
                <w:color w:val="auto"/>
              </w:rPr>
            </w:pPr>
            <w:r>
              <w:rPr>
                <w:rFonts w:ascii="Arial" w:cs="Arial" w:eastAsia="Arial" w:hAnsi="Arial"/>
                <w:sz w:val="17"/>
                <w:szCs w:val="17"/>
                <w:color w:val="auto"/>
              </w:rPr>
              <w:t>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14,816</w:t>
            </w:r>
          </w:p>
        </w:tc>
        <w:tc>
          <w:tcPr>
            <w:tcW w:w="560" w:type="dxa"/>
            <w:vAlign w:val="bottom"/>
            <w:gridSpan w:val="2"/>
          </w:tcPr>
          <w:p>
            <w:pPr>
              <w:ind w:left="46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29.23</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59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90" w:type="dxa"/>
            <w:vAlign w:val="bottom"/>
          </w:tcPr>
          <w:p>
            <w:pPr>
              <w:jc w:val="right"/>
              <w:spacing w:after="0"/>
              <w:rPr>
                <w:sz w:val="20"/>
                <w:szCs w:val="20"/>
                <w:color w:val="auto"/>
              </w:rPr>
            </w:pPr>
            <w:r>
              <w:rPr>
                <w:rFonts w:ascii="Arial" w:cs="Arial" w:eastAsia="Arial" w:hAnsi="Arial"/>
                <w:sz w:val="17"/>
                <w:szCs w:val="17"/>
                <w:color w:val="auto"/>
              </w:rPr>
              <w:t>196,052</w:t>
            </w:r>
          </w:p>
        </w:tc>
        <w:tc>
          <w:tcPr>
            <w:tcW w:w="580" w:type="dxa"/>
            <w:vAlign w:val="bottom"/>
            <w:gridSpan w:val="3"/>
          </w:tcPr>
          <w:p>
            <w:pPr>
              <w:ind w:left="48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1st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78,843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59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gridSpan w:val="3"/>
          </w:tcPr>
          <w:p>
            <w:pPr>
              <w:spacing w:after="0"/>
              <w:rPr>
                <w:sz w:val="20"/>
                <w:szCs w:val="20"/>
                <w:color w:val="auto"/>
              </w:rPr>
            </w:pPr>
            <w:r>
              <w:rPr>
                <w:rFonts w:ascii="Arial" w:cs="Arial" w:eastAsia="Arial" w:hAnsi="Arial"/>
                <w:sz w:val="17"/>
                <w:szCs w:val="17"/>
                <w:color w:val="auto"/>
              </w:rPr>
              <w:t>4th Quarter 2003</w:t>
            </w:r>
          </w:p>
        </w:tc>
        <w:tc>
          <w:tcPr>
            <w:tcW w:w="800" w:type="dxa"/>
            <w:vAlign w:val="bottom"/>
          </w:tcPr>
          <w:p>
            <w:pPr>
              <w:jc w:val="right"/>
              <w:spacing w:after="0"/>
              <w:rPr>
                <w:sz w:val="20"/>
                <w:szCs w:val="20"/>
                <w:color w:val="auto"/>
              </w:rPr>
            </w:pPr>
            <w:r>
              <w:rPr>
                <w:rFonts w:ascii="Arial" w:cs="Arial" w:eastAsia="Arial" w:hAnsi="Arial"/>
                <w:sz w:val="17"/>
                <w:szCs w:val="17"/>
                <w:color w:val="auto"/>
              </w:rPr>
              <w:t>6</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21,867</w:t>
            </w:r>
          </w:p>
        </w:tc>
        <w:tc>
          <w:tcPr>
            <w:tcW w:w="560" w:type="dxa"/>
            <w:vAlign w:val="bottom"/>
            <w:gridSpan w:val="2"/>
          </w:tcPr>
          <w:p>
            <w:pPr>
              <w:ind w:left="46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36.64</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8.9</w:t>
            </w:r>
          </w:p>
        </w:tc>
        <w:tc>
          <w:tcPr>
            <w:tcW w:w="59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90" w:type="dxa"/>
            <w:vAlign w:val="bottom"/>
          </w:tcPr>
          <w:p>
            <w:pPr>
              <w:jc w:val="right"/>
              <w:spacing w:after="0"/>
              <w:rPr>
                <w:sz w:val="20"/>
                <w:szCs w:val="20"/>
                <w:color w:val="auto"/>
              </w:rPr>
            </w:pPr>
            <w:r>
              <w:rPr>
                <w:rFonts w:ascii="Arial" w:cs="Arial" w:eastAsia="Arial" w:hAnsi="Arial"/>
                <w:sz w:val="17"/>
                <w:szCs w:val="17"/>
                <w:color w:val="auto"/>
              </w:rPr>
              <w:t>84,425</w:t>
            </w:r>
          </w:p>
        </w:tc>
        <w:tc>
          <w:tcPr>
            <w:tcW w:w="580" w:type="dxa"/>
            <w:vAlign w:val="bottom"/>
            <w:gridSpan w:val="3"/>
          </w:tcPr>
          <w:p>
            <w:pPr>
              <w:ind w:left="48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9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124,135</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29.68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59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305,477</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-171450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-171450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-171450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-171450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-171450</wp:posOffset>
            </wp:positionV>
            <wp:extent cx="4457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4577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-171450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-171450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5763260</wp:posOffset>
            </wp:positionH>
            <wp:positionV relativeFrom="paragraph">
              <wp:posOffset>-171450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-171450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-171450</wp:posOffset>
            </wp:positionV>
            <wp:extent cx="2095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-171450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-171450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6799580</wp:posOffset>
            </wp:positionH>
            <wp:positionV relativeFrom="paragraph">
              <wp:posOffset>-171450</wp:posOffset>
            </wp:positionV>
            <wp:extent cx="2095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26" w:lineRule="exact"/>
        <w:rPr>
          <w:sz w:val="20"/>
          <w:szCs w:val="20"/>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8" w:lineRule="exact"/>
        <w:rPr>
          <w:rFonts w:ascii="Arial" w:cs="Arial" w:eastAsia="Arial" w:hAnsi="Arial"/>
          <w:sz w:val="17"/>
          <w:szCs w:val="17"/>
          <w:color w:val="auto"/>
        </w:rPr>
      </w:pPr>
    </w:p>
    <w:p>
      <w:pPr>
        <w:ind w:left="460" w:right="120" w:hanging="453"/>
        <w:spacing w:after="0" w:line="262"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Non-comparable leases represent those leases signed on spaces for which there was no former tenant, or expansion footage for leases rolling over for which there was no former tenant.</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See Glossary of Terms.</w:t>
      </w:r>
    </w:p>
    <w:p>
      <w:pPr>
        <w:sectPr>
          <w:pgSz w:w="11900" w:h="16838" w:orient="portrait"/>
          <w:cols w:equalWidth="0" w:num="1">
            <w:col w:w="11420"/>
          </w:cols>
          <w:pgMar w:left="240" w:top="456"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2"/>
              </w:rPr>
              <w:t>Anchor Tenants (1)</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Small Shop Tenants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 of</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5"/>
              </w:rPr>
              <w:t>Minimum Rent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 of Small</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5"/>
              </w:rPr>
              <w:t>Minimum Rent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Expiring SF</w:t>
            </w:r>
          </w:p>
        </w:tc>
        <w:tc>
          <w:tcPr>
            <w:tcW w:w="26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3"/>
              </w:rPr>
              <w:t>% of Total</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8"/>
              </w:rPr>
              <w:t>Minimum Rent</w:t>
            </w:r>
          </w:p>
        </w:tc>
        <w:tc>
          <w:tcPr>
            <w:tcW w:w="0" w:type="dxa"/>
            <w:vAlign w:val="bottom"/>
          </w:tcPr>
          <w:p>
            <w:pPr>
              <w:spacing w:after="0"/>
              <w:rPr>
                <w:sz w:val="1"/>
                <w:szCs w:val="1"/>
                <w:color w:val="auto"/>
              </w:rPr>
            </w:pPr>
          </w:p>
        </w:tc>
      </w:tr>
      <w:tr>
        <w:trPr>
          <w:trHeight w:val="173"/>
        </w:trPr>
        <w:tc>
          <w:tcPr>
            <w:tcW w:w="1700" w:type="dxa"/>
            <w:vAlign w:val="bottom"/>
            <w:gridSpan w:val="5"/>
          </w:tcPr>
          <w:p>
            <w:pPr>
              <w:spacing w:after="0"/>
              <w:rPr>
                <w:sz w:val="20"/>
                <w:szCs w:val="20"/>
                <w:color w:val="auto"/>
              </w:rPr>
            </w:pPr>
            <w:r>
              <w:rPr>
                <w:rFonts w:ascii="Arial" w:cs="Arial" w:eastAsia="Arial" w:hAnsi="Arial"/>
                <w:sz w:val="13"/>
                <w:szCs w:val="13"/>
                <w:b w:val="1"/>
                <w:bCs w:val="1"/>
                <w:color w:val="auto"/>
              </w:rPr>
              <w:t>Year</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Expiring SF (2)</w:t>
            </w:r>
          </w:p>
        </w:tc>
        <w:tc>
          <w:tcPr>
            <w:tcW w:w="18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Anchor SF</w:t>
            </w:r>
          </w:p>
        </w:tc>
        <w:tc>
          <w:tcPr>
            <w:tcW w:w="200" w:type="dxa"/>
            <w:vAlign w:val="bottom"/>
          </w:tcPr>
          <w:p>
            <w:pPr>
              <w:spacing w:after="0"/>
              <w:rPr>
                <w:sz w:val="15"/>
                <w:szCs w:val="15"/>
                <w:color w:val="auto"/>
              </w:rPr>
            </w:pPr>
          </w:p>
        </w:tc>
        <w:tc>
          <w:tcPr>
            <w:tcW w:w="680" w:type="dxa"/>
            <w:vAlign w:val="bottom"/>
          </w:tcPr>
          <w:p>
            <w:pPr>
              <w:jc w:val="right"/>
              <w:ind w:right="235"/>
              <w:spacing w:after="0"/>
              <w:rPr>
                <w:sz w:val="20"/>
                <w:szCs w:val="20"/>
                <w:color w:val="auto"/>
              </w:rPr>
            </w:pPr>
            <w:r>
              <w:rPr>
                <w:rFonts w:ascii="Arial" w:cs="Arial" w:eastAsia="Arial" w:hAnsi="Arial"/>
                <w:sz w:val="13"/>
                <w:szCs w:val="13"/>
                <w:b w:val="1"/>
                <w:bCs w:val="1"/>
                <w:color w:val="auto"/>
              </w:rPr>
              <w:t>PSF</w:t>
            </w:r>
          </w:p>
        </w:tc>
        <w:tc>
          <w:tcPr>
            <w:tcW w:w="2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5"/>
              </w:rPr>
              <w:t>Expiring SF (2)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Shop SF</w:t>
            </w:r>
          </w:p>
        </w:tc>
        <w:tc>
          <w:tcPr>
            <w:tcW w:w="200" w:type="dxa"/>
            <w:vAlign w:val="bottom"/>
          </w:tcPr>
          <w:p>
            <w:pPr>
              <w:spacing w:after="0"/>
              <w:rPr>
                <w:sz w:val="15"/>
                <w:szCs w:val="15"/>
                <w:color w:val="auto"/>
              </w:rPr>
            </w:pPr>
          </w:p>
        </w:tc>
        <w:tc>
          <w:tcPr>
            <w:tcW w:w="680" w:type="dxa"/>
            <w:vAlign w:val="bottom"/>
          </w:tcPr>
          <w:p>
            <w:pPr>
              <w:jc w:val="right"/>
              <w:ind w:right="235"/>
              <w:spacing w:after="0"/>
              <w:rPr>
                <w:sz w:val="20"/>
                <w:szCs w:val="20"/>
                <w:color w:val="auto"/>
              </w:rPr>
            </w:pPr>
            <w:r>
              <w:rPr>
                <w:rFonts w:ascii="Arial" w:cs="Arial" w:eastAsia="Arial" w:hAnsi="Arial"/>
                <w:sz w:val="13"/>
                <w:szCs w:val="13"/>
                <w:b w:val="1"/>
                <w:bCs w:val="1"/>
                <w:color w:val="auto"/>
              </w:rPr>
              <w:t>PSF</w:t>
            </w:r>
          </w:p>
        </w:tc>
        <w:tc>
          <w:tcPr>
            <w:tcW w:w="1160" w:type="dxa"/>
            <w:vAlign w:val="bottom"/>
            <w:gridSpan w:val="3"/>
          </w:tcPr>
          <w:p>
            <w:pPr>
              <w:jc w:val="center"/>
              <w:ind w:left="174"/>
              <w:spacing w:after="0"/>
              <w:rPr>
                <w:sz w:val="20"/>
                <w:szCs w:val="20"/>
                <w:color w:val="auto"/>
              </w:rPr>
            </w:pPr>
            <w:r>
              <w:rPr>
                <w:rFonts w:ascii="Arial" w:cs="Arial" w:eastAsia="Arial" w:hAnsi="Arial"/>
                <w:sz w:val="13"/>
                <w:szCs w:val="13"/>
                <w:b w:val="1"/>
                <w:bCs w:val="1"/>
                <w:color w:val="auto"/>
                <w:w w:val="87"/>
              </w:rPr>
              <w:t>(2)</w:t>
            </w:r>
          </w:p>
        </w:tc>
        <w:tc>
          <w:tcPr>
            <w:tcW w:w="2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SF</w:t>
            </w:r>
          </w:p>
        </w:tc>
        <w:tc>
          <w:tcPr>
            <w:tcW w:w="20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2004</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245,000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2005</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273,000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13.43</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750,000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21.98</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1,023,000</w:t>
            </w:r>
          </w:p>
        </w:tc>
        <w:tc>
          <w:tcPr>
            <w:tcW w:w="1280" w:type="dxa"/>
            <w:vAlign w:val="bottom"/>
            <w:gridSpan w:val="3"/>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2006</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867,000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1,328,000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2007</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884,000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8.47</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978,000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23.93</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1,862,000</w:t>
            </w:r>
          </w:p>
        </w:tc>
        <w:tc>
          <w:tcPr>
            <w:tcW w:w="1280" w:type="dxa"/>
            <w:vAlign w:val="bottom"/>
            <w:gridSpan w:val="3"/>
          </w:tcPr>
          <w:p>
            <w:pPr>
              <w:jc w:val="right"/>
              <w:ind w:right="260"/>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2008</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899,000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1,645,000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2009</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1,167,000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11.02</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874,000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26.20</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2,041,000</w:t>
            </w:r>
          </w:p>
        </w:tc>
        <w:tc>
          <w:tcPr>
            <w:tcW w:w="1280" w:type="dxa"/>
            <w:vAlign w:val="bottom"/>
            <w:gridSpan w:val="3"/>
          </w:tcPr>
          <w:p>
            <w:pPr>
              <w:jc w:val="right"/>
              <w:ind w:right="260"/>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456,000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910,000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2011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376,000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18.32</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461,000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29.48</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837,000</w:t>
            </w:r>
          </w:p>
        </w:tc>
        <w:tc>
          <w:tcPr>
            <w:tcW w:w="1280" w:type="dxa"/>
            <w:vAlign w:val="bottom"/>
            <w:gridSpan w:val="3"/>
          </w:tcPr>
          <w:p>
            <w:pPr>
              <w:jc w:val="right"/>
              <w:ind w:right="26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33.75</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940,000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2013</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680,000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14.55</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259,000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30.84</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939,000</w:t>
            </w:r>
          </w:p>
        </w:tc>
        <w:tc>
          <w:tcPr>
            <w:tcW w:w="1280" w:type="dxa"/>
            <w:vAlign w:val="bottom"/>
            <w:gridSpan w:val="3"/>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2,995,000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579,000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30.79</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3,574,000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Total (3)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8,634,000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6,710,000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15,344,000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940" w:type="dxa"/>
            <w:vAlign w:val="bottom"/>
            <w:gridSpan w:val="3"/>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3"/>
        </w:trPr>
        <w:tc>
          <w:tcPr>
            <w:tcW w:w="2660" w:type="dxa"/>
            <w:vAlign w:val="bottom"/>
            <w:gridSpan w:val="7"/>
          </w:tcPr>
          <w:p>
            <w:pPr>
              <w:spacing w:after="0"/>
              <w:rPr>
                <w:sz w:val="20"/>
                <w:szCs w:val="20"/>
                <w:color w:val="auto"/>
              </w:rPr>
            </w:pPr>
            <w:r>
              <w:rPr>
                <w:rFonts w:ascii="Arial" w:cs="Arial" w:eastAsia="Arial" w:hAnsi="Arial"/>
                <w:sz w:val="17"/>
                <w:szCs w:val="17"/>
                <w:b w:val="1"/>
                <w:bCs w:val="1"/>
                <w:color w:val="auto"/>
                <w:w w:val="87"/>
              </w:rPr>
              <w:t>Assumes lease options are exercised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2"/>
              </w:rPr>
              <w:t>Anchor Tenants (1)</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Small Shop Tenants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Expiring SF</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 of</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5"/>
              </w:rPr>
              <w:t>Minimum Rent</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Expiring SF</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 of Small</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5"/>
              </w:rPr>
              <w:t>Minimum Rent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6"/>
              </w:rPr>
              <w:t>% of Total</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8"/>
              </w:rPr>
              <w:t>Minimum Rent</w:t>
            </w:r>
          </w:p>
        </w:tc>
        <w:tc>
          <w:tcPr>
            <w:tcW w:w="0" w:type="dxa"/>
            <w:vAlign w:val="bottom"/>
          </w:tcPr>
          <w:p>
            <w:pPr>
              <w:spacing w:after="0"/>
              <w:rPr>
                <w:sz w:val="1"/>
                <w:szCs w:val="1"/>
                <w:color w:val="auto"/>
              </w:rPr>
            </w:pPr>
          </w:p>
        </w:tc>
      </w:tr>
      <w:tr>
        <w:trPr>
          <w:trHeight w:val="173"/>
        </w:trPr>
        <w:tc>
          <w:tcPr>
            <w:tcW w:w="1700" w:type="dxa"/>
            <w:vAlign w:val="bottom"/>
            <w:gridSpan w:val="5"/>
          </w:tcPr>
          <w:p>
            <w:pPr>
              <w:spacing w:after="0"/>
              <w:rPr>
                <w:sz w:val="20"/>
                <w:szCs w:val="20"/>
                <w:color w:val="auto"/>
              </w:rPr>
            </w:pPr>
            <w:r>
              <w:rPr>
                <w:rFonts w:ascii="Arial" w:cs="Arial" w:eastAsia="Arial" w:hAnsi="Arial"/>
                <w:sz w:val="13"/>
                <w:szCs w:val="13"/>
                <w:b w:val="1"/>
                <w:bCs w:val="1"/>
                <w:color w:val="auto"/>
              </w:rPr>
              <w:t>Year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Anchor SF</w:t>
            </w:r>
          </w:p>
        </w:tc>
        <w:tc>
          <w:tcPr>
            <w:tcW w:w="200" w:type="dxa"/>
            <w:vAlign w:val="bottom"/>
          </w:tcPr>
          <w:p>
            <w:pPr>
              <w:spacing w:after="0"/>
              <w:rPr>
                <w:sz w:val="15"/>
                <w:szCs w:val="15"/>
                <w:color w:val="auto"/>
              </w:rPr>
            </w:pPr>
          </w:p>
        </w:tc>
        <w:tc>
          <w:tcPr>
            <w:tcW w:w="680" w:type="dxa"/>
            <w:vAlign w:val="bottom"/>
          </w:tcPr>
          <w:p>
            <w:pPr>
              <w:jc w:val="right"/>
              <w:ind w:right="235"/>
              <w:spacing w:after="0"/>
              <w:rPr>
                <w:sz w:val="20"/>
                <w:szCs w:val="20"/>
                <w:color w:val="auto"/>
              </w:rPr>
            </w:pPr>
            <w:r>
              <w:rPr>
                <w:rFonts w:ascii="Arial" w:cs="Arial" w:eastAsia="Arial" w:hAnsi="Arial"/>
                <w:sz w:val="13"/>
                <w:szCs w:val="13"/>
                <w:b w:val="1"/>
                <w:bCs w:val="1"/>
                <w:color w:val="auto"/>
              </w:rPr>
              <w:t>PSF</w:t>
            </w:r>
          </w:p>
        </w:tc>
        <w:tc>
          <w:tcPr>
            <w:tcW w:w="1140" w:type="dxa"/>
            <w:vAlign w:val="bottom"/>
            <w:gridSpan w:val="2"/>
          </w:tcPr>
          <w:p>
            <w:pPr>
              <w:jc w:val="center"/>
              <w:ind w:left="174"/>
              <w:spacing w:after="0"/>
              <w:rPr>
                <w:sz w:val="20"/>
                <w:szCs w:val="20"/>
                <w:color w:val="auto"/>
              </w:rPr>
            </w:pPr>
            <w:r>
              <w:rPr>
                <w:rFonts w:ascii="Arial" w:cs="Arial" w:eastAsia="Arial" w:hAnsi="Arial"/>
                <w:sz w:val="13"/>
                <w:szCs w:val="13"/>
                <w:b w:val="1"/>
                <w:bCs w:val="1"/>
                <w:color w:val="auto"/>
              </w:rPr>
              <w:t>(2)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Shop SF</w:t>
            </w:r>
          </w:p>
        </w:tc>
        <w:tc>
          <w:tcPr>
            <w:tcW w:w="200" w:type="dxa"/>
            <w:vAlign w:val="bottom"/>
          </w:tcPr>
          <w:p>
            <w:pPr>
              <w:spacing w:after="0"/>
              <w:rPr>
                <w:sz w:val="15"/>
                <w:szCs w:val="15"/>
                <w:color w:val="auto"/>
              </w:rPr>
            </w:pPr>
          </w:p>
        </w:tc>
        <w:tc>
          <w:tcPr>
            <w:tcW w:w="680" w:type="dxa"/>
            <w:vAlign w:val="bottom"/>
          </w:tcPr>
          <w:p>
            <w:pPr>
              <w:jc w:val="right"/>
              <w:ind w:right="235"/>
              <w:spacing w:after="0"/>
              <w:rPr>
                <w:sz w:val="20"/>
                <w:szCs w:val="20"/>
                <w:color w:val="auto"/>
              </w:rPr>
            </w:pPr>
            <w:r>
              <w:rPr>
                <w:rFonts w:ascii="Arial" w:cs="Arial" w:eastAsia="Arial" w:hAnsi="Arial"/>
                <w:sz w:val="13"/>
                <w:szCs w:val="13"/>
                <w:b w:val="1"/>
                <w:bCs w:val="1"/>
                <w:color w:val="auto"/>
              </w:rPr>
              <w:t>PSF</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5"/>
              </w:rPr>
              <w:t>Expiring SF (2)</w:t>
            </w:r>
          </w:p>
        </w:tc>
        <w:tc>
          <w:tcPr>
            <w:tcW w:w="26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SF</w:t>
            </w:r>
          </w:p>
        </w:tc>
        <w:tc>
          <w:tcPr>
            <w:tcW w:w="20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2004</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172,000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2005</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16.00</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491,000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23.66</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509,000</w:t>
            </w:r>
          </w:p>
        </w:tc>
        <w:tc>
          <w:tcPr>
            <w:tcW w:w="1280" w:type="dxa"/>
            <w:vAlign w:val="bottom"/>
            <w:gridSpan w:val="3"/>
          </w:tcPr>
          <w:p>
            <w:pPr>
              <w:jc w:val="right"/>
              <w:ind w:right="26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2006</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502,000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556,000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2007</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155,000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7.73</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559,000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23.99</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714,000</w:t>
            </w:r>
          </w:p>
        </w:tc>
        <w:tc>
          <w:tcPr>
            <w:tcW w:w="1280" w:type="dxa"/>
            <w:vAlign w:val="bottom"/>
            <w:gridSpan w:val="3"/>
          </w:tcPr>
          <w:p>
            <w:pPr>
              <w:jc w:val="right"/>
              <w:ind w:right="26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2008</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551,000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701,000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2009</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244,000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11.35</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537,000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27.73</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782,000</w:t>
            </w:r>
          </w:p>
        </w:tc>
        <w:tc>
          <w:tcPr>
            <w:tcW w:w="1280" w:type="dxa"/>
            <w:vAlign w:val="bottom"/>
            <w:gridSpan w:val="3"/>
          </w:tcPr>
          <w:p>
            <w:pPr>
              <w:jc w:val="right"/>
              <w:ind w:right="26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387,000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546,000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2011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15.02</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496,000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23.75</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610,000</w:t>
            </w:r>
          </w:p>
        </w:tc>
        <w:tc>
          <w:tcPr>
            <w:tcW w:w="1280" w:type="dxa"/>
            <w:vAlign w:val="bottom"/>
            <w:gridSpan w:val="3"/>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431,000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646,000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2013</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256,000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12.34</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341,000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24.63</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597,000</w:t>
            </w:r>
          </w:p>
        </w:tc>
        <w:tc>
          <w:tcPr>
            <w:tcW w:w="1280" w:type="dxa"/>
            <w:vAlign w:val="bottom"/>
            <w:gridSpan w:val="3"/>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7,246,000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2,266,000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9,511,000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62%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Total (3)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8,634,000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6,710,000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15,344,000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-3009265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-3009265</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-3009265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2194560</wp:posOffset>
            </wp:positionH>
            <wp:positionV relativeFrom="paragraph">
              <wp:posOffset>-3009265</wp:posOffset>
            </wp:positionV>
            <wp:extent cx="381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-3009265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-3009265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-3009265</wp:posOffset>
            </wp:positionV>
            <wp:extent cx="2095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-3009265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-3009265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-3009265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-3009265</wp:posOffset>
            </wp:positionV>
            <wp:extent cx="381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-3009265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-3009265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-3009265</wp:posOffset>
            </wp:positionV>
            <wp:extent cx="2095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5865495</wp:posOffset>
            </wp:positionH>
            <wp:positionV relativeFrom="paragraph">
              <wp:posOffset>-3009265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-3009265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-3009265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-3009265</wp:posOffset>
            </wp:positionV>
            <wp:extent cx="381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6689725</wp:posOffset>
            </wp:positionH>
            <wp:positionV relativeFrom="paragraph">
              <wp:posOffset>-3009265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-3009265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-3009265</wp:posOffset>
            </wp:positionV>
            <wp:extent cx="2095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-171450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-171450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-171450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2194560</wp:posOffset>
            </wp:positionH>
            <wp:positionV relativeFrom="paragraph">
              <wp:posOffset>-171450</wp:posOffset>
            </wp:positionV>
            <wp:extent cx="381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-171450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-171450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-171450</wp:posOffset>
            </wp:positionV>
            <wp:extent cx="2095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-171450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-171450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-171450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-171450</wp:posOffset>
            </wp:positionV>
            <wp:extent cx="381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-171450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-171450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-171450</wp:posOffset>
            </wp:positionV>
            <wp:extent cx="2095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5865495</wp:posOffset>
            </wp:positionH>
            <wp:positionV relativeFrom="paragraph">
              <wp:posOffset>-171450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-171450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-171450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-171450</wp:posOffset>
            </wp:positionV>
            <wp:extent cx="381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6689725</wp:posOffset>
            </wp:positionH>
            <wp:positionV relativeFrom="paragraph">
              <wp:posOffset>-171450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-171450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-171450</wp:posOffset>
            </wp:positionV>
            <wp:extent cx="2095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Minimum Rent reflects in-place contractual rent as of September 30, 2004.</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occupied square footage as of September 30, 2004.</w:t>
      </w:r>
    </w:p>
    <w:p>
      <w:pPr>
        <w:sectPr>
          <w:pgSz w:w="11900" w:h="16838" w:orient="portrait"/>
          <w:cols w:equalWidth="0" w:num="1">
            <w:col w:w="11420"/>
          </w:cols>
          <w:pgMar w:left="240" w:top="456"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Leasing Statistics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Arial" w:cs="Arial" w:eastAsia="Arial" w:hAnsi="Arial"/>
                <w:sz w:val="13"/>
                <w:szCs w:val="13"/>
                <w:b w:val="1"/>
                <w:bCs w:val="1"/>
                <w:color w:val="auto"/>
                <w:w w:val="95"/>
              </w:rPr>
              <w:t>At September 30, 2004</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3"/>
                <w:szCs w:val="13"/>
                <w:b w:val="1"/>
                <w:bCs w:val="1"/>
                <w:color w:val="auto"/>
                <w:w w:val="95"/>
              </w:rPr>
              <w:t>At September 30, 2003</w:t>
            </w:r>
          </w:p>
        </w:tc>
        <w:tc>
          <w:tcPr>
            <w:tcW w:w="600" w:type="dxa"/>
            <w:vAlign w:val="bottom"/>
          </w:tcPr>
          <w:p>
            <w:pPr>
              <w:spacing w:after="0"/>
              <w:rPr>
                <w:sz w:val="15"/>
                <w:szCs w:val="15"/>
                <w:color w:val="auto"/>
              </w:rPr>
            </w:pPr>
          </w:p>
        </w:tc>
      </w:tr>
      <w:tr>
        <w:trPr>
          <w:trHeight w:val="94"/>
        </w:trPr>
        <w:tc>
          <w:tcPr>
            <w:tcW w:w="57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61"/>
        </w:trPr>
        <w:tc>
          <w:tcPr>
            <w:tcW w:w="5780" w:type="dxa"/>
            <w:vAlign w:val="bottom"/>
          </w:tcPr>
          <w:p>
            <w:pPr>
              <w:spacing w:after="0"/>
              <w:rPr>
                <w:sz w:val="20"/>
                <w:szCs w:val="20"/>
                <w:color w:val="auto"/>
              </w:rPr>
            </w:pPr>
            <w:r>
              <w:rPr>
                <w:rFonts w:ascii="Arial" w:cs="Arial" w:eastAsia="Arial" w:hAnsi="Arial"/>
                <w:sz w:val="13"/>
                <w:szCs w:val="13"/>
                <w:b w:val="1"/>
                <w:bCs w:val="1"/>
                <w:color w:val="auto"/>
              </w:rPr>
              <w:t>Type</w:t>
            </w:r>
          </w:p>
        </w:tc>
        <w:tc>
          <w:tcPr>
            <w:tcW w:w="560" w:type="dxa"/>
            <w:vAlign w:val="bottom"/>
          </w:tcPr>
          <w:p>
            <w:pPr>
              <w:ind w:left="280"/>
              <w:spacing w:after="0"/>
              <w:rPr>
                <w:sz w:val="20"/>
                <w:szCs w:val="20"/>
                <w:color w:val="auto"/>
              </w:rPr>
            </w:pPr>
            <w:r>
              <w:rPr>
                <w:rFonts w:ascii="Arial" w:cs="Arial" w:eastAsia="Arial" w:hAnsi="Arial"/>
                <w:sz w:val="13"/>
                <w:szCs w:val="13"/>
                <w:b w:val="1"/>
                <w:bCs w:val="1"/>
                <w:color w:val="auto"/>
                <w:w w:val="99"/>
              </w:rPr>
              <w:t>Size</w:t>
            </w:r>
          </w:p>
        </w:tc>
        <w:tc>
          <w:tcPr>
            <w:tcW w:w="1420" w:type="dxa"/>
            <w:vAlign w:val="bottom"/>
          </w:tcPr>
          <w:p>
            <w:pPr>
              <w:ind w:left="640"/>
              <w:spacing w:after="0"/>
              <w:rPr>
                <w:sz w:val="20"/>
                <w:szCs w:val="20"/>
                <w:color w:val="auto"/>
              </w:rPr>
            </w:pPr>
            <w:r>
              <w:rPr>
                <w:rFonts w:ascii="Arial" w:cs="Arial" w:eastAsia="Arial" w:hAnsi="Arial"/>
                <w:sz w:val="13"/>
                <w:szCs w:val="13"/>
                <w:b w:val="1"/>
                <w:bCs w:val="1"/>
                <w:color w:val="auto"/>
              </w:rPr>
              <w:t>Leased</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Leased%</w:t>
            </w:r>
          </w:p>
        </w:tc>
        <w:tc>
          <w:tcPr>
            <w:tcW w:w="580" w:type="dxa"/>
            <w:vAlign w:val="bottom"/>
          </w:tcPr>
          <w:p>
            <w:pPr>
              <w:ind w:left="280"/>
              <w:spacing w:after="0"/>
              <w:rPr>
                <w:sz w:val="20"/>
                <w:szCs w:val="20"/>
                <w:color w:val="auto"/>
              </w:rPr>
            </w:pPr>
            <w:r>
              <w:rPr>
                <w:rFonts w:ascii="Arial" w:cs="Arial" w:eastAsia="Arial" w:hAnsi="Arial"/>
                <w:sz w:val="13"/>
                <w:szCs w:val="13"/>
                <w:b w:val="1"/>
                <w:bCs w:val="1"/>
                <w:color w:val="auto"/>
              </w:rPr>
              <w:t>Size</w:t>
            </w:r>
          </w:p>
        </w:tc>
        <w:tc>
          <w:tcPr>
            <w:tcW w:w="1400" w:type="dxa"/>
            <w:vAlign w:val="bottom"/>
          </w:tcPr>
          <w:p>
            <w:pPr>
              <w:ind w:left="640"/>
              <w:spacing w:after="0"/>
              <w:rPr>
                <w:sz w:val="20"/>
                <w:szCs w:val="20"/>
                <w:color w:val="auto"/>
              </w:rPr>
            </w:pPr>
            <w:r>
              <w:rPr>
                <w:rFonts w:ascii="Arial" w:cs="Arial" w:eastAsia="Arial" w:hAnsi="Arial"/>
                <w:sz w:val="13"/>
                <w:szCs w:val="13"/>
                <w:b w:val="1"/>
                <w:bCs w:val="1"/>
                <w:color w:val="auto"/>
              </w:rPr>
              <w:t>Leased</w:t>
            </w: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w w:val="92"/>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2463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6380" cy="82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59690</wp:posOffset>
            </wp:positionV>
            <wp:extent cx="34925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9250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76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Retail Properties (2):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16,791,000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15,818,000</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15,780,000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14,821,000</w:t>
            </w: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Borders>
              <w:bottom w:val="single" w:sz="8" w:color="auto"/>
            </w:tcBorders>
            <w:vMerge w:val="continue"/>
          </w:tcPr>
          <w:p>
            <w:pPr>
              <w:spacing w:after="0"/>
              <w:rPr>
                <w:sz w:val="15"/>
                <w:szCs w:val="15"/>
                <w:color w:val="auto"/>
              </w:rPr>
            </w:pPr>
          </w:p>
        </w:tc>
        <w:tc>
          <w:tcPr>
            <w:tcW w:w="1820" w:type="dxa"/>
            <w:vAlign w:val="bottom"/>
            <w:tcBorders>
              <w:bottom w:val="single" w:sz="8" w:color="auto"/>
            </w:tcBorders>
            <w:gridSpan w:val="5"/>
          </w:tcPr>
          <w:p>
            <w:pPr>
              <w:spacing w:after="0" w:line="174" w:lineRule="exact"/>
              <w:rPr>
                <w:sz w:val="20"/>
                <w:szCs w:val="20"/>
                <w:color w:val="auto"/>
              </w:rPr>
            </w:pPr>
            <w:r>
              <w:rPr>
                <w:rFonts w:ascii="Arial" w:cs="Arial" w:eastAsia="Arial" w:hAnsi="Arial"/>
                <w:sz w:val="17"/>
                <w:szCs w:val="17"/>
                <w:color w:val="auto"/>
                <w:w w:val="91"/>
              </w:rPr>
              <w:t>Residential Properties (3):</w:t>
            </w:r>
          </w:p>
        </w:tc>
        <w:tc>
          <w:tcPr>
            <w:tcW w:w="3940" w:type="dxa"/>
            <w:vAlign w:val="bottom"/>
            <w:gridSpan w:val="2"/>
          </w:tcPr>
          <w:p>
            <w:pPr>
              <w:spacing w:after="0"/>
              <w:rPr>
                <w:sz w:val="15"/>
                <w:szCs w:val="15"/>
                <w:color w:val="auto"/>
              </w:rPr>
            </w:pPr>
          </w:p>
        </w:tc>
        <w:tc>
          <w:tcPr>
            <w:tcW w:w="780" w:type="dxa"/>
            <w:vAlign w:val="bottom"/>
          </w:tcPr>
          <w:p>
            <w:pPr>
              <w:jc w:val="right"/>
              <w:spacing w:after="0" w:line="174" w:lineRule="exact"/>
              <w:rPr>
                <w:sz w:val="20"/>
                <w:szCs w:val="20"/>
                <w:color w:val="auto"/>
              </w:rPr>
            </w:pPr>
            <w:r>
              <w:rPr>
                <w:rFonts w:ascii="Arial" w:cs="Arial" w:eastAsia="Arial" w:hAnsi="Arial"/>
                <w:sz w:val="17"/>
                <w:szCs w:val="17"/>
                <w:color w:val="auto"/>
              </w:rPr>
              <w:t>683</w:t>
            </w:r>
          </w:p>
        </w:tc>
        <w:tc>
          <w:tcPr>
            <w:tcW w:w="102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636</w:t>
            </w:r>
          </w:p>
        </w:tc>
        <w:tc>
          <w:tcPr>
            <w:tcW w:w="220" w:type="dxa"/>
            <w:vAlign w:val="bottom"/>
          </w:tcPr>
          <w:p>
            <w:pPr>
              <w:spacing w:after="0"/>
              <w:rPr>
                <w:sz w:val="15"/>
                <w:szCs w:val="15"/>
                <w:color w:val="auto"/>
              </w:rPr>
            </w:pPr>
          </w:p>
        </w:tc>
        <w:tc>
          <w:tcPr>
            <w:tcW w:w="900" w:type="dxa"/>
            <w:vAlign w:val="bottom"/>
            <w:gridSpan w:val="2"/>
          </w:tcPr>
          <w:p>
            <w:pPr>
              <w:jc w:val="right"/>
              <w:ind w:right="220"/>
              <w:spacing w:after="0" w:line="174" w:lineRule="exact"/>
              <w:rPr>
                <w:sz w:val="20"/>
                <w:szCs w:val="20"/>
                <w:color w:val="auto"/>
              </w:rPr>
            </w:pPr>
            <w:r>
              <w:rPr>
                <w:rFonts w:ascii="Arial" w:cs="Arial" w:eastAsia="Arial" w:hAnsi="Arial"/>
                <w:sz w:val="17"/>
                <w:szCs w:val="17"/>
                <w:color w:val="auto"/>
              </w:rPr>
              <w:t>93.1%</w:t>
            </w:r>
          </w:p>
        </w:tc>
        <w:tc>
          <w:tcPr>
            <w:tcW w:w="1020" w:type="dxa"/>
            <w:vAlign w:val="bottom"/>
            <w:gridSpan w:val="2"/>
          </w:tcPr>
          <w:p>
            <w:pPr>
              <w:jc w:val="right"/>
              <w:ind w:right="220"/>
              <w:spacing w:after="0" w:line="174" w:lineRule="exact"/>
              <w:rPr>
                <w:sz w:val="20"/>
                <w:szCs w:val="20"/>
                <w:color w:val="auto"/>
              </w:rPr>
            </w:pPr>
            <w:r>
              <w:rPr>
                <w:rFonts w:ascii="Arial" w:cs="Arial" w:eastAsia="Arial" w:hAnsi="Arial"/>
                <w:sz w:val="17"/>
                <w:szCs w:val="17"/>
                <w:color w:val="auto"/>
              </w:rPr>
              <w:t>683</w:t>
            </w:r>
          </w:p>
        </w:tc>
        <w:tc>
          <w:tcPr>
            <w:tcW w:w="800" w:type="dxa"/>
            <w:vAlign w:val="bottom"/>
          </w:tcPr>
          <w:p>
            <w:pPr>
              <w:jc w:val="right"/>
              <w:spacing w:after="0" w:line="174" w:lineRule="exact"/>
              <w:rPr>
                <w:sz w:val="20"/>
                <w:szCs w:val="20"/>
                <w:color w:val="auto"/>
              </w:rPr>
            </w:pPr>
            <w:r>
              <w:rPr>
                <w:rFonts w:ascii="Arial" w:cs="Arial" w:eastAsia="Arial" w:hAnsi="Arial"/>
                <w:sz w:val="17"/>
                <w:szCs w:val="17"/>
                <w:color w:val="auto"/>
              </w:rPr>
              <w:t>623</w:t>
            </w:r>
          </w:p>
        </w:tc>
        <w:tc>
          <w:tcPr>
            <w:tcW w:w="220" w:type="dxa"/>
            <w:vAlign w:val="bottom"/>
          </w:tcPr>
          <w:p>
            <w:pPr>
              <w:spacing w:after="0"/>
              <w:rPr>
                <w:sz w:val="15"/>
                <w:szCs w:val="15"/>
                <w:color w:val="auto"/>
              </w:rPr>
            </w:pPr>
          </w:p>
        </w:tc>
        <w:tc>
          <w:tcPr>
            <w:tcW w:w="68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408"/>
        </w:trPr>
        <w:tc>
          <w:tcPr>
            <w:tcW w:w="5780" w:type="dxa"/>
            <w:vAlign w:val="bottom"/>
            <w:gridSpan w:val="8"/>
          </w:tcPr>
          <w:p>
            <w:pPr>
              <w:spacing w:after="0"/>
              <w:rPr>
                <w:sz w:val="20"/>
                <w:szCs w:val="20"/>
                <w:color w:val="auto"/>
              </w:rPr>
            </w:pPr>
            <w:r>
              <w:rPr>
                <w:rFonts w:ascii="Arial" w:cs="Arial" w:eastAsia="Arial" w:hAnsi="Arial"/>
                <w:sz w:val="17"/>
                <w:szCs w:val="17"/>
                <w:b w:val="1"/>
                <w:bCs w:val="1"/>
                <w:color w:val="auto"/>
              </w:rPr>
              <w:t>Same Center Statistics (1)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2020" w:type="dxa"/>
            <w:vAlign w:val="bottom"/>
            <w:gridSpan w:val="4"/>
          </w:tcPr>
          <w:p>
            <w:pPr>
              <w:ind w:left="640"/>
              <w:spacing w:after="0"/>
              <w:rPr>
                <w:sz w:val="20"/>
                <w:szCs w:val="20"/>
                <w:color w:val="auto"/>
              </w:rPr>
            </w:pPr>
            <w:r>
              <w:rPr>
                <w:rFonts w:ascii="Arial" w:cs="Arial" w:eastAsia="Arial" w:hAnsi="Arial"/>
                <w:sz w:val="13"/>
                <w:szCs w:val="13"/>
                <w:b w:val="1"/>
                <w:bCs w:val="1"/>
                <w:color w:val="auto"/>
                <w:w w:val="98"/>
              </w:rPr>
              <w:t>At September 30, 2004</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4"/>
          </w:tcPr>
          <w:p>
            <w:pPr>
              <w:ind w:left="640"/>
              <w:spacing w:after="0"/>
              <w:rPr>
                <w:sz w:val="20"/>
                <w:szCs w:val="20"/>
                <w:color w:val="auto"/>
              </w:rPr>
            </w:pPr>
            <w:r>
              <w:rPr>
                <w:rFonts w:ascii="Arial" w:cs="Arial" w:eastAsia="Arial" w:hAnsi="Arial"/>
                <w:sz w:val="13"/>
                <w:szCs w:val="13"/>
                <w:b w:val="1"/>
                <w:bCs w:val="1"/>
                <w:color w:val="auto"/>
                <w:w w:val="99"/>
              </w:rPr>
              <w:t>At September 30, 2003</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0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5780" w:type="dxa"/>
            <w:vAlign w:val="bottom"/>
            <w:gridSpan w:val="8"/>
          </w:tcPr>
          <w:p>
            <w:pPr>
              <w:spacing w:after="0"/>
              <w:rPr>
                <w:sz w:val="20"/>
                <w:szCs w:val="20"/>
                <w:color w:val="auto"/>
              </w:rPr>
            </w:pPr>
            <w:r>
              <w:rPr>
                <w:rFonts w:ascii="Arial" w:cs="Arial" w:eastAsia="Arial" w:hAnsi="Arial"/>
                <w:sz w:val="13"/>
                <w:szCs w:val="13"/>
                <w:b w:val="1"/>
                <w:bCs w:val="1"/>
                <w:color w:val="auto"/>
              </w:rPr>
              <w:t>Type</w:t>
            </w:r>
          </w:p>
        </w:tc>
        <w:tc>
          <w:tcPr>
            <w:tcW w:w="780" w:type="dxa"/>
            <w:vAlign w:val="bottom"/>
          </w:tcPr>
          <w:p>
            <w:pPr>
              <w:jc w:val="right"/>
              <w:ind w:right="200"/>
              <w:spacing w:after="0"/>
              <w:rPr>
                <w:sz w:val="20"/>
                <w:szCs w:val="20"/>
                <w:color w:val="auto"/>
              </w:rPr>
            </w:pPr>
            <w:r>
              <w:rPr>
                <w:rFonts w:ascii="Arial" w:cs="Arial" w:eastAsia="Arial" w:hAnsi="Arial"/>
                <w:sz w:val="13"/>
                <w:szCs w:val="13"/>
                <w:b w:val="1"/>
                <w:bCs w:val="1"/>
                <w:color w:val="auto"/>
              </w:rPr>
              <w:t>Size</w:t>
            </w:r>
          </w:p>
        </w:tc>
        <w:tc>
          <w:tcPr>
            <w:tcW w:w="240" w:type="dxa"/>
            <w:vAlign w:val="bottom"/>
          </w:tcPr>
          <w:p>
            <w:pPr>
              <w:spacing w:after="0"/>
              <w:rPr>
                <w:sz w:val="22"/>
                <w:szCs w:val="22"/>
                <w:color w:val="auto"/>
              </w:rPr>
            </w:pP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Leased</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2"/>
              </w:rPr>
              <w:t>Leased%</w:t>
            </w:r>
          </w:p>
        </w:tc>
        <w:tc>
          <w:tcPr>
            <w:tcW w:w="1020" w:type="dxa"/>
            <w:vAlign w:val="bottom"/>
            <w:gridSpan w:val="2"/>
          </w:tcPr>
          <w:p>
            <w:pPr>
              <w:ind w:left="280"/>
              <w:spacing w:after="0"/>
              <w:rPr>
                <w:sz w:val="20"/>
                <w:szCs w:val="20"/>
                <w:color w:val="auto"/>
              </w:rPr>
            </w:pPr>
            <w:r>
              <w:rPr>
                <w:rFonts w:ascii="Arial" w:cs="Arial" w:eastAsia="Arial" w:hAnsi="Arial"/>
                <w:sz w:val="13"/>
                <w:szCs w:val="13"/>
                <w:b w:val="1"/>
                <w:bCs w:val="1"/>
                <w:color w:val="auto"/>
              </w:rPr>
              <w:t>Size</w:t>
            </w:r>
          </w:p>
        </w:tc>
        <w:tc>
          <w:tcPr>
            <w:tcW w:w="1020" w:type="dxa"/>
            <w:vAlign w:val="bottom"/>
            <w:gridSpan w:val="2"/>
          </w:tcPr>
          <w:p>
            <w:pPr>
              <w:ind w:left="200"/>
              <w:spacing w:after="0"/>
              <w:rPr>
                <w:sz w:val="20"/>
                <w:szCs w:val="20"/>
                <w:color w:val="auto"/>
              </w:rPr>
            </w:pPr>
            <w:r>
              <w:rPr>
                <w:rFonts w:ascii="Arial" w:cs="Arial" w:eastAsia="Arial" w:hAnsi="Arial"/>
                <w:sz w:val="13"/>
                <w:szCs w:val="13"/>
                <w:b w:val="1"/>
                <w:bCs w:val="1"/>
                <w:color w:val="auto"/>
              </w:rPr>
              <w:t>Leased</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Leased%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760" w:type="dxa"/>
            <w:vAlign w:val="bottom"/>
            <w:gridSpan w:val="7"/>
            <w:shd w:val="clear" w:color="auto" w:fill="CCEEFF"/>
          </w:tcPr>
          <w:p>
            <w:pPr>
              <w:spacing w:after="0" w:line="174" w:lineRule="exact"/>
              <w:rPr>
                <w:sz w:val="20"/>
                <w:szCs w:val="20"/>
                <w:color w:val="auto"/>
              </w:rPr>
            </w:pPr>
            <w:r>
              <w:rPr>
                <w:rFonts w:ascii="Arial" w:cs="Arial" w:eastAsia="Arial" w:hAnsi="Arial"/>
                <w:sz w:val="17"/>
                <w:szCs w:val="17"/>
                <w:color w:val="auto"/>
              </w:rPr>
              <w:t>Retail Properties (2)(4):</w:t>
            </w:r>
          </w:p>
        </w:tc>
        <w:tc>
          <w:tcPr>
            <w:tcW w:w="780" w:type="dxa"/>
            <w:vAlign w:val="bottom"/>
            <w:shd w:val="clear" w:color="auto" w:fill="CCEEFF"/>
          </w:tcPr>
          <w:p>
            <w:pPr>
              <w:jc w:val="right"/>
              <w:spacing w:after="0" w:line="174" w:lineRule="exact"/>
              <w:rPr>
                <w:sz w:val="20"/>
                <w:szCs w:val="20"/>
                <w:color w:val="auto"/>
              </w:rPr>
            </w:pPr>
            <w:r>
              <w:rPr>
                <w:rFonts w:ascii="Arial" w:cs="Arial" w:eastAsia="Arial" w:hAnsi="Arial"/>
                <w:sz w:val="17"/>
                <w:szCs w:val="17"/>
                <w:color w:val="auto"/>
                <w:w w:val="89"/>
              </w:rPr>
              <w:t>12,277,000</w:t>
            </w:r>
          </w:p>
        </w:tc>
        <w:tc>
          <w:tcPr>
            <w:tcW w:w="1020" w:type="dxa"/>
            <w:vAlign w:val="bottom"/>
            <w:gridSpan w:val="2"/>
            <w:shd w:val="clear" w:color="auto" w:fill="CCEEFF"/>
          </w:tcPr>
          <w:p>
            <w:pPr>
              <w:jc w:val="right"/>
              <w:spacing w:after="0" w:line="174" w:lineRule="exact"/>
              <w:rPr>
                <w:sz w:val="20"/>
                <w:szCs w:val="20"/>
                <w:color w:val="auto"/>
              </w:rPr>
            </w:pPr>
            <w:r>
              <w:rPr>
                <w:rFonts w:ascii="Arial" w:cs="Arial" w:eastAsia="Arial" w:hAnsi="Arial"/>
                <w:sz w:val="17"/>
                <w:szCs w:val="17"/>
                <w:color w:val="auto"/>
              </w:rPr>
              <w:t>11,852,000</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74" w:lineRule="exact"/>
              <w:rPr>
                <w:sz w:val="20"/>
                <w:szCs w:val="20"/>
                <w:color w:val="auto"/>
              </w:rPr>
            </w:pPr>
            <w:r>
              <w:rPr>
                <w:rFonts w:ascii="Arial" w:cs="Arial" w:eastAsia="Arial" w:hAnsi="Arial"/>
                <w:sz w:val="17"/>
                <w:szCs w:val="17"/>
                <w:color w:val="auto"/>
              </w:rPr>
              <w:t>96.5%</w:t>
            </w:r>
          </w:p>
        </w:tc>
        <w:tc>
          <w:tcPr>
            <w:tcW w:w="1020" w:type="dxa"/>
            <w:vAlign w:val="bottom"/>
            <w:gridSpan w:val="2"/>
            <w:shd w:val="clear" w:color="auto" w:fill="CCEEFF"/>
          </w:tcPr>
          <w:p>
            <w:pPr>
              <w:jc w:val="right"/>
              <w:ind w:right="220"/>
              <w:spacing w:after="0" w:line="174" w:lineRule="exact"/>
              <w:rPr>
                <w:sz w:val="20"/>
                <w:szCs w:val="20"/>
                <w:color w:val="auto"/>
              </w:rPr>
            </w:pPr>
            <w:r>
              <w:rPr>
                <w:rFonts w:ascii="Arial" w:cs="Arial" w:eastAsia="Arial" w:hAnsi="Arial"/>
                <w:sz w:val="17"/>
                <w:szCs w:val="17"/>
                <w:color w:val="auto"/>
                <w:w w:val="91"/>
              </w:rPr>
              <w:t>12,262,000</w:t>
            </w:r>
          </w:p>
        </w:tc>
        <w:tc>
          <w:tcPr>
            <w:tcW w:w="800" w:type="dxa"/>
            <w:vAlign w:val="bottom"/>
            <w:shd w:val="clear" w:color="auto" w:fill="CCEEFF"/>
          </w:tcPr>
          <w:p>
            <w:pPr>
              <w:jc w:val="right"/>
              <w:spacing w:after="0" w:line="174" w:lineRule="exact"/>
              <w:rPr>
                <w:sz w:val="20"/>
                <w:szCs w:val="20"/>
                <w:color w:val="auto"/>
              </w:rPr>
            </w:pPr>
            <w:r>
              <w:rPr>
                <w:rFonts w:ascii="Arial" w:cs="Arial" w:eastAsia="Arial" w:hAnsi="Arial"/>
                <w:sz w:val="17"/>
                <w:szCs w:val="17"/>
                <w:color w:val="auto"/>
                <w:w w:val="91"/>
              </w:rPr>
              <w:t>11,851,000</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74" w:lineRule="exact"/>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5760" w:type="dxa"/>
            <w:vAlign w:val="bottom"/>
            <w:gridSpan w:val="7"/>
          </w:tcPr>
          <w:p>
            <w:pPr>
              <w:spacing w:after="0" w:line="174" w:lineRule="exact"/>
              <w:rPr>
                <w:sz w:val="20"/>
                <w:szCs w:val="20"/>
                <w:color w:val="auto"/>
              </w:rPr>
            </w:pPr>
            <w:r>
              <w:rPr>
                <w:rFonts w:ascii="Arial" w:cs="Arial" w:eastAsia="Arial" w:hAnsi="Arial"/>
                <w:sz w:val="17"/>
                <w:szCs w:val="17"/>
                <w:color w:val="auto"/>
              </w:rPr>
              <w:t>Residential Properties (3):</w:t>
            </w:r>
          </w:p>
        </w:tc>
        <w:tc>
          <w:tcPr>
            <w:tcW w:w="780" w:type="dxa"/>
            <w:vAlign w:val="bottom"/>
          </w:tcPr>
          <w:p>
            <w:pPr>
              <w:jc w:val="right"/>
              <w:spacing w:after="0" w:line="174" w:lineRule="exact"/>
              <w:rPr>
                <w:sz w:val="20"/>
                <w:szCs w:val="20"/>
                <w:color w:val="auto"/>
              </w:rPr>
            </w:pPr>
            <w:r>
              <w:rPr>
                <w:rFonts w:ascii="Arial" w:cs="Arial" w:eastAsia="Arial" w:hAnsi="Arial"/>
                <w:sz w:val="17"/>
                <w:szCs w:val="17"/>
                <w:color w:val="auto"/>
              </w:rPr>
              <w:t>683</w:t>
            </w:r>
          </w:p>
        </w:tc>
        <w:tc>
          <w:tcPr>
            <w:tcW w:w="102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636</w:t>
            </w:r>
          </w:p>
        </w:tc>
        <w:tc>
          <w:tcPr>
            <w:tcW w:w="220" w:type="dxa"/>
            <w:vAlign w:val="bottom"/>
          </w:tcPr>
          <w:p>
            <w:pPr>
              <w:spacing w:after="0"/>
              <w:rPr>
                <w:sz w:val="15"/>
                <w:szCs w:val="15"/>
                <w:color w:val="auto"/>
              </w:rPr>
            </w:pPr>
          </w:p>
        </w:tc>
        <w:tc>
          <w:tcPr>
            <w:tcW w:w="900" w:type="dxa"/>
            <w:vAlign w:val="bottom"/>
            <w:gridSpan w:val="2"/>
          </w:tcPr>
          <w:p>
            <w:pPr>
              <w:jc w:val="right"/>
              <w:ind w:right="220"/>
              <w:spacing w:after="0" w:line="174" w:lineRule="exact"/>
              <w:rPr>
                <w:sz w:val="20"/>
                <w:szCs w:val="20"/>
                <w:color w:val="auto"/>
              </w:rPr>
            </w:pPr>
            <w:r>
              <w:rPr>
                <w:rFonts w:ascii="Arial" w:cs="Arial" w:eastAsia="Arial" w:hAnsi="Arial"/>
                <w:sz w:val="17"/>
                <w:szCs w:val="17"/>
                <w:color w:val="auto"/>
              </w:rPr>
              <w:t>93.1%</w:t>
            </w:r>
          </w:p>
        </w:tc>
        <w:tc>
          <w:tcPr>
            <w:tcW w:w="1020" w:type="dxa"/>
            <w:vAlign w:val="bottom"/>
            <w:gridSpan w:val="2"/>
          </w:tcPr>
          <w:p>
            <w:pPr>
              <w:jc w:val="right"/>
              <w:ind w:right="220"/>
              <w:spacing w:after="0" w:line="174" w:lineRule="exact"/>
              <w:rPr>
                <w:sz w:val="20"/>
                <w:szCs w:val="20"/>
                <w:color w:val="auto"/>
              </w:rPr>
            </w:pPr>
            <w:r>
              <w:rPr>
                <w:rFonts w:ascii="Arial" w:cs="Arial" w:eastAsia="Arial" w:hAnsi="Arial"/>
                <w:sz w:val="17"/>
                <w:szCs w:val="17"/>
                <w:color w:val="auto"/>
              </w:rPr>
              <w:t>683</w:t>
            </w:r>
          </w:p>
        </w:tc>
        <w:tc>
          <w:tcPr>
            <w:tcW w:w="800" w:type="dxa"/>
            <w:vAlign w:val="bottom"/>
          </w:tcPr>
          <w:p>
            <w:pPr>
              <w:jc w:val="right"/>
              <w:spacing w:after="0" w:line="174" w:lineRule="exact"/>
              <w:rPr>
                <w:sz w:val="20"/>
                <w:szCs w:val="20"/>
                <w:color w:val="auto"/>
              </w:rPr>
            </w:pPr>
            <w:r>
              <w:rPr>
                <w:rFonts w:ascii="Arial" w:cs="Arial" w:eastAsia="Arial" w:hAnsi="Arial"/>
                <w:sz w:val="17"/>
                <w:szCs w:val="17"/>
                <w:color w:val="auto"/>
              </w:rPr>
              <w:t>623</w:t>
            </w:r>
          </w:p>
        </w:tc>
        <w:tc>
          <w:tcPr>
            <w:tcW w:w="220" w:type="dxa"/>
            <w:vAlign w:val="bottom"/>
          </w:tcPr>
          <w:p>
            <w:pPr>
              <w:spacing w:after="0"/>
              <w:rPr>
                <w:sz w:val="15"/>
                <w:szCs w:val="15"/>
                <w:color w:val="auto"/>
              </w:rPr>
            </w:pPr>
          </w:p>
        </w:tc>
        <w:tc>
          <w:tcPr>
            <w:tcW w:w="68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127"/>
        </w:trPr>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26" w:lineRule="exact"/>
        <w:rPr>
          <w:sz w:val="20"/>
          <w:szCs w:val="20"/>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Rollingwood, Santana Row residential and The Crest at Congressional Apartments.</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ectPr>
          <w:pgSz w:w="11900" w:h="16838" w:orient="portrait"/>
          <w:cols w:equalWidth="0" w:num="1">
            <w:col w:w="11420"/>
          </w:cols>
          <w:pgMar w:left="240" w:top="456"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0"/>
              </w:rPr>
              <w:t>Percentage of</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8" w:lineRule="exact"/>
              <w:rPr>
                <w:sz w:val="20"/>
                <w:szCs w:val="20"/>
                <w:color w:val="auto"/>
              </w:rPr>
            </w:pPr>
            <w:r>
              <w:rPr>
                <w:rFonts w:ascii="Arial" w:cs="Arial" w:eastAsia="Arial" w:hAnsi="Arial"/>
                <w:sz w:val="13"/>
                <w:szCs w:val="13"/>
                <w:b w:val="1"/>
                <w:bCs w:val="1"/>
                <w:color w:val="auto"/>
              </w:rPr>
              <w:t>Annualized</w:t>
            </w:r>
          </w:p>
        </w:tc>
        <w:tc>
          <w:tcPr>
            <w:tcW w:w="1460" w:type="dxa"/>
            <w:vAlign w:val="bottom"/>
            <w:gridSpan w:val="2"/>
          </w:tcPr>
          <w:p>
            <w:pPr>
              <w:jc w:val="center"/>
              <w:ind w:right="480"/>
              <w:spacing w:after="0" w:line="148" w:lineRule="exact"/>
              <w:rPr>
                <w:sz w:val="20"/>
                <w:szCs w:val="20"/>
                <w:color w:val="auto"/>
              </w:rPr>
            </w:pPr>
            <w:r>
              <w:rPr>
                <w:rFonts w:ascii="Arial" w:cs="Arial" w:eastAsia="Arial" w:hAnsi="Arial"/>
                <w:sz w:val="13"/>
                <w:szCs w:val="13"/>
                <w:b w:val="1"/>
                <w:bCs w:val="1"/>
                <w:color w:val="auto"/>
                <w:w w:val="94"/>
              </w:rPr>
              <w:t>Total Annualized</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3"/>
          </w:tcPr>
          <w:p>
            <w:pPr>
              <w:jc w:val="center"/>
              <w:ind w:right="500"/>
              <w:spacing w:after="0" w:line="148" w:lineRule="exact"/>
              <w:rPr>
                <w:sz w:val="20"/>
                <w:szCs w:val="20"/>
                <w:color w:val="auto"/>
              </w:rPr>
            </w:pPr>
            <w:r>
              <w:rPr>
                <w:rFonts w:ascii="Arial" w:cs="Arial" w:eastAsia="Arial" w:hAnsi="Arial"/>
                <w:sz w:val="13"/>
                <w:szCs w:val="13"/>
                <w:b w:val="1"/>
                <w:bCs w:val="1"/>
                <w:color w:val="auto"/>
                <w:w w:val="90"/>
              </w:rPr>
              <w:t>Percentage of</w:t>
            </w:r>
          </w:p>
        </w:tc>
        <w:tc>
          <w:tcPr>
            <w:tcW w:w="64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88"/>
              </w:rPr>
              <w:t>Stores</w:t>
            </w:r>
          </w:p>
        </w:tc>
        <w:tc>
          <w:tcPr>
            <w:tcW w:w="0" w:type="dxa"/>
            <w:vAlign w:val="bottom"/>
          </w:tcPr>
          <w:p>
            <w:pPr>
              <w:spacing w:after="0"/>
              <w:rPr>
                <w:sz w:val="1"/>
                <w:szCs w:val="1"/>
                <w:color w:val="auto"/>
              </w:rPr>
            </w:pPr>
          </w:p>
        </w:tc>
      </w:tr>
      <w:tr>
        <w:trPr>
          <w:trHeight w:val="173"/>
        </w:trPr>
        <w:tc>
          <w:tcPr>
            <w:tcW w:w="400" w:type="dxa"/>
            <w:vAlign w:val="bottom"/>
            <w:gridSpan w:val="2"/>
          </w:tcPr>
          <w:p>
            <w:pPr>
              <w:spacing w:after="0"/>
              <w:rPr>
                <w:sz w:val="20"/>
                <w:szCs w:val="20"/>
                <w:color w:val="auto"/>
              </w:rPr>
            </w:pPr>
            <w:r>
              <w:rPr>
                <w:rFonts w:ascii="Arial" w:cs="Arial" w:eastAsia="Arial" w:hAnsi="Arial"/>
                <w:sz w:val="13"/>
                <w:szCs w:val="13"/>
                <w:b w:val="1"/>
                <w:bCs w:val="1"/>
                <w:color w:val="auto"/>
              </w:rPr>
              <w:t>Rank</w:t>
            </w:r>
          </w:p>
        </w:tc>
        <w:tc>
          <w:tcPr>
            <w:tcW w:w="3660" w:type="dxa"/>
            <w:vAlign w:val="bottom"/>
            <w:gridSpan w:val="3"/>
          </w:tcPr>
          <w:p>
            <w:pPr>
              <w:ind w:left="320"/>
              <w:spacing w:after="0"/>
              <w:rPr>
                <w:sz w:val="20"/>
                <w:szCs w:val="20"/>
                <w:color w:val="auto"/>
              </w:rPr>
            </w:pPr>
            <w:r>
              <w:rPr>
                <w:rFonts w:ascii="Arial" w:cs="Arial" w:eastAsia="Arial" w:hAnsi="Arial"/>
                <w:sz w:val="13"/>
                <w:szCs w:val="13"/>
                <w:b w:val="1"/>
                <w:bCs w:val="1"/>
                <w:color w:val="auto"/>
              </w:rPr>
              <w:t>Tenant Name</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Base Rent</w:t>
            </w:r>
          </w:p>
        </w:tc>
        <w:tc>
          <w:tcPr>
            <w:tcW w:w="14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1"/>
              </w:rPr>
              <w:t>Base Rent</w:t>
            </w:r>
          </w:p>
        </w:tc>
        <w:tc>
          <w:tcPr>
            <w:tcW w:w="13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Tenant GLA</w:t>
            </w:r>
          </w:p>
        </w:tc>
        <w:tc>
          <w:tcPr>
            <w:tcW w:w="128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9"/>
              </w:rPr>
              <w:t>Total GLA</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Leased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Safeway, Inc.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2.30%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2.81%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2</w:t>
            </w: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Gap, Inc.</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6,290,000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2.22%</w:t>
            </w:r>
          </w:p>
        </w:tc>
        <w:tc>
          <w:tcPr>
            <w:tcW w:w="800" w:type="dxa"/>
            <w:vAlign w:val="bottom"/>
          </w:tcPr>
          <w:p>
            <w:pPr>
              <w:jc w:val="right"/>
              <w:spacing w:after="0"/>
              <w:rPr>
                <w:sz w:val="20"/>
                <w:szCs w:val="20"/>
                <w:color w:val="auto"/>
              </w:rPr>
            </w:pPr>
            <w:r>
              <w:rPr>
                <w:rFonts w:ascii="Arial" w:cs="Arial" w:eastAsia="Arial" w:hAnsi="Arial"/>
                <w:sz w:val="17"/>
                <w:szCs w:val="17"/>
                <w:color w:val="auto"/>
              </w:rPr>
              <w:t>232,000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1.38%</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Ahold USA, Inc.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2.16%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4</w:t>
            </w: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Bed, Bath &amp; Beyond, Inc.</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5,620,000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1.98%</w:t>
            </w:r>
          </w:p>
        </w:tc>
        <w:tc>
          <w:tcPr>
            <w:tcW w:w="800" w:type="dxa"/>
            <w:vAlign w:val="bottom"/>
          </w:tcPr>
          <w:p>
            <w:pPr>
              <w:jc w:val="right"/>
              <w:spacing w:after="0"/>
              <w:rPr>
                <w:sz w:val="20"/>
                <w:szCs w:val="20"/>
                <w:color w:val="auto"/>
              </w:rPr>
            </w:pPr>
            <w:r>
              <w:rPr>
                <w:rFonts w:ascii="Arial" w:cs="Arial" w:eastAsia="Arial" w:hAnsi="Arial"/>
                <w:sz w:val="17"/>
                <w:szCs w:val="17"/>
                <w:color w:val="auto"/>
              </w:rPr>
              <w:t>396,000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2.36%</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Barnes &amp; Noble, Inc.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6</w:t>
            </w: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TJX Companies</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3,960,000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1.40%</w:t>
            </w:r>
          </w:p>
        </w:tc>
        <w:tc>
          <w:tcPr>
            <w:tcW w:w="800" w:type="dxa"/>
            <w:vAlign w:val="bottom"/>
          </w:tcPr>
          <w:p>
            <w:pPr>
              <w:jc w:val="right"/>
              <w:spacing w:after="0"/>
              <w:rPr>
                <w:sz w:val="20"/>
                <w:szCs w:val="20"/>
                <w:color w:val="auto"/>
              </w:rPr>
            </w:pPr>
            <w:r>
              <w:rPr>
                <w:rFonts w:ascii="Arial" w:cs="Arial" w:eastAsia="Arial" w:hAnsi="Arial"/>
                <w:sz w:val="17"/>
                <w:szCs w:val="17"/>
                <w:color w:val="auto"/>
              </w:rPr>
              <w:t>454,000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2.70%</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Best Buy Stores, L.P.</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1.23%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0.60%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8</w:t>
            </w: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CVS Corporation</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3,460,000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1.22%</w:t>
            </w:r>
          </w:p>
        </w:tc>
        <w:tc>
          <w:tcPr>
            <w:tcW w:w="800" w:type="dxa"/>
            <w:vAlign w:val="bottom"/>
          </w:tcPr>
          <w:p>
            <w:pPr>
              <w:jc w:val="right"/>
              <w:spacing w:after="0"/>
              <w:rPr>
                <w:sz w:val="20"/>
                <w:szCs w:val="20"/>
                <w:color w:val="auto"/>
              </w:rPr>
            </w:pPr>
            <w:r>
              <w:rPr>
                <w:rFonts w:ascii="Arial" w:cs="Arial" w:eastAsia="Arial" w:hAnsi="Arial"/>
                <w:sz w:val="17"/>
                <w:szCs w:val="17"/>
                <w:color w:val="auto"/>
              </w:rPr>
              <w:t>142,000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0.85%</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Wakefern Food Corporation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1.09%</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1.38%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10</w:t>
            </w: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Borders Group, Inc.</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2,780,000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0.98%</w:t>
            </w:r>
          </w:p>
        </w:tc>
        <w:tc>
          <w:tcPr>
            <w:tcW w:w="800" w:type="dxa"/>
            <w:vAlign w:val="bottom"/>
          </w:tcPr>
          <w:p>
            <w:pPr>
              <w:jc w:val="right"/>
              <w:spacing w:after="0"/>
              <w:rPr>
                <w:sz w:val="20"/>
                <w:szCs w:val="20"/>
                <w:color w:val="auto"/>
              </w:rPr>
            </w:pPr>
            <w:r>
              <w:rPr>
                <w:rFonts w:ascii="Arial" w:cs="Arial" w:eastAsia="Arial" w:hAnsi="Arial"/>
                <w:sz w:val="17"/>
                <w:szCs w:val="17"/>
                <w:color w:val="auto"/>
              </w:rPr>
              <w:t>129,000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0.77%</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Michaels Stores, Inc.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0.98%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12</w:t>
            </w: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OPNET Technologies, Inc.</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2,480,000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0.88%</w:t>
            </w:r>
          </w:p>
        </w:tc>
        <w:tc>
          <w:tcPr>
            <w:tcW w:w="800" w:type="dxa"/>
            <w:vAlign w:val="bottom"/>
          </w:tcPr>
          <w:p>
            <w:pPr>
              <w:jc w:val="right"/>
              <w:spacing w:after="0"/>
              <w:rPr>
                <w:sz w:val="20"/>
                <w:szCs w:val="20"/>
                <w:color w:val="auto"/>
              </w:rPr>
            </w:pPr>
            <w:r>
              <w:rPr>
                <w:rFonts w:ascii="Arial" w:cs="Arial" w:eastAsia="Arial" w:hAnsi="Arial"/>
                <w:sz w:val="17"/>
                <w:szCs w:val="17"/>
                <w:color w:val="auto"/>
              </w:rPr>
              <w:t>60,000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0.36%</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MTS, Inc.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0.85%</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0.54%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14</w:t>
            </w: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Great Atlantic &amp; Pacific Tea Co</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2,380,000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0.84%</w:t>
            </w:r>
          </w:p>
        </w:tc>
        <w:tc>
          <w:tcPr>
            <w:tcW w:w="800" w:type="dxa"/>
            <w:vAlign w:val="bottom"/>
          </w:tcPr>
          <w:p>
            <w:pPr>
              <w:jc w:val="right"/>
              <w:spacing w:after="0"/>
              <w:rPr>
                <w:sz w:val="20"/>
                <w:szCs w:val="20"/>
                <w:color w:val="auto"/>
              </w:rPr>
            </w:pPr>
            <w:r>
              <w:rPr>
                <w:rFonts w:ascii="Arial" w:cs="Arial" w:eastAsia="Arial" w:hAnsi="Arial"/>
                <w:sz w:val="17"/>
                <w:szCs w:val="17"/>
                <w:color w:val="auto"/>
              </w:rPr>
              <w:t>236,000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1.41%</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15</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CompUSA, Inc.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16</w:t>
            </w: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Retail Ventures, Inc.</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2,370,000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0.84%</w:t>
            </w:r>
          </w:p>
        </w:tc>
        <w:tc>
          <w:tcPr>
            <w:tcW w:w="800" w:type="dxa"/>
            <w:vAlign w:val="bottom"/>
          </w:tcPr>
          <w:p>
            <w:pPr>
              <w:jc w:val="right"/>
              <w:spacing w:after="0"/>
              <w:rPr>
                <w:sz w:val="20"/>
                <w:szCs w:val="20"/>
                <w:color w:val="auto"/>
              </w:rPr>
            </w:pPr>
            <w:r>
              <w:rPr>
                <w:rFonts w:ascii="Arial" w:cs="Arial" w:eastAsia="Arial" w:hAnsi="Arial"/>
                <w:sz w:val="17"/>
                <w:szCs w:val="17"/>
                <w:color w:val="auto"/>
              </w:rPr>
              <w:t>117,000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0.70%</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17</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Office Depot, Inc.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18</w:t>
            </w: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Home Depot, Inc.</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2,210,000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0.78%</w:t>
            </w:r>
          </w:p>
        </w:tc>
        <w:tc>
          <w:tcPr>
            <w:tcW w:w="800" w:type="dxa"/>
            <w:vAlign w:val="bottom"/>
          </w:tcPr>
          <w:p>
            <w:pPr>
              <w:jc w:val="right"/>
              <w:spacing w:after="0"/>
              <w:rPr>
                <w:sz w:val="20"/>
                <w:szCs w:val="20"/>
                <w:color w:val="auto"/>
              </w:rPr>
            </w:pPr>
            <w:r>
              <w:rPr>
                <w:rFonts w:ascii="Arial" w:cs="Arial" w:eastAsia="Arial" w:hAnsi="Arial"/>
                <w:sz w:val="17"/>
                <w:szCs w:val="17"/>
                <w:color w:val="auto"/>
              </w:rPr>
              <w:t>218,000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19</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The Container Store, Inc.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0.77%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0.31%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20</w:t>
            </w: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Dress Barn, Inc.</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2,120,000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0.75%</w:t>
            </w:r>
          </w:p>
        </w:tc>
        <w:tc>
          <w:tcPr>
            <w:tcW w:w="800" w:type="dxa"/>
            <w:vAlign w:val="bottom"/>
          </w:tcPr>
          <w:p>
            <w:pPr>
              <w:jc w:val="right"/>
              <w:spacing w:after="0"/>
              <w:rPr>
                <w:sz w:val="20"/>
                <w:szCs w:val="20"/>
                <w:color w:val="auto"/>
              </w:rPr>
            </w:pPr>
            <w:r>
              <w:rPr>
                <w:rFonts w:ascii="Arial" w:cs="Arial" w:eastAsia="Arial" w:hAnsi="Arial"/>
                <w:sz w:val="17"/>
                <w:szCs w:val="17"/>
                <w:color w:val="auto"/>
              </w:rPr>
              <w:t>109,000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0.65%</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Toys R Us, Inc.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0.73%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22</w:t>
            </w: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Dollar Tree Stores, Inc.</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2,060,000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0.73%</w:t>
            </w:r>
          </w:p>
        </w:tc>
        <w:tc>
          <w:tcPr>
            <w:tcW w:w="800" w:type="dxa"/>
            <w:vAlign w:val="bottom"/>
          </w:tcPr>
          <w:p>
            <w:pPr>
              <w:jc w:val="right"/>
              <w:spacing w:after="0"/>
              <w:rPr>
                <w:sz w:val="20"/>
                <w:szCs w:val="20"/>
                <w:color w:val="auto"/>
              </w:rPr>
            </w:pPr>
            <w:r>
              <w:rPr>
                <w:rFonts w:ascii="Arial" w:cs="Arial" w:eastAsia="Arial" w:hAnsi="Arial"/>
                <w:sz w:val="17"/>
                <w:szCs w:val="17"/>
                <w:color w:val="auto"/>
              </w:rPr>
              <w:t>162,000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0.96%</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23</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Bally’s Health &amp; Tennis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0.72%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0.93%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24</w:t>
            </w: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Staples, Inc.</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2,000,000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0.71%</w:t>
            </w:r>
          </w:p>
        </w:tc>
        <w:tc>
          <w:tcPr>
            <w:tcW w:w="800" w:type="dxa"/>
            <w:vAlign w:val="bottom"/>
          </w:tcPr>
          <w:p>
            <w:pPr>
              <w:jc w:val="right"/>
              <w:spacing w:after="0"/>
              <w:rPr>
                <w:sz w:val="20"/>
                <w:szCs w:val="20"/>
                <w:color w:val="auto"/>
              </w:rPr>
            </w:pPr>
            <w:r>
              <w:rPr>
                <w:rFonts w:ascii="Arial" w:cs="Arial" w:eastAsia="Arial" w:hAnsi="Arial"/>
                <w:sz w:val="17"/>
                <w:szCs w:val="17"/>
                <w:color w:val="auto"/>
              </w:rPr>
              <w:t>106,000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0.63%</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25</w:t>
            </w: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Kohl’s Corporation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0.67%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2.12%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Totals - Top 25 Tenants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78,900,000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27.84%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5,224,000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31.11%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Total Annualized Base Rent: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1"/>
              </w:rPr>
              <w:t>283,400,000(1)</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Total Portfolio Square Footage:</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w w:val="92"/>
              </w:rPr>
              <w:t>16,791,000(2)</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-433705</wp:posOffset>
            </wp:positionV>
            <wp:extent cx="64135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41350" cy="29845"/>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-433705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-433705</wp:posOffset>
            </wp:positionV>
            <wp:extent cx="381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-433705</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-433705</wp:posOffset>
            </wp:positionV>
            <wp:extent cx="381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-433705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-433705</wp:posOffset>
            </wp:positionV>
            <wp:extent cx="381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-433705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6851015</wp:posOffset>
            </wp:positionH>
            <wp:positionV relativeFrom="paragraph">
              <wp:posOffset>-433705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69215</wp:posOffset>
            </wp:positionV>
            <wp:extent cx="5949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49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6" w:lineRule="exact"/>
        <w:rPr>
          <w:sz w:val="20"/>
          <w:szCs w:val="20"/>
          <w:color w:val="auto"/>
        </w:rPr>
      </w:pPr>
    </w:p>
    <w:p>
      <w:pPr>
        <w:ind w:left="460" w:hanging="453"/>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Reflects annual in-place contractual rent as of September 30, 2004.</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ectPr>
          <w:pgSz w:w="11900" w:h="16838" w:orient="portrait"/>
          <w:cols w:equalWidth="0" w:num="1">
            <w:col w:w="11420"/>
          </w:cols>
          <w:pgMar w:left="240" w:top="456"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Guidance to FFO Guidance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900" w:type="dxa"/>
            <w:vAlign w:val="bottom"/>
            <w:gridSpan w:val="3"/>
          </w:tcPr>
          <w:p>
            <w:pPr>
              <w:spacing w:after="0"/>
              <w:rPr>
                <w:sz w:val="20"/>
                <w:szCs w:val="20"/>
                <w:color w:val="auto"/>
              </w:rPr>
            </w:pPr>
            <w:r>
              <w:rPr>
                <w:rFonts w:ascii="Arial" w:cs="Arial" w:eastAsia="Arial" w:hAnsi="Arial"/>
                <w:sz w:val="17"/>
                <w:szCs w:val="17"/>
                <w:b w:val="1"/>
                <w:bCs w:val="1"/>
                <w:color w:val="auto"/>
              </w:rPr>
              <w:t>Reconciliation of 2004 Net Income Guidance to 2004 FFO Guidance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3"/>
                <w:szCs w:val="13"/>
                <w:b w:val="1"/>
                <w:bCs w:val="1"/>
                <w:color w:val="auto"/>
                <w:w w:val="99"/>
              </w:rPr>
              <w:t>Forecast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9900" w:type="dxa"/>
            <w:vAlign w:val="bottom"/>
            <w:gridSpan w:val="3"/>
            <w:vMerge w:val="restart"/>
          </w:tcPr>
          <w:p>
            <w:pPr>
              <w:spacing w:after="0"/>
              <w:rPr>
                <w:sz w:val="20"/>
                <w:szCs w:val="20"/>
                <w:color w:val="auto"/>
              </w:rPr>
            </w:pPr>
            <w:r>
              <w:rPr>
                <w:rFonts w:ascii="Arial" w:cs="Arial" w:eastAsia="Arial" w:hAnsi="Arial"/>
                <w:sz w:val="17"/>
                <w:szCs w:val="17"/>
                <w:color w:val="auto"/>
              </w:rPr>
              <w:t>($ millions except per share amounts)</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99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Gain on sale of real estate</w:t>
            </w: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Amortization of initial direct costs of leases</w:t>
            </w:r>
          </w:p>
        </w:tc>
        <w:tc>
          <w:tcPr>
            <w:tcW w:w="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Funds from Operations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Income attributable to operating partnership units</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line="214" w:lineRule="exact"/>
              <w:rPr>
                <w:sz w:val="20"/>
                <w:szCs w:val="20"/>
                <w:color w:val="auto"/>
              </w:rPr>
            </w:pPr>
            <w:r>
              <w:rPr>
                <w:rFonts w:ascii="Arial" w:cs="Arial" w:eastAsia="Arial" w:hAnsi="Arial"/>
                <w:sz w:val="17"/>
                <w:szCs w:val="17"/>
                <w:b w:val="1"/>
                <w:bCs w:val="1"/>
                <w:color w:val="auto"/>
              </w:rPr>
              <w:t>Funds from operations available for common shareholders</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(diluted)</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52.3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98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9900" w:type="dxa"/>
            <w:vAlign w:val="bottom"/>
            <w:gridSpan w:val="3"/>
          </w:tcPr>
          <w:p>
            <w:pPr>
              <w:spacing w:after="0"/>
              <w:rPr>
                <w:sz w:val="20"/>
                <w:szCs w:val="20"/>
                <w:color w:val="auto"/>
              </w:rPr>
            </w:pPr>
            <w:r>
              <w:rPr>
                <w:rFonts w:ascii="Arial" w:cs="Arial" w:eastAsia="Arial" w:hAnsi="Arial"/>
                <w:sz w:val="17"/>
                <w:szCs w:val="17"/>
                <w:color w:val="auto"/>
              </w:rPr>
              <w:t>Funds from operations available for common shareholders per share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84"/>
              </w:rPr>
              <w:t>2.83</w:t>
            </w:r>
          </w:p>
        </w:tc>
        <w:tc>
          <w:tcPr>
            <w:tcW w:w="8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Arial" w:cs="Arial" w:eastAsia="Arial" w:hAnsi="Arial"/>
                <w:sz w:val="17"/>
                <w:szCs w:val="17"/>
                <w:color w:val="auto"/>
              </w:rPr>
              <w:t>to</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90"/>
              </w:rPr>
              <w:t>2.84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8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9900" w:type="dxa"/>
            <w:vAlign w:val="bottom"/>
            <w:gridSpan w:val="3"/>
          </w:tcPr>
          <w:p>
            <w:pPr>
              <w:spacing w:after="0"/>
              <w:rPr>
                <w:sz w:val="20"/>
                <w:szCs w:val="20"/>
                <w:color w:val="auto"/>
              </w:rPr>
            </w:pPr>
            <w:r>
              <w:rPr>
                <w:rFonts w:ascii="Arial" w:cs="Arial" w:eastAsia="Arial" w:hAnsi="Arial"/>
                <w:sz w:val="17"/>
                <w:szCs w:val="17"/>
                <w:b w:val="1"/>
                <w:bCs w:val="1"/>
                <w:color w:val="auto"/>
              </w:rPr>
              <w:t>Reconciliation of 2005 Net Income Guidance to 2005 FFO Guidance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9900" w:type="dxa"/>
            <w:vAlign w:val="bottom"/>
            <w:gridSpan w:val="3"/>
          </w:tcPr>
          <w:p>
            <w:pPr>
              <w:spacing w:after="0"/>
              <w:rPr>
                <w:sz w:val="20"/>
                <w:szCs w:val="20"/>
                <w:color w:val="auto"/>
              </w:rPr>
            </w:pPr>
            <w:r>
              <w:rPr>
                <w:rFonts w:ascii="Arial" w:cs="Arial" w:eastAsia="Arial" w:hAnsi="Arial"/>
                <w:sz w:val="17"/>
                <w:szCs w:val="17"/>
                <w:color w:val="auto"/>
              </w:rPr>
              <w:t>($ millions except per share amounts)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b w:val="1"/>
                <w:bCs w:val="1"/>
                <w:color w:val="auto"/>
                <w:w w:val="99"/>
              </w:rPr>
              <w:t>Forecast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Gain on sale of real estate</w:t>
            </w:r>
          </w:p>
        </w:tc>
        <w:tc>
          <w:tcPr>
            <w:tcW w:w="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Amortization of initial direct costs of leases</w:t>
            </w:r>
          </w:p>
        </w:tc>
        <w:tc>
          <w:tcPr>
            <w:tcW w:w="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Funds from Operations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Income attributable to operating partnership units</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line="214" w:lineRule="exact"/>
              <w:rPr>
                <w:sz w:val="20"/>
                <w:szCs w:val="20"/>
                <w:color w:val="auto"/>
              </w:rPr>
            </w:pPr>
            <w:r>
              <w:rPr>
                <w:rFonts w:ascii="Arial" w:cs="Arial" w:eastAsia="Arial" w:hAnsi="Arial"/>
                <w:sz w:val="17"/>
                <w:szCs w:val="17"/>
                <w:b w:val="1"/>
                <w:bCs w:val="1"/>
                <w:color w:val="auto"/>
              </w:rPr>
              <w:t>Funds from operations available for common shareholders</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(diluted)</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52.9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6273165</wp:posOffset>
            </wp:positionH>
            <wp:positionV relativeFrom="paragraph">
              <wp:posOffset>-3376930</wp:posOffset>
            </wp:positionV>
            <wp:extent cx="28448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4480" cy="29845"/>
                    </a:xfrm>
                    <a:prstGeom prst="rect">
                      <a:avLst/>
                    </a:prstGeom>
                    <a:noFill/>
                  </pic:spPr>
                </pic:pic>
              </a:graphicData>
            </a:graphic>
          </wp:anchor>
        </w:drawing>
        <w:drawing>
          <wp:anchor simplePos="0" relativeHeight="251657728" behindDoc="1" locked="0" layoutInCell="0" allowOverlap="1">
            <wp:simplePos x="0" y="0"/>
            <wp:positionH relativeFrom="column">
              <wp:posOffset>6952615</wp:posOffset>
            </wp:positionH>
            <wp:positionV relativeFrom="paragraph">
              <wp:posOffset>-3376930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7004050</wp:posOffset>
            </wp:positionH>
            <wp:positionV relativeFrom="paragraph">
              <wp:posOffset>-3376930</wp:posOffset>
            </wp:positionV>
            <wp:extent cx="2095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-3376930</wp:posOffset>
            </wp:positionV>
            <wp:extent cx="381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6273165</wp:posOffset>
            </wp:positionH>
            <wp:positionV relativeFrom="paragraph">
              <wp:posOffset>-2799080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-2799080</wp:posOffset>
            </wp:positionV>
            <wp:extent cx="2095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-2799080</wp:posOffset>
            </wp:positionV>
            <wp:extent cx="381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6952615</wp:posOffset>
            </wp:positionH>
            <wp:positionV relativeFrom="paragraph">
              <wp:posOffset>-2799080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7004050</wp:posOffset>
            </wp:positionH>
            <wp:positionV relativeFrom="paragraph">
              <wp:posOffset>-2799080</wp:posOffset>
            </wp:positionV>
            <wp:extent cx="2095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-2799080</wp:posOffset>
            </wp:positionV>
            <wp:extent cx="381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6273165</wp:posOffset>
            </wp:positionH>
            <wp:positionV relativeFrom="paragraph">
              <wp:posOffset>-607060</wp:posOffset>
            </wp:positionV>
            <wp:extent cx="28448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4480" cy="29845"/>
                    </a:xfrm>
                    <a:prstGeom prst="rect">
                      <a:avLst/>
                    </a:prstGeom>
                    <a:noFill/>
                  </pic:spPr>
                </pic:pic>
              </a:graphicData>
            </a:graphic>
          </wp:anchor>
        </w:drawing>
        <w:drawing>
          <wp:anchor simplePos="0" relativeHeight="251657728" behindDoc="1" locked="0" layoutInCell="0" allowOverlap="1">
            <wp:simplePos x="0" y="0"/>
            <wp:positionH relativeFrom="column">
              <wp:posOffset>6952615</wp:posOffset>
            </wp:positionH>
            <wp:positionV relativeFrom="paragraph">
              <wp:posOffset>-607060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7004050</wp:posOffset>
            </wp:positionH>
            <wp:positionV relativeFrom="paragraph">
              <wp:posOffset>-607060</wp:posOffset>
            </wp:positionV>
            <wp:extent cx="2095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-607060</wp:posOffset>
            </wp:positionV>
            <wp:extent cx="381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6273165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-29210</wp:posOffset>
            </wp:positionV>
            <wp:extent cx="2095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-29210</wp:posOffset>
            </wp:positionV>
            <wp:extent cx="381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6952615</wp:posOffset>
            </wp:positionH>
            <wp:positionV relativeFrom="paragraph">
              <wp:posOffset>-29210</wp:posOffset>
            </wp:positionV>
            <wp:extent cx="28448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4480" cy="298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p>
    <w:p>
      <w:pPr>
        <w:spacing w:after="0" w:line="86" w:lineRule="exact"/>
        <w:rPr>
          <w:sz w:val="20"/>
          <w:szCs w:val="20"/>
          <w:color w:val="auto"/>
        </w:rPr>
      </w:pPr>
    </w:p>
    <w:p>
      <w:pPr>
        <w:ind w:left="460" w:hanging="453"/>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Individual items may not add up to total as a result of rounding.</w:t>
      </w:r>
    </w:p>
    <w:p>
      <w:pPr>
        <w:sectPr>
          <w:pgSz w:w="11900" w:h="16838" w:orient="portrait"/>
          <w:cols w:equalWidth="0" w:num="1">
            <w:col w:w="11420"/>
          </w:cols>
          <w:pgMar w:left="240" w:top="456"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Operating Results - Joint Venture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300" w:type="dxa"/>
            <w:vAlign w:val="bottom"/>
            <w:gridSpan w:val="2"/>
          </w:tcPr>
          <w:p>
            <w:pPr>
              <w:jc w:val="center"/>
              <w:ind w:right="2353"/>
              <w:spacing w:after="0"/>
              <w:rPr>
                <w:sz w:val="20"/>
                <w:szCs w:val="20"/>
                <w:color w:val="auto"/>
              </w:rPr>
            </w:pPr>
            <w:r>
              <w:rPr>
                <w:rFonts w:ascii="Arial" w:cs="Arial" w:eastAsia="Arial" w:hAnsi="Arial"/>
                <w:sz w:val="17"/>
                <w:szCs w:val="17"/>
                <w:b w:val="1"/>
                <w:bCs w:val="1"/>
                <w:color w:val="auto"/>
                <w:w w:val="94"/>
              </w:rPr>
              <w:t>Financial Highlights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00" w:type="dxa"/>
            <w:vAlign w:val="bottom"/>
            <w:gridSpan w:val="2"/>
          </w:tcPr>
          <w:p>
            <w:pPr>
              <w:jc w:val="center"/>
              <w:ind w:right="2373"/>
              <w:spacing w:after="0"/>
              <w:rPr>
                <w:sz w:val="20"/>
                <w:szCs w:val="20"/>
                <w:color w:val="auto"/>
              </w:rPr>
            </w:pPr>
            <w:r>
              <w:rPr>
                <w:rFonts w:ascii="Arial" w:cs="Arial" w:eastAsia="Arial" w:hAnsi="Arial"/>
                <w:sz w:val="17"/>
                <w:szCs w:val="17"/>
                <w:color w:val="auto"/>
                <w:w w:val="90"/>
              </w:rPr>
              <w:t>(in thousands, except per share data)</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300" w:type="dxa"/>
            <w:vAlign w:val="bottom"/>
            <w:gridSpan w:val="2"/>
          </w:tcPr>
          <w:p>
            <w:pPr>
              <w:jc w:val="center"/>
              <w:ind w:right="2353"/>
              <w:spacing w:after="0"/>
              <w:rPr>
                <w:sz w:val="20"/>
                <w:szCs w:val="20"/>
                <w:color w:val="auto"/>
              </w:rPr>
            </w:pPr>
            <w:r>
              <w:rPr>
                <w:rFonts w:ascii="Arial" w:cs="Arial" w:eastAsia="Arial" w:hAnsi="Arial"/>
                <w:sz w:val="17"/>
                <w:szCs w:val="17"/>
                <w:color w:val="auto"/>
                <w:w w:val="92"/>
              </w:rPr>
              <w:t>(unaudited)</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780" w:type="dxa"/>
            <w:vAlign w:val="bottom"/>
            <w:gridSpan w:val="3"/>
          </w:tcPr>
          <w:p>
            <w:pPr>
              <w:spacing w:after="0"/>
              <w:rPr>
                <w:sz w:val="20"/>
                <w:szCs w:val="20"/>
                <w:color w:val="auto"/>
              </w:rPr>
            </w:pPr>
            <w:r>
              <w:rPr>
                <w:rFonts w:ascii="Arial" w:cs="Arial" w:eastAsia="Arial" w:hAnsi="Arial"/>
                <w:sz w:val="17"/>
                <w:szCs w:val="17"/>
                <w:b w:val="1"/>
                <w:bCs w:val="1"/>
                <w:color w:val="auto"/>
              </w:rPr>
              <w:t>OPERATING RESULTS</w:t>
            </w:r>
          </w:p>
        </w:tc>
        <w:tc>
          <w:tcPr>
            <w:tcW w:w="5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w w:val="95"/>
              </w:rPr>
              <w:t>Three months ended</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2004</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8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8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tcPr>
          <w:p>
            <w:pPr>
              <w:ind w:left="440"/>
              <w:spacing w:after="0"/>
              <w:rPr>
                <w:sz w:val="20"/>
                <w:szCs w:val="20"/>
                <w:color w:val="auto"/>
              </w:rPr>
            </w:pPr>
            <w:r>
              <w:rPr>
                <w:rFonts w:ascii="Arial" w:cs="Arial" w:eastAsia="Arial" w:hAnsi="Arial"/>
                <w:sz w:val="17"/>
                <w:szCs w:val="17"/>
                <w:color w:val="auto"/>
              </w:rPr>
              <w:t>Rental income</w:t>
            </w:r>
          </w:p>
        </w:tc>
        <w:tc>
          <w:tcPr>
            <w:tcW w:w="6300" w:type="dxa"/>
            <w:vAlign w:val="bottom"/>
            <w:gridSpan w:val="2"/>
          </w:tcPr>
          <w:p>
            <w:pPr>
              <w:ind w:left="58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Other property income</w:t>
            </w: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Expenses</w:t>
            </w:r>
          </w:p>
        </w:tc>
        <w:tc>
          <w:tcPr>
            <w:tcW w:w="5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Rental</w:t>
            </w: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tcPr>
          <w:p>
            <w:pPr>
              <w:ind w:left="440"/>
              <w:spacing w:after="0"/>
              <w:rPr>
                <w:sz w:val="20"/>
                <w:szCs w:val="20"/>
                <w:color w:val="auto"/>
              </w:rPr>
            </w:pPr>
            <w:r>
              <w:rPr>
                <w:rFonts w:ascii="Arial" w:cs="Arial" w:eastAsia="Arial" w:hAnsi="Arial"/>
                <w:sz w:val="17"/>
                <w:szCs w:val="17"/>
                <w:color w:val="auto"/>
              </w:rPr>
              <w:t>Real estate taxes</w:t>
            </w:r>
          </w:p>
        </w:tc>
        <w:tc>
          <w:tcPr>
            <w:tcW w:w="5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Depreciation and amortization</w:t>
            </w: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Operating income</w:t>
            </w: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3780" w:type="dxa"/>
            <w:vAlign w:val="bottom"/>
            <w:gridSpan w:val="3"/>
          </w:tcPr>
          <w:p>
            <w:pPr>
              <w:ind w:left="580"/>
              <w:spacing w:after="0"/>
              <w:rPr>
                <w:sz w:val="20"/>
                <w:szCs w:val="20"/>
                <w:color w:val="auto"/>
              </w:rPr>
            </w:pPr>
            <w:r>
              <w:rPr>
                <w:rFonts w:ascii="Arial" w:cs="Arial" w:eastAsia="Arial" w:hAnsi="Arial"/>
                <w:sz w:val="17"/>
                <w:szCs w:val="17"/>
                <w:color w:val="auto"/>
              </w:rPr>
              <w:t>Interest expense</w:t>
            </w:r>
          </w:p>
        </w:tc>
        <w:tc>
          <w:tcPr>
            <w:tcW w:w="5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109"/>
        </w:trPr>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8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8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6094730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6247765</wp:posOffset>
            </wp:positionH>
            <wp:positionV relativeFrom="paragraph">
              <wp:posOffset>-29210</wp:posOffset>
            </wp:positionV>
            <wp:extent cx="2095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6833870</wp:posOffset>
            </wp:positionH>
            <wp:positionV relativeFrom="paragraph">
              <wp:posOffset>-29210</wp:posOffset>
            </wp:positionV>
            <wp:extent cx="381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8" w:orient="portrait"/>
          <w:cols w:equalWidth="0" w:num="1">
            <w:col w:w="10840"/>
          </w:cols>
          <w:pgMar w:left="240" w:top="456" w:right="8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 - Joint Venture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5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5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520" w:type="dxa"/>
            <w:vAlign w:val="bottom"/>
          </w:tcPr>
          <w:p>
            <w:pPr>
              <w:spacing w:after="0"/>
              <w:rPr>
                <w:sz w:val="21"/>
                <w:szCs w:val="21"/>
                <w:color w:val="auto"/>
              </w:rPr>
            </w:pP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1054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63,986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5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5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Net real estate investments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105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20" w:type="dxa"/>
            <w:vAlign w:val="bottom"/>
          </w:tcPr>
          <w:p>
            <w:pPr>
              <w:spacing w:after="0"/>
              <w:rPr>
                <w:sz w:val="20"/>
                <w:szCs w:val="20"/>
                <w:color w:val="auto"/>
              </w:rPr>
            </w:pPr>
            <w:r>
              <w:rPr>
                <w:rFonts w:ascii="Arial" w:cs="Arial" w:eastAsia="Arial" w:hAnsi="Arial"/>
                <w:sz w:val="17"/>
                <w:szCs w:val="17"/>
                <w:color w:val="auto"/>
              </w:rPr>
              <w:t>Other assets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5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0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PARTNERS’ CAPITAL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1054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Mortgages</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20" w:type="dxa"/>
            <w:vAlign w:val="bottom"/>
          </w:tcPr>
          <w:p>
            <w:pPr>
              <w:ind w:left="420"/>
              <w:spacing w:after="0"/>
              <w:rPr>
                <w:sz w:val="20"/>
                <w:szCs w:val="20"/>
                <w:color w:val="auto"/>
              </w:rPr>
            </w:pPr>
            <w:r>
              <w:rPr>
                <w:rFonts w:ascii="Arial" w:cs="Arial" w:eastAsia="Arial" w:hAnsi="Arial"/>
                <w:sz w:val="17"/>
                <w:szCs w:val="17"/>
                <w:color w:val="auto"/>
              </w:rPr>
              <w:t>Other liabilities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10540" w:type="dxa"/>
            <w:vAlign w:val="bottom"/>
            <w:gridSpan w:val="2"/>
          </w:tcPr>
          <w:p>
            <w:pPr>
              <w:spacing w:after="0"/>
              <w:rPr>
                <w:sz w:val="20"/>
                <w:szCs w:val="20"/>
                <w:color w:val="auto"/>
              </w:rPr>
            </w:pPr>
            <w:r>
              <w:rPr>
                <w:rFonts w:ascii="Arial" w:cs="Arial" w:eastAsia="Arial" w:hAnsi="Arial"/>
                <w:sz w:val="17"/>
                <w:szCs w:val="17"/>
                <w:color w:val="auto"/>
              </w:rPr>
              <w:t>Partners’ Capital</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 Clarion Lion Properties Fund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20" w:type="dxa"/>
            <w:vAlign w:val="bottom"/>
          </w:tcPr>
          <w:p>
            <w:pPr>
              <w:ind w:left="420"/>
              <w:spacing w:after="0"/>
              <w:rPr>
                <w:sz w:val="20"/>
                <w:szCs w:val="20"/>
                <w:color w:val="auto"/>
              </w:rPr>
            </w:pPr>
            <w:r>
              <w:rPr>
                <w:rFonts w:ascii="Arial" w:cs="Arial" w:eastAsia="Arial" w:hAnsi="Arial"/>
                <w:sz w:val="17"/>
                <w:szCs w:val="17"/>
                <w:color w:val="auto"/>
              </w:rPr>
              <w:t>Capital - Federal Realty Investment Trust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5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Total partners’ capital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5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PARTNERS’ CAPITAL</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5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6689725</wp:posOffset>
            </wp:positionH>
            <wp:positionV relativeFrom="paragraph">
              <wp:posOffset>-2118995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-2118995</wp:posOffset>
            </wp:positionV>
            <wp:extent cx="2095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-2118995</wp:posOffset>
            </wp:positionV>
            <wp:extent cx="381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6689725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-29210</wp:posOffset>
            </wp:positionV>
            <wp:extent cx="2095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-29210</wp:posOffset>
            </wp:positionV>
            <wp:extent cx="381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 Joint Venture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6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2"/>
              </w:rPr>
              <w:t>Interest Rate as of</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rPr>
              <w:t>Maturity</w:t>
            </w:r>
          </w:p>
        </w:tc>
        <w:tc>
          <w:tcPr>
            <w:tcW w:w="176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2"/>
              </w:rPr>
              <w:t>September 30, 2004</w:t>
            </w:r>
          </w:p>
        </w:tc>
        <w:tc>
          <w:tcPr>
            <w:tcW w:w="1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2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1"/>
              </w:rPr>
              <w:t>(in thousands)</w:t>
            </w:r>
          </w:p>
        </w:tc>
        <w:tc>
          <w:tcPr>
            <w:tcW w:w="0" w:type="dxa"/>
            <w:vAlign w:val="bottom"/>
          </w:tcPr>
          <w:p>
            <w:pPr>
              <w:spacing w:after="0"/>
              <w:rPr>
                <w:sz w:val="1"/>
                <w:szCs w:val="1"/>
                <w:color w:val="auto"/>
              </w:rPr>
            </w:pPr>
          </w:p>
        </w:tc>
      </w:tr>
      <w:tr>
        <w:trPr>
          <w:trHeight w:val="174"/>
        </w:trPr>
        <w:tc>
          <w:tcPr>
            <w:tcW w:w="7700" w:type="dxa"/>
            <w:vAlign w:val="bottom"/>
            <w:gridSpan w:val="2"/>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Mortgage Loans</w:t>
            </w:r>
          </w:p>
        </w:tc>
        <w:tc>
          <w:tcPr>
            <w:tcW w:w="6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700" w:type="dxa"/>
            <w:vAlign w:val="bottom"/>
            <w:gridSpan w:val="2"/>
          </w:tcPr>
          <w:p>
            <w:pPr>
              <w:ind w:left="440"/>
              <w:spacing w:after="0"/>
              <w:rPr>
                <w:sz w:val="20"/>
                <w:szCs w:val="20"/>
                <w:color w:val="auto"/>
              </w:rPr>
            </w:pPr>
            <w:r>
              <w:rPr>
                <w:rFonts w:ascii="Arial" w:cs="Arial" w:eastAsia="Arial" w:hAnsi="Arial"/>
                <w:sz w:val="17"/>
                <w:szCs w:val="17"/>
                <w:i w:val="1"/>
                <w:iCs w:val="1"/>
                <w:color w:val="auto"/>
              </w:rPr>
              <w:t>Secured Fixed Rate</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Plaza del Mercado</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3"/>
              </w:rPr>
              <w:t>07/05/14</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5.770%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2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700" w:type="dxa"/>
            <w:vAlign w:val="bottom"/>
            <w:gridSpan w:val="2"/>
            <w:shd w:val="clear" w:color="auto" w:fill="CCEEFF"/>
          </w:tcPr>
          <w:p>
            <w:pPr>
              <w:ind w:left="860"/>
              <w:spacing w:after="0"/>
              <w:rPr>
                <w:sz w:val="20"/>
                <w:szCs w:val="20"/>
                <w:color w:val="auto"/>
              </w:rPr>
            </w:pPr>
            <w:r>
              <w:rPr>
                <w:rFonts w:ascii="Arial" w:cs="Arial" w:eastAsia="Arial" w:hAnsi="Arial"/>
                <w:sz w:val="17"/>
                <w:szCs w:val="17"/>
                <w:b w:val="1"/>
                <w:bCs w:val="1"/>
                <w:color w:val="auto"/>
              </w:rPr>
              <w:t>Total Fixed Rate Debt</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2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6731635</wp:posOffset>
            </wp:positionH>
            <wp:positionV relativeFrom="paragraph">
              <wp:posOffset>-26670</wp:posOffset>
            </wp:positionV>
            <wp:extent cx="52260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2605" cy="298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2004 Acquisitions and Dispositions - Joint Venture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Acquisitions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gridSpan w:val="4"/>
          </w:tcPr>
          <w:p>
            <w:pPr>
              <w:spacing w:after="0"/>
              <w:rPr>
                <w:sz w:val="20"/>
                <w:szCs w:val="20"/>
                <w:color w:val="auto"/>
              </w:rPr>
            </w:pPr>
            <w:r>
              <w:rPr>
                <w:rFonts w:ascii="Arial" w:cs="Arial" w:eastAsia="Arial" w:hAnsi="Arial"/>
                <w:sz w:val="13"/>
                <w:szCs w:val="13"/>
                <w:b w:val="1"/>
                <w:bCs w:val="1"/>
                <w:color w:val="auto"/>
              </w:rPr>
              <w:t>Date</w:t>
            </w:r>
          </w:p>
        </w:tc>
        <w:tc>
          <w:tcPr>
            <w:tcW w:w="560" w:type="dxa"/>
            <w:vAlign w:val="bottom"/>
          </w:tcPr>
          <w:p>
            <w:pPr>
              <w:spacing w:after="0"/>
              <w:rPr>
                <w:sz w:val="15"/>
                <w:szCs w:val="15"/>
                <w:color w:val="auto"/>
              </w:rPr>
            </w:pPr>
          </w:p>
        </w:tc>
        <w:tc>
          <w:tcPr>
            <w:tcW w:w="2040" w:type="dxa"/>
            <w:vAlign w:val="bottom"/>
          </w:tcPr>
          <w:p>
            <w:pPr>
              <w:ind w:left="760"/>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15"/>
                <w:szCs w:val="15"/>
                <w:color w:val="auto"/>
              </w:rPr>
            </w:pPr>
          </w:p>
        </w:tc>
        <w:tc>
          <w:tcPr>
            <w:tcW w:w="2040" w:type="dxa"/>
            <w:vAlign w:val="bottom"/>
          </w:tcPr>
          <w:p>
            <w:pPr>
              <w:ind w:left="720"/>
              <w:spacing w:after="0"/>
              <w:rPr>
                <w:sz w:val="20"/>
                <w:szCs w:val="20"/>
                <w:color w:val="auto"/>
              </w:rPr>
            </w:pPr>
            <w:r>
              <w:rPr>
                <w:rFonts w:ascii="Arial" w:cs="Arial" w:eastAsia="Arial" w:hAnsi="Arial"/>
                <w:sz w:val="13"/>
                <w:szCs w:val="13"/>
                <w:b w:val="1"/>
                <w:bCs w:val="1"/>
                <w:color w:val="auto"/>
              </w:rPr>
              <w:t>City /State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GLA</w:t>
            </w:r>
          </w:p>
        </w:tc>
        <w:tc>
          <w:tcPr>
            <w:tcW w:w="200" w:type="dxa"/>
            <w:vAlign w:val="bottom"/>
          </w:tcPr>
          <w:p>
            <w:pPr>
              <w:spacing w:after="0"/>
              <w:rPr>
                <w:sz w:val="15"/>
                <w:szCs w:val="15"/>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0"/>
              </w:rPr>
              <w:t>Purchase price</w:t>
            </w:r>
          </w:p>
        </w:tc>
        <w:tc>
          <w:tcPr>
            <w:tcW w:w="2520" w:type="dxa"/>
            <w:vAlign w:val="bottom"/>
          </w:tcPr>
          <w:p>
            <w:pPr>
              <w:ind w:left="820"/>
              <w:spacing w:after="0"/>
              <w:rPr>
                <w:sz w:val="20"/>
                <w:szCs w:val="20"/>
                <w:color w:val="auto"/>
              </w:rPr>
            </w:pPr>
            <w:r>
              <w:rPr>
                <w:rFonts w:ascii="Arial" w:cs="Arial" w:eastAsia="Arial" w:hAnsi="Arial"/>
                <w:sz w:val="13"/>
                <w:szCs w:val="13"/>
                <w:b w:val="1"/>
                <w:bCs w:val="1"/>
                <w:color w:val="auto"/>
              </w:rPr>
              <w:t>Anchor tenants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1"/>
              </w:rPr>
              <w:t>(in thousands)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July 1, 2004</w:t>
            </w:r>
          </w:p>
        </w:tc>
        <w:tc>
          <w:tcPr>
            <w:tcW w:w="26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Plaza del Mercado(1)</w:t>
            </w: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Silver Spring, MD</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96,000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20,578</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Giant Food, CVS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Roche Brothers Supermarket,</w:t>
            </w:r>
          </w:p>
        </w:tc>
        <w:tc>
          <w:tcPr>
            <w:tcW w:w="0" w:type="dxa"/>
            <w:vAlign w:val="bottom"/>
          </w:tcPr>
          <w:p>
            <w:pPr>
              <w:spacing w:after="0"/>
              <w:rPr>
                <w:sz w:val="1"/>
                <w:szCs w:val="1"/>
                <w:color w:val="auto"/>
              </w:rPr>
            </w:pPr>
          </w:p>
        </w:tc>
      </w:tr>
      <w:tr>
        <w:trPr>
          <w:trHeight w:val="221"/>
        </w:trPr>
        <w:tc>
          <w:tcPr>
            <w:tcW w:w="1960" w:type="dxa"/>
            <w:vAlign w:val="bottom"/>
            <w:gridSpan w:val="4"/>
          </w:tcPr>
          <w:p>
            <w:pPr>
              <w:spacing w:after="0"/>
              <w:rPr>
                <w:sz w:val="20"/>
                <w:szCs w:val="20"/>
                <w:color w:val="auto"/>
              </w:rPr>
            </w:pPr>
            <w:r>
              <w:rPr>
                <w:rFonts w:ascii="Arial" w:cs="Arial" w:eastAsia="Arial" w:hAnsi="Arial"/>
                <w:sz w:val="17"/>
                <w:szCs w:val="17"/>
                <w:color w:val="auto"/>
              </w:rPr>
              <w:t>September 20, 2004</w:t>
            </w:r>
          </w:p>
        </w:tc>
        <w:tc>
          <w:tcPr>
            <w:tcW w:w="2600" w:type="dxa"/>
            <w:vAlign w:val="bottom"/>
            <w:gridSpan w:val="2"/>
          </w:tcPr>
          <w:p>
            <w:pPr>
              <w:ind w:left="560"/>
              <w:spacing w:after="0"/>
              <w:rPr>
                <w:sz w:val="20"/>
                <w:szCs w:val="20"/>
                <w:color w:val="auto"/>
              </w:rPr>
            </w:pPr>
            <w:r>
              <w:rPr>
                <w:rFonts w:ascii="Arial" w:cs="Arial" w:eastAsia="Arial" w:hAnsi="Arial"/>
                <w:sz w:val="17"/>
                <w:szCs w:val="17"/>
                <w:color w:val="auto"/>
              </w:rPr>
              <w:t>Campus Plaza</w:t>
            </w:r>
          </w:p>
        </w:tc>
        <w:tc>
          <w:tcPr>
            <w:tcW w:w="2260" w:type="dxa"/>
            <w:vAlign w:val="bottom"/>
            <w:gridSpan w:val="2"/>
          </w:tcPr>
          <w:p>
            <w:pPr>
              <w:ind w:left="220"/>
              <w:spacing w:after="0"/>
              <w:rPr>
                <w:sz w:val="20"/>
                <w:szCs w:val="20"/>
                <w:color w:val="auto"/>
              </w:rPr>
            </w:pPr>
            <w:r>
              <w:rPr>
                <w:rFonts w:ascii="Arial" w:cs="Arial" w:eastAsia="Arial" w:hAnsi="Arial"/>
                <w:sz w:val="17"/>
                <w:szCs w:val="17"/>
                <w:color w:val="auto"/>
              </w:rPr>
              <w:t>Bridgewater, MA</w:t>
            </w:r>
          </w:p>
        </w:tc>
        <w:tc>
          <w:tcPr>
            <w:tcW w:w="800" w:type="dxa"/>
            <w:vAlign w:val="bottom"/>
            <w:gridSpan w:val="4"/>
          </w:tcPr>
          <w:p>
            <w:pPr>
              <w:jc w:val="right"/>
              <w:ind w:right="20"/>
              <w:spacing w:after="0"/>
              <w:rPr>
                <w:sz w:val="20"/>
                <w:szCs w:val="20"/>
                <w:color w:val="auto"/>
              </w:rPr>
            </w:pPr>
            <w:r>
              <w:rPr>
                <w:rFonts w:ascii="Arial" w:cs="Arial" w:eastAsia="Arial" w:hAnsi="Arial"/>
                <w:sz w:val="17"/>
                <w:szCs w:val="17"/>
                <w:color w:val="auto"/>
              </w:rPr>
              <w:t>121,000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17,725</w:t>
            </w:r>
          </w:p>
        </w:tc>
        <w:tc>
          <w:tcPr>
            <w:tcW w:w="2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Burlington Coat Factory</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September 20, 2004</w:t>
            </w:r>
          </w:p>
        </w:tc>
        <w:tc>
          <w:tcPr>
            <w:tcW w:w="26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Pleasant Shops</w:t>
            </w: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Weymouth, MA</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128,000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20,275</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w w:val="90"/>
              </w:rPr>
              <w:t>Foodmaster Supermarket, Marshalls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345,000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58,578</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-171450</wp:posOffset>
            </wp:positionV>
            <wp:extent cx="104902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49020"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July 1, 2004, we contributed Plaza del Mercado to a newly formed joint venture in which we own 30% of the equity.</w:t>
      </w:r>
    </w:p>
    <w:p>
      <w:pPr>
        <w:sectPr>
          <w:pgSz w:w="11900" w:h="16838" w:orient="portrait"/>
          <w:cols w:equalWidth="0" w:num="1">
            <w:col w:w="11420"/>
          </w:cols>
          <w:pgMar w:left="240" w:top="456"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Joint Venture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Mortgage or</w:t>
            </w:r>
          </w:p>
        </w:tc>
        <w:tc>
          <w:tcPr>
            <w:tcW w:w="2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3"/>
                <w:szCs w:val="13"/>
                <w:b w:val="1"/>
                <w:bCs w:val="1"/>
                <w:color w:val="auto"/>
                <w:w w:val="92"/>
              </w:rPr>
              <w:t>Grocery</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auto"/>
              </w:rPr>
              <w:t>Year</w:t>
            </w:r>
          </w:p>
        </w:tc>
        <w:tc>
          <w:tcPr>
            <w:tcW w:w="820" w:type="dxa"/>
            <w:vAlign w:val="bottom"/>
          </w:tcPr>
          <w:p>
            <w:pPr>
              <w:jc w:val="right"/>
              <w:ind w:right="182"/>
              <w:spacing w:after="0" w:line="148"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Capital Lease</w:t>
            </w:r>
          </w:p>
        </w:tc>
        <w:tc>
          <w:tcPr>
            <w:tcW w:w="200" w:type="dxa"/>
            <w:vAlign w:val="bottom"/>
          </w:tcPr>
          <w:p>
            <w:pPr>
              <w:spacing w:after="0"/>
              <w:rPr>
                <w:sz w:val="12"/>
                <w:szCs w:val="12"/>
                <w:color w:val="auto"/>
              </w:rPr>
            </w:pPr>
          </w:p>
        </w:tc>
        <w:tc>
          <w:tcPr>
            <w:tcW w:w="480" w:type="dxa"/>
            <w:vAlign w:val="bottom"/>
          </w:tcPr>
          <w:p>
            <w:pPr>
              <w:ind w:left="20"/>
              <w:spacing w:after="0" w:line="148" w:lineRule="exact"/>
              <w:rPr>
                <w:sz w:val="20"/>
                <w:szCs w:val="20"/>
                <w:color w:val="auto"/>
              </w:rPr>
            </w:pPr>
            <w:r>
              <w:rPr>
                <w:rFonts w:ascii="Arial" w:cs="Arial" w:eastAsia="Arial" w:hAnsi="Arial"/>
                <w:sz w:val="13"/>
                <w:szCs w:val="13"/>
                <w:b w:val="1"/>
                <w:bCs w:val="1"/>
                <w:color w:val="auto"/>
                <w:w w:val="96"/>
              </w:rPr>
              <w:t>Anchor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gridSpan w:val="10"/>
          </w:tcPr>
          <w:p>
            <w:pPr>
              <w:spacing w:after="0"/>
              <w:rPr>
                <w:sz w:val="20"/>
                <w:szCs w:val="20"/>
                <w:color w:val="auto"/>
              </w:rPr>
            </w:pPr>
            <w:r>
              <w:rPr>
                <w:rFonts w:ascii="Arial" w:cs="Arial" w:eastAsia="Arial" w:hAnsi="Arial"/>
                <w:sz w:val="13"/>
                <w:szCs w:val="13"/>
                <w:b w:val="1"/>
                <w:bCs w:val="1"/>
                <w:color w:val="auto"/>
              </w:rPr>
              <w:t>Property Name</w:t>
            </w:r>
          </w:p>
        </w:tc>
        <w:tc>
          <w:tcPr>
            <w:tcW w:w="980" w:type="dxa"/>
            <w:vAlign w:val="bottom"/>
          </w:tcPr>
          <w:p>
            <w:pPr>
              <w:spacing w:after="0"/>
              <w:rPr>
                <w:sz w:val="20"/>
                <w:szCs w:val="20"/>
                <w:color w:val="auto"/>
              </w:rPr>
            </w:pPr>
            <w:r>
              <w:rPr>
                <w:rFonts w:ascii="Arial" w:cs="Arial" w:eastAsia="Arial" w:hAnsi="Arial"/>
                <w:sz w:val="13"/>
                <w:szCs w:val="13"/>
                <w:b w:val="1"/>
                <w:bCs w:val="1"/>
                <w:color w:val="auto"/>
                <w:w w:val="92"/>
              </w:rPr>
              <w:t>MSA Description</w:t>
            </w:r>
          </w:p>
        </w:tc>
        <w:tc>
          <w:tcPr>
            <w:tcW w:w="2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8"/>
              </w:rPr>
              <w:t>Acquired</w:t>
            </w:r>
          </w:p>
        </w:tc>
        <w:tc>
          <w:tcPr>
            <w:tcW w:w="820" w:type="dxa"/>
            <w:vAlign w:val="bottom"/>
          </w:tcPr>
          <w:p>
            <w:pPr>
              <w:jc w:val="right"/>
              <w:ind w:right="22"/>
              <w:spacing w:after="0"/>
              <w:rPr>
                <w:sz w:val="20"/>
                <w:szCs w:val="20"/>
                <w:color w:val="auto"/>
              </w:rPr>
            </w:pPr>
            <w:r>
              <w:rPr>
                <w:rFonts w:ascii="Arial" w:cs="Arial" w:eastAsia="Arial" w:hAnsi="Arial"/>
                <w:sz w:val="13"/>
                <w:szCs w:val="13"/>
                <w:b w:val="1"/>
                <w:bCs w:val="1"/>
                <w:color w:val="auto"/>
              </w:rPr>
              <w:t>Investment</w:t>
            </w:r>
          </w:p>
        </w:tc>
        <w:tc>
          <w:tcPr>
            <w:tcW w:w="18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GLA</w:t>
            </w: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 Leased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Obligation</w:t>
            </w:r>
          </w:p>
        </w:tc>
        <w:tc>
          <w:tcPr>
            <w:tcW w:w="2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3"/>
                <w:szCs w:val="13"/>
                <w:b w:val="1"/>
                <w:bCs w:val="1"/>
                <w:color w:val="auto"/>
                <w:w w:val="97"/>
              </w:rPr>
              <w:t>GLA (1)</w:t>
            </w:r>
          </w:p>
        </w:tc>
        <w:tc>
          <w:tcPr>
            <w:tcW w:w="18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b w:val="1"/>
                <w:bCs w:val="1"/>
                <w:color w:val="auto"/>
                <w:w w:val="92"/>
              </w:rPr>
              <w:t>Grocery Anchor (1)</w:t>
            </w:r>
          </w:p>
        </w:tc>
        <w:tc>
          <w:tcPr>
            <w:tcW w:w="200" w:type="dxa"/>
            <w:vAlign w:val="bottom"/>
          </w:tcPr>
          <w:p>
            <w:pPr>
              <w:spacing w:after="0"/>
              <w:rPr>
                <w:sz w:val="15"/>
                <w:szCs w:val="15"/>
                <w:color w:val="auto"/>
              </w:rPr>
            </w:pPr>
          </w:p>
        </w:tc>
        <w:tc>
          <w:tcPr>
            <w:tcW w:w="1400" w:type="dxa"/>
            <w:vAlign w:val="bottom"/>
          </w:tcPr>
          <w:p>
            <w:pPr>
              <w:ind w:left="20"/>
              <w:spacing w:after="0"/>
              <w:rPr>
                <w:sz w:val="20"/>
                <w:szCs w:val="20"/>
                <w:color w:val="auto"/>
              </w:rPr>
            </w:pPr>
            <w:r>
              <w:rPr>
                <w:rFonts w:ascii="Arial" w:cs="Arial" w:eastAsia="Arial" w:hAnsi="Arial"/>
                <w:sz w:val="13"/>
                <w:szCs w:val="13"/>
                <w:b w:val="1"/>
                <w:bCs w:val="1"/>
                <w:color w:val="auto"/>
                <w:w w:val="92"/>
              </w:rPr>
              <w:t>Other Principal Tenants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(in thousands)</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(in thousands)</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20" w:type="dxa"/>
            <w:vAlign w:val="bottom"/>
            <w:tcBorders>
              <w:bottom w:val="single" w:sz="8" w:color="auto"/>
            </w:tcBorders>
            <w:gridSpan w:val="7"/>
            <w:shd w:val="clear" w:color="auto" w:fill="CCEEFF"/>
          </w:tcPr>
          <w:p>
            <w:pPr>
              <w:spacing w:after="0" w:line="174" w:lineRule="exact"/>
              <w:rPr>
                <w:sz w:val="20"/>
                <w:szCs w:val="20"/>
                <w:color w:val="auto"/>
              </w:rPr>
            </w:pPr>
            <w:r>
              <w:rPr>
                <w:rFonts w:ascii="Arial" w:cs="Arial" w:eastAsia="Arial" w:hAnsi="Arial"/>
                <w:sz w:val="17"/>
                <w:szCs w:val="17"/>
                <w:b w:val="1"/>
                <w:bCs w:val="1"/>
                <w:color w:val="auto"/>
                <w:w w:val="93"/>
              </w:rPr>
              <w:t>Mid-Atlantic Region</w:t>
            </w:r>
          </w:p>
        </w:tc>
        <w:tc>
          <w:tcPr>
            <w:tcW w:w="920" w:type="dxa"/>
            <w:vAlign w:val="bottom"/>
            <w:tcBorders>
              <w:bottom w:val="single" w:sz="8" w:color="CCEEFF"/>
            </w:tcBorders>
            <w:gridSpan w:val="2"/>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2460" w:type="dxa"/>
            <w:vAlign w:val="bottom"/>
            <w:gridSpan w:val="10"/>
          </w:tcPr>
          <w:p>
            <w:pPr>
              <w:spacing w:after="0"/>
              <w:rPr>
                <w:sz w:val="20"/>
                <w:szCs w:val="20"/>
                <w:color w:val="auto"/>
              </w:rPr>
            </w:pPr>
            <w:r>
              <w:rPr>
                <w:rFonts w:ascii="Arial" w:cs="Arial" w:eastAsia="Arial" w:hAnsi="Arial"/>
                <w:sz w:val="17"/>
                <w:szCs w:val="17"/>
                <w:b w:val="1"/>
                <w:bCs w:val="1"/>
                <w:color w:val="auto"/>
              </w:rPr>
              <w:t>Washington Metropolitan</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7"/>
          </w:tcPr>
          <w:p>
            <w:pPr>
              <w:spacing w:after="0" w:line="194" w:lineRule="exact"/>
              <w:rPr>
                <w:sz w:val="20"/>
                <w:szCs w:val="20"/>
                <w:color w:val="auto"/>
              </w:rPr>
            </w:pPr>
            <w:r>
              <w:rPr>
                <w:rFonts w:ascii="Arial" w:cs="Arial" w:eastAsia="Arial" w:hAnsi="Arial"/>
                <w:sz w:val="17"/>
                <w:szCs w:val="17"/>
                <w:b w:val="1"/>
                <w:bCs w:val="1"/>
                <w:color w:val="auto"/>
              </w:rPr>
              <w:t>Area</w:t>
            </w: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44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Plaza del Mercado</w:t>
            </w: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Washington,</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DC-MD-VA</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2004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20,728</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8"/>
              </w:rPr>
              <w:t>25,000</w:t>
            </w: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Giant Food</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CVS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96%</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7"/>
                <w:szCs w:val="17"/>
                <w:b w:val="1"/>
                <w:bCs w:val="1"/>
                <w:color w:val="auto"/>
              </w:rPr>
              <w:t>Total Mid-</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7"/>
                <w:szCs w:val="17"/>
                <w:b w:val="1"/>
                <w:bCs w:val="1"/>
                <w:color w:val="auto"/>
              </w:rPr>
              <w:t>Atlantic</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7"/>
                <w:szCs w:val="17"/>
                <w:b w:val="1"/>
                <w:bCs w:val="1"/>
                <w:color w:val="auto"/>
              </w:rPr>
              <w:t>Region</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96,000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2440" w:type="dxa"/>
            <w:vAlign w:val="bottom"/>
            <w:gridSpan w:val="9"/>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Northeast Region</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460" w:type="dxa"/>
            <w:vAlign w:val="bottom"/>
            <w:gridSpan w:val="10"/>
          </w:tcPr>
          <w:p>
            <w:pPr>
              <w:spacing w:after="0"/>
              <w:rPr>
                <w:sz w:val="20"/>
                <w:szCs w:val="20"/>
                <w:color w:val="auto"/>
              </w:rPr>
            </w:pPr>
            <w:r>
              <w:rPr>
                <w:rFonts w:ascii="Arial" w:cs="Arial" w:eastAsia="Arial" w:hAnsi="Arial"/>
                <w:sz w:val="17"/>
                <w:szCs w:val="17"/>
                <w:b w:val="1"/>
                <w:bCs w:val="1"/>
                <w:color w:val="auto"/>
              </w:rPr>
              <w:t>New England</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44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Campus Plaza</w:t>
            </w: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Boston-</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Worcester-</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Lawrence-</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Lowell-</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Burlington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Brockton,</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Roche</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Coat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MA</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2004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20,847</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121,000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95%</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8"/>
              </w:rPr>
              <w:t>46,000</w:t>
            </w: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Brothers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Factory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9"/>
          </w:tcPr>
          <w:p>
            <w:pPr>
              <w:spacing w:after="0"/>
              <w:rPr>
                <w:sz w:val="20"/>
                <w:szCs w:val="20"/>
                <w:color w:val="auto"/>
              </w:rPr>
            </w:pPr>
            <w:r>
              <w:rPr>
                <w:rFonts w:ascii="Arial" w:cs="Arial" w:eastAsia="Arial" w:hAnsi="Arial"/>
                <w:sz w:val="17"/>
                <w:szCs w:val="17"/>
                <w:color w:val="auto"/>
              </w:rPr>
              <w:t>Pleasant Shops</w:t>
            </w:r>
          </w:p>
        </w:tc>
        <w:tc>
          <w:tcPr>
            <w:tcW w:w="980" w:type="dxa"/>
            <w:vAlign w:val="bottom"/>
          </w:tcPr>
          <w:p>
            <w:pPr>
              <w:spacing w:after="0"/>
              <w:rPr>
                <w:sz w:val="20"/>
                <w:szCs w:val="20"/>
                <w:color w:val="auto"/>
              </w:rPr>
            </w:pPr>
            <w:r>
              <w:rPr>
                <w:rFonts w:ascii="Arial" w:cs="Arial" w:eastAsia="Arial" w:hAnsi="Arial"/>
                <w:sz w:val="17"/>
                <w:szCs w:val="17"/>
                <w:color w:val="auto"/>
              </w:rPr>
              <w:t>Boston-</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7"/>
                <w:szCs w:val="17"/>
                <w:color w:val="auto"/>
              </w:rPr>
              <w:t>Worcester-</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7"/>
                <w:szCs w:val="17"/>
                <w:color w:val="auto"/>
              </w:rPr>
              <w:t>Lawrence-</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7"/>
                <w:szCs w:val="17"/>
                <w:color w:val="auto"/>
              </w:rPr>
              <w:t>Lowell-</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7"/>
                <w:szCs w:val="17"/>
                <w:color w:val="auto"/>
              </w:rPr>
              <w:t>Brockton,</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7"/>
                <w:szCs w:val="17"/>
                <w:color w:val="auto"/>
              </w:rPr>
              <w:t>MA</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2004</w:t>
            </w:r>
          </w:p>
        </w:tc>
        <w:tc>
          <w:tcPr>
            <w:tcW w:w="820" w:type="dxa"/>
            <w:vAlign w:val="bottom"/>
          </w:tcPr>
          <w:p>
            <w:pPr>
              <w:jc w:val="right"/>
              <w:spacing w:after="0"/>
              <w:rPr>
                <w:sz w:val="20"/>
                <w:szCs w:val="20"/>
                <w:color w:val="auto"/>
              </w:rPr>
            </w:pPr>
            <w:r>
              <w:rPr>
                <w:rFonts w:ascii="Arial" w:cs="Arial" w:eastAsia="Arial" w:hAnsi="Arial"/>
                <w:sz w:val="17"/>
                <w:szCs w:val="17"/>
                <w:color w:val="auto"/>
              </w:rPr>
              <w:t>22,411</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128,000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800" w:type="dxa"/>
            <w:vAlign w:val="bottom"/>
          </w:tcPr>
          <w:p>
            <w:pPr>
              <w:jc w:val="right"/>
              <w:spacing w:after="0"/>
              <w:rPr>
                <w:sz w:val="20"/>
                <w:szCs w:val="20"/>
                <w:color w:val="auto"/>
              </w:rPr>
            </w:pPr>
            <w:r>
              <w:rPr>
                <w:rFonts w:ascii="Arial" w:cs="Arial" w:eastAsia="Arial" w:hAnsi="Arial"/>
                <w:sz w:val="17"/>
                <w:szCs w:val="17"/>
                <w:color w:val="auto"/>
              </w:rPr>
              <w:t>0</w:t>
            </w:r>
          </w:p>
        </w:tc>
        <w:tc>
          <w:tcPr>
            <w:tcW w:w="680" w:type="dxa"/>
            <w:vAlign w:val="bottom"/>
            <w:gridSpan w:val="2"/>
          </w:tcPr>
          <w:p>
            <w:pPr>
              <w:ind w:left="200"/>
              <w:spacing w:after="0"/>
              <w:rPr>
                <w:sz w:val="20"/>
                <w:szCs w:val="20"/>
                <w:color w:val="auto"/>
              </w:rPr>
            </w:pPr>
            <w:r>
              <w:rPr>
                <w:rFonts w:ascii="Arial" w:cs="Arial" w:eastAsia="Arial" w:hAnsi="Arial"/>
                <w:sz w:val="17"/>
                <w:szCs w:val="17"/>
                <w:color w:val="auto"/>
                <w:w w:val="88"/>
              </w:rPr>
              <w:t>38,000</w:t>
            </w:r>
          </w:p>
        </w:tc>
        <w:tc>
          <w:tcPr>
            <w:tcW w:w="1300" w:type="dxa"/>
            <w:vAlign w:val="bottom"/>
            <w:gridSpan w:val="2"/>
          </w:tcPr>
          <w:p>
            <w:pPr>
              <w:ind w:left="180"/>
              <w:spacing w:after="0"/>
              <w:rPr>
                <w:sz w:val="20"/>
                <w:szCs w:val="20"/>
                <w:color w:val="auto"/>
              </w:rPr>
            </w:pPr>
            <w:r>
              <w:rPr>
                <w:rFonts w:ascii="Arial" w:cs="Arial" w:eastAsia="Arial" w:hAnsi="Arial"/>
                <w:sz w:val="17"/>
                <w:szCs w:val="17"/>
                <w:color w:val="auto"/>
              </w:rPr>
              <w:t>Foodmaster</w:t>
            </w:r>
          </w:p>
        </w:tc>
        <w:tc>
          <w:tcPr>
            <w:tcW w:w="2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Marshalls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249,000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97%</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7"/>
                <w:szCs w:val="17"/>
                <w:b w:val="1"/>
                <w:bCs w:val="1"/>
                <w:color w:val="auto"/>
              </w:rPr>
              <w:t>Northeast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7"/>
                <w:szCs w:val="17"/>
                <w:b w:val="1"/>
                <w:bCs w:val="1"/>
                <w:color w:val="auto"/>
              </w:rPr>
              <w:t>Region</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249,000</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4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Total</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63,986</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345,000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ectPr>
          <w:pgSz w:w="11900" w:h="16838" w:orient="portrait"/>
          <w:cols w:equalWidth="0" w:num="1">
            <w:col w:w="11420"/>
          </w:cols>
          <w:pgMar w:left="240" w:top="456"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Glossary of Terms</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EBITDA</w:t>
      </w:r>
      <w:r>
        <w:rPr>
          <w:rFonts w:ascii="Arial" w:cs="Arial" w:eastAsia="Arial" w:hAnsi="Arial"/>
          <w:sz w:val="17"/>
          <w:szCs w:val="17"/>
          <w:color w:val="auto"/>
        </w:rPr>
        <w:t>: EBITDA is a non-GAAP measure that means net income or loss plus interest expense, income taxes, depreciation and amortization; adjusted for gain or</w:t>
      </w:r>
      <w:r>
        <w:rPr>
          <w:rFonts w:ascii="Arial" w:cs="Arial" w:eastAsia="Arial" w:hAnsi="Arial"/>
          <w:sz w:val="17"/>
          <w:szCs w:val="17"/>
          <w:b w:val="1"/>
          <w:bCs w:val="1"/>
          <w:color w:val="auto"/>
        </w:rPr>
        <w:t xml:space="preserve"> </w:t>
      </w:r>
      <w:r>
        <w:rPr>
          <w:rFonts w:ascii="Arial" w:cs="Arial" w:eastAsia="Arial" w:hAnsi="Arial"/>
          <w:sz w:val="17"/>
          <w:szCs w:val="17"/>
          <w:color w:val="auto"/>
        </w:rPr>
        <w:t>loss on sale of assets, impairment provisions, provision for loss on equity securities and other nonrecurring expenses. EBITDA is presented because it provides useful information regarding our ability to service debt. EBITDA should not be considered an alternative measure of operating results or cash flow from operations as determined in accordance with GAAP. The reconciliation of EBITDA, adjusted for discontinued operations, to net income for the nine months ended September 30, 2004 and 2003 is as follows:</w:t>
      </w:r>
    </w:p>
    <w:p>
      <w:pPr>
        <w:spacing w:after="0" w:line="112" w:lineRule="exact"/>
        <w:rPr>
          <w:sz w:val="20"/>
          <w:szCs w:val="20"/>
          <w:color w:val="auto"/>
        </w:rPr>
      </w:pPr>
    </w:p>
    <w:p>
      <w:pPr>
        <w:jc w:val="center"/>
        <w:ind w:left="9500"/>
        <w:spacing w:after="0"/>
        <w:rPr>
          <w:sz w:val="20"/>
          <w:szCs w:val="20"/>
          <w:color w:val="auto"/>
        </w:rPr>
      </w:pPr>
      <w:r>
        <w:rPr>
          <w:rFonts w:ascii="Arial" w:cs="Arial" w:eastAsia="Arial" w:hAnsi="Arial"/>
          <w:sz w:val="13"/>
          <w:szCs w:val="13"/>
          <w:b w:val="1"/>
          <w:bCs w:val="1"/>
          <w:color w:val="auto"/>
        </w:rPr>
        <w:t>For the Nine Months Ended</w:t>
      </w:r>
    </w:p>
    <w:p>
      <w:pPr>
        <w:spacing w:after="0" w:line="12" w:lineRule="exact"/>
        <w:rPr>
          <w:sz w:val="20"/>
          <w:szCs w:val="20"/>
          <w:color w:val="auto"/>
        </w:rPr>
      </w:pPr>
    </w:p>
    <w:p>
      <w:pPr>
        <w:jc w:val="center"/>
        <w:ind w:left="9500"/>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6071235</wp:posOffset>
            </wp:positionH>
            <wp:positionV relativeFrom="paragraph">
              <wp:posOffset>66040</wp:posOffset>
            </wp:positionV>
            <wp:extent cx="11385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9"/>
              <w:spacing w:after="0"/>
              <w:rPr>
                <w:sz w:val="20"/>
                <w:szCs w:val="20"/>
                <w:color w:val="auto"/>
              </w:rPr>
            </w:pPr>
            <w:r>
              <w:rPr>
                <w:rFonts w:ascii="Arial" w:cs="Arial" w:eastAsia="Arial" w:hAnsi="Arial"/>
                <w:sz w:val="13"/>
                <w:szCs w:val="13"/>
                <w:b w:val="1"/>
                <w:bCs w:val="1"/>
                <w:color w:val="auto"/>
              </w:rPr>
              <w:t>2004</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jc w:val="right"/>
              <w:ind w:right="176"/>
              <w:spacing w:after="0"/>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62,238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67,148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54,317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Interest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(9,331)</w:t>
            </w: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(7,723)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183,890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6069330</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-29210</wp:posOffset>
            </wp:positionV>
            <wp:extent cx="2095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-29210</wp:posOffset>
            </wp:positionV>
            <wp:extent cx="70929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09295" cy="29845"/>
                    </a:xfrm>
                    <a:prstGeom prst="rect">
                      <a:avLst/>
                    </a:prstGeom>
                    <a:noFill/>
                  </pic:spPr>
                </pic:pic>
              </a:graphicData>
            </a:graphic>
          </wp:anchor>
        </w:drawing>
      </w:r>
    </w:p>
    <w:p>
      <w:pPr>
        <w:spacing w:after="0" w:line="21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Gross revenues, including interest income, less rental expenses and real estate taxes.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 Portfolio</w:t>
      </w:r>
      <w:r>
        <w:rPr>
          <w:rFonts w:ascii="Arial" w:cs="Arial" w:eastAsia="Arial" w:hAnsi="Arial"/>
          <w:sz w:val="17"/>
          <w:szCs w:val="17"/>
          <w:color w:val="auto"/>
        </w:rPr>
        <w:t>: Includes all operating properties owned in reporting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Excludes centers purchased or sold.</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7"/>
          <w:szCs w:val="17"/>
          <w:b w:val="1"/>
          <w:bCs w:val="1"/>
          <w:color w:val="auto"/>
        </w:rPr>
        <w:t xml:space="preserve">Tenant improvements: </w:t>
      </w:r>
      <w:r>
        <w:rPr>
          <w:rFonts w:ascii="Arial" w:cs="Arial" w:eastAsia="Arial" w:hAnsi="Arial"/>
          <w:sz w:val="17"/>
          <w:szCs w:val="17"/>
          <w:color w:val="auto"/>
        </w:rPr>
        <w:t>Represents not only the total dollars committed for the improvement (fit-out) of a space as it relates to a specific lease but may also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base building costs (i.e. expansion, escalators or new entrances) which are required to make the space leasable.</w:t>
      </w:r>
    </w:p>
    <w:sectPr>
      <w:pgSz w:w="11900" w:h="16838" w:orient="portrait"/>
      <w:cols w:equalWidth="0" w:num="1">
        <w:col w:w="11420"/>
      </w:cols>
      <w:pgMar w:left="240" w:top="4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3"/>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8"/>
    </w:lvl>
  </w:abstractNum>
  <w:abstractNum w:abstractNumId="4">
    <w:nsid w:val="4E6AFB66"/>
    <w:multiLevelType w:val="hybridMultilevel"/>
    <w:lvl w:ilvl="0">
      <w:lvlJc w:val="left"/>
      <w:lvlText w:val="%1."/>
      <w:numFmt w:val="decimal"/>
      <w:start w:val="13"/>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Ø"/>
      <w:numFmt w:val="bullet"/>
      <w:start w:val="1"/>
    </w:lvl>
    <w:lvl w:ilvl="1">
      <w:lvlJc w:val="left"/>
      <w:lvlText w:val="-"/>
      <w:numFmt w:val="bullet"/>
      <w:start w:val="1"/>
    </w:lvl>
  </w:abstractNum>
  <w:abstractNum w:abstractNumId="8">
    <w:nsid w:val="3F2DBA31"/>
    <w:multiLevelType w:val="hybridMultilevel"/>
    <w:lvl w:ilvl="0">
      <w:lvlJc w:val="left"/>
      <w:lvlText w:val="Ø"/>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2"/>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2019-12-13T00:46:15Z</dcterms:created>
  <dcterms:modified xsi:type="dcterms:W3CDTF">2019-12-13T00:46:15Z</dcterms:modified>
</cp:coreProperties>
</file>