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304"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ind w:left="700" w:right="3859" w:hanging="344"/>
        <w:spacing w:after="0" w:line="255"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June 30, 2000</w:t>
      </w:r>
    </w:p>
    <w:p>
      <w:pPr>
        <w:spacing w:after="0" w:line="200" w:lineRule="exact"/>
        <w:rPr>
          <w:sz w:val="24"/>
          <w:szCs w:val="24"/>
          <w:color w:val="auto"/>
        </w:rPr>
      </w:pPr>
    </w:p>
    <w:p>
      <w:pPr>
        <w:spacing w:after="0" w:line="291"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338" w:lineRule="exact"/>
        <w:rPr>
          <w:sz w:val="24"/>
          <w:szCs w:val="24"/>
          <w:color w:val="auto"/>
        </w:rPr>
      </w:pPr>
    </w:p>
    <w:tbl>
      <w:tblPr>
        <w:tblLayout w:type="fixed"/>
        <w:tblInd w:w="260" w:type="dxa"/>
        <w:tblCellMar>
          <w:top w:w="0" w:type="dxa"/>
          <w:left w:w="0" w:type="dxa"/>
          <w:bottom w:w="0" w:type="dxa"/>
          <w:right w:w="0" w:type="dxa"/>
        </w:tblCellMar>
      </w:tblPr>
      <w:tr>
        <w:trPr>
          <w:trHeight w:val="162"/>
        </w:trPr>
        <w:tc>
          <w:tcPr>
            <w:tcW w:w="2760" w:type="dxa"/>
            <w:vAlign w:val="bottom"/>
          </w:tcPr>
          <w:p>
            <w:pPr>
              <w:ind w:left="860"/>
              <w:spacing w:after="0"/>
              <w:rPr>
                <w:sz w:val="20"/>
                <w:szCs w:val="20"/>
                <w:color w:val="auto"/>
              </w:rPr>
            </w:pPr>
            <w:r>
              <w:rPr>
                <w:rFonts w:ascii="Courier New" w:cs="Courier New" w:eastAsia="Courier New" w:hAnsi="Courier New"/>
                <w:sz w:val="14"/>
                <w:szCs w:val="14"/>
                <w:color w:val="auto"/>
              </w:rPr>
              <w:t>Maryland</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1-7533</w:t>
            </w:r>
          </w:p>
        </w:tc>
        <w:tc>
          <w:tcPr>
            <w:tcW w:w="2040" w:type="dxa"/>
            <w:vAlign w:val="bottom"/>
          </w:tcPr>
          <w:p>
            <w:pPr>
              <w:ind w:left="740"/>
              <w:spacing w:after="0"/>
              <w:rPr>
                <w:sz w:val="20"/>
                <w:szCs w:val="20"/>
                <w:color w:val="auto"/>
              </w:rPr>
            </w:pPr>
            <w:r>
              <w:rPr>
                <w:rFonts w:ascii="Courier New" w:cs="Courier New" w:eastAsia="Courier New" w:hAnsi="Courier New"/>
                <w:sz w:val="14"/>
                <w:szCs w:val="14"/>
                <w:color w:val="auto"/>
              </w:rPr>
              <w:t>52-0782497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(State or other jurisdiction</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(Commission</w:t>
            </w:r>
          </w:p>
        </w:tc>
        <w:tc>
          <w:tcPr>
            <w:tcW w:w="2040" w:type="dxa"/>
            <w:vAlign w:val="bottom"/>
          </w:tcPr>
          <w:p>
            <w:pPr>
              <w:ind w:left="560"/>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of incorporation)</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File Number)</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Identification No.)</w:t>
            </w:r>
          </w:p>
        </w:tc>
      </w:tr>
      <w:tr>
        <w:trPr>
          <w:trHeight w:val="497"/>
        </w:trPr>
        <w:tc>
          <w:tcPr>
            <w:tcW w:w="4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1626 East Jefferson Street, Rockville, Maryland</w:t>
            </w:r>
          </w:p>
        </w:tc>
        <w:tc>
          <w:tcPr>
            <w:tcW w:w="2040" w:type="dxa"/>
            <w:vAlign w:val="bottom"/>
          </w:tcPr>
          <w:p>
            <w:pPr>
              <w:ind w:left="740"/>
              <w:spacing w:after="0"/>
              <w:rPr>
                <w:sz w:val="20"/>
                <w:szCs w:val="20"/>
                <w:color w:val="auto"/>
              </w:rPr>
            </w:pPr>
            <w:r>
              <w:rPr>
                <w:rFonts w:ascii="Courier New" w:cs="Courier New" w:eastAsia="Courier New" w:hAnsi="Courier New"/>
                <w:sz w:val="14"/>
                <w:szCs w:val="14"/>
                <w:color w:val="auto"/>
              </w:rPr>
              <w:t>20852-4041</w:t>
            </w:r>
          </w:p>
        </w:tc>
      </w:tr>
      <w:tr>
        <w:trPr>
          <w:trHeight w:val="166"/>
        </w:trPr>
        <w:tc>
          <w:tcPr>
            <w:tcW w:w="65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4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(Address of principal executive offices)</w:t>
            </w:r>
          </w:p>
        </w:tc>
        <w:tc>
          <w:tcPr>
            <w:tcW w:w="2040" w:type="dxa"/>
            <w:vAlign w:val="bottom"/>
          </w:tcPr>
          <w:p>
            <w:pPr>
              <w:ind w:left="740"/>
              <w:spacing w:after="0"/>
              <w:rPr>
                <w:sz w:val="20"/>
                <w:szCs w:val="20"/>
                <w:color w:val="auto"/>
              </w:rPr>
            </w:pPr>
            <w:r>
              <w:rPr>
                <w:rFonts w:ascii="Courier New" w:cs="Courier New" w:eastAsia="Courier New" w:hAnsi="Courier New"/>
                <w:sz w:val="14"/>
                <w:szCs w:val="14"/>
                <w:color w:val="auto"/>
              </w:rPr>
              <w:t>(Zip Code)</w:t>
            </w:r>
          </w:p>
        </w:tc>
      </w:tr>
    </w:tbl>
    <w:p>
      <w:pPr>
        <w:spacing w:after="0" w:line="335"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301/998-8100</w:t>
      </w:r>
    </w:p>
    <w:p>
      <w:pPr>
        <w:spacing w:after="0" w:line="7" w:lineRule="exact"/>
        <w:rPr>
          <w:sz w:val="24"/>
          <w:szCs w:val="24"/>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sectPr>
      </w:pPr>
    </w:p>
    <w:bookmarkStart w:id="1" w:name="page2"/>
    <w:bookmarkEnd w:id="1"/>
    <w:p>
      <w:pPr>
        <w:spacing w:after="0"/>
        <w:tabs>
          <w:tab w:leader="none" w:pos="840" w:val="left"/>
        </w:tabs>
        <w:rPr>
          <w:sz w:val="20"/>
          <w:szCs w:val="20"/>
          <w:color w:val="auto"/>
        </w:rPr>
      </w:pPr>
      <w:r>
        <w:rPr>
          <w:rFonts w:ascii="Courier New" w:cs="Courier New" w:eastAsia="Courier New" w:hAnsi="Courier New"/>
          <w:sz w:val="14"/>
          <w:szCs w:val="14"/>
          <w:color w:val="auto"/>
        </w:rPr>
        <w:t>Item 5.</w:t>
        <w:tab/>
        <w:t>Other Events</w:t>
      </w:r>
    </w:p>
    <w:p>
      <w:pPr>
        <w:spacing w:after="0" w:line="173"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June 30, 2000.</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3" w:lineRule="exact"/>
        <w:rPr>
          <w:sz w:val="20"/>
          <w:szCs w:val="20"/>
          <w:color w:val="auto"/>
        </w:rPr>
      </w:pPr>
    </w:p>
    <w:p>
      <w:pPr>
        <w:ind w:left="860" w:hanging="507"/>
        <w:spacing w:after="0"/>
        <w:tabs>
          <w:tab w:leader="none" w:pos="8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38"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June 30, 2000</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tabs>
          <w:tab w:leader="none" w:pos="600" w:val="left"/>
          <w:tab w:leader="none" w:pos="2320" w:val="left"/>
        </w:tabs>
        <w:rPr>
          <w:sz w:val="20"/>
          <w:szCs w:val="20"/>
          <w:color w:val="auto"/>
        </w:rPr>
      </w:pPr>
      <w:r>
        <w:rPr>
          <w:rFonts w:ascii="Courier New" w:cs="Courier New" w:eastAsia="Courier New" w:hAnsi="Courier New"/>
          <w:sz w:val="14"/>
          <w:szCs w:val="14"/>
          <w:color w:val="auto"/>
        </w:rPr>
        <w:t>Date:</w:t>
        <w:tab/>
        <w:t>July 26, 2000</w:t>
      </w:r>
      <w:r>
        <w:rPr>
          <w:sz w:val="20"/>
          <w:szCs w:val="20"/>
          <w:color w:val="auto"/>
        </w:rPr>
        <w:tab/>
      </w:r>
      <w:r>
        <w:rPr>
          <w:rFonts w:ascii="Courier New" w:cs="Courier New" w:eastAsia="Courier New" w:hAnsi="Courier New"/>
          <w:sz w:val="14"/>
          <w:szCs w:val="14"/>
          <w:color w:val="auto"/>
        </w:rPr>
        <w:t>_________________________________</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Vice President, Chief Financial Officer and Treasurer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80"/>
            <w:col w:w="4460" w:space="720"/>
            <w:col w:w="4199"/>
          </w:cols>
          <w:pgMar w:left="220" w:top="616" w:right="1440" w:bottom="1440" w:gutter="0" w:footer="0" w:header="0"/>
          <w:type w:val="continuous"/>
        </w:sectPr>
      </w:pPr>
    </w:p>
    <w:p>
      <w:pPr>
        <w:ind w:left="100"/>
        <w:spacing w:after="0"/>
        <w:tabs>
          <w:tab w:leader="none" w:pos="84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June 30,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184" w:lineRule="exact"/>
        <w:rPr>
          <w:sz w:val="20"/>
          <w:szCs w:val="20"/>
          <w:color w:val="auto"/>
        </w:rPr>
      </w:pPr>
    </w:p>
    <w:p>
      <w:pPr>
        <w:sectPr>
          <w:pgSz w:w="11900" w:h="16838" w:orient="portrait"/>
          <w:cols w:equalWidth="0" w:num="2">
            <w:col w:w="5660" w:space="720"/>
            <w:col w:w="385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June 30, 2000</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1.   Debt Summary.......................................................</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E-2</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2.   Occupancy</w:t>
            </w:r>
          </w:p>
        </w:tc>
        <w:tc>
          <w:tcPr>
            <w:tcW w:w="340" w:type="dxa"/>
            <w:vAlign w:val="bottom"/>
          </w:tcPr>
          <w:p>
            <w:pPr>
              <w:spacing w:after="0"/>
              <w:rPr>
                <w:sz w:val="14"/>
                <w:szCs w:val="14"/>
                <w:color w:val="auto"/>
              </w:rPr>
            </w:pPr>
          </w:p>
        </w:tc>
      </w:tr>
      <w:tr>
        <w:trPr>
          <w:trHeight w:val="166"/>
        </w:trPr>
        <w:tc>
          <w:tcPr>
            <w:tcW w:w="6300" w:type="dxa"/>
            <w:vAlign w:val="bottom"/>
          </w:tcPr>
          <w:p>
            <w:pPr>
              <w:ind w:left="860"/>
              <w:spacing w:after="0"/>
              <w:rPr>
                <w:sz w:val="20"/>
                <w:szCs w:val="20"/>
                <w:color w:val="auto"/>
              </w:rPr>
            </w:pPr>
            <w:r>
              <w:rPr>
                <w:rFonts w:ascii="Courier New" w:cs="Courier New" w:eastAsia="Courier New" w:hAnsi="Courier New"/>
                <w:sz w:val="14"/>
                <w:szCs w:val="14"/>
                <w:color w:val="auto"/>
              </w:rPr>
              <w:t>Percentage Leased.............................................</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6300" w:type="dxa"/>
            <w:vAlign w:val="bottom"/>
          </w:tcPr>
          <w:p>
            <w:pPr>
              <w:ind w:left="860"/>
              <w:spacing w:after="0"/>
              <w:rPr>
                <w:sz w:val="20"/>
                <w:szCs w:val="20"/>
                <w:color w:val="auto"/>
              </w:rPr>
            </w:pPr>
            <w:r>
              <w:rPr>
                <w:rFonts w:ascii="Courier New" w:cs="Courier New" w:eastAsia="Courier New" w:hAnsi="Courier New"/>
                <w:sz w:val="14"/>
                <w:szCs w:val="14"/>
                <w:color w:val="auto"/>
              </w:rPr>
              <w:t>Regional Breakdown............................................</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E-4</w:t>
            </w:r>
          </w:p>
        </w:tc>
      </w:tr>
    </w:tbl>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6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Comparable and Non-Comparable.................................</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E-5</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4.</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Street</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Retail Operating</w:t>
            </w:r>
          </w:p>
        </w:tc>
        <w:tc>
          <w:tcPr>
            <w:tcW w:w="3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&amp; Development Overview.....................</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E-6</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1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Development</w:t>
            </w:r>
          </w:p>
        </w:tc>
        <w:tc>
          <w:tcPr>
            <w:tcW w:w="4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Pipeline...............................................</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E-7</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6.</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Second</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Quarter Earnings</w:t>
            </w:r>
          </w:p>
        </w:tc>
        <w:tc>
          <w:tcPr>
            <w:tcW w:w="3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Press Release, July 26, 2000...............</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E-8</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7.</w:t>
            </w:r>
          </w:p>
        </w:tc>
        <w:tc>
          <w:tcPr>
            <w:tcW w:w="1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Glossary of</w:t>
            </w:r>
          </w:p>
        </w:tc>
        <w:tc>
          <w:tcPr>
            <w:tcW w:w="4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Terms..................................................</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w w:val="95"/>
              </w:rPr>
              <w:t>E-11</w:t>
            </w:r>
          </w:p>
        </w:tc>
      </w:tr>
    </w:tbl>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Rockville, Maryland 20852-4041</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ANALYSIS (excluding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Balance</w:t>
            </w:r>
          </w:p>
        </w:tc>
        <w:tc>
          <w:tcPr>
            <w:tcW w:w="78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6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Maturity</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Rate</w:t>
            </w: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Leesburg Plaza</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10/01/08</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6.10%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9,900</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Federal Plaza</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03/10/01</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8.95%</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26,933</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Tysons Station</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09/01/01</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9.875%</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4,029</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Escondido (Municipal bonds)</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10/01/16</w:t>
            </w:r>
          </w:p>
        </w:tc>
        <w:tc>
          <w:tcPr>
            <w:tcW w:w="18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Variable (a)</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9,400</w:t>
            </w:r>
          </w:p>
        </w:tc>
        <w:tc>
          <w:tcPr>
            <w:tcW w:w="78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50,262</w:t>
            </w:r>
          </w:p>
        </w:tc>
        <w:tc>
          <w:tcPr>
            <w:tcW w:w="78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497"/>
        </w:trPr>
        <w:tc>
          <w:tcPr>
            <w:tcW w:w="53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Revolving credit facilities</w:t>
            </w:r>
          </w:p>
        </w:tc>
        <w:tc>
          <w:tcPr>
            <w:tcW w:w="1680" w:type="dxa"/>
            <w:vAlign w:val="bottom"/>
          </w:tcPr>
          <w:p>
            <w:pPr>
              <w:spacing w:after="0"/>
              <w:rPr>
                <w:sz w:val="14"/>
                <w:szCs w:val="14"/>
                <w:color w:val="auto"/>
              </w:rPr>
            </w:pPr>
          </w:p>
        </w:tc>
        <w:tc>
          <w:tcPr>
            <w:tcW w:w="1820" w:type="dxa"/>
            <w:vAlign w:val="bottom"/>
          </w:tcPr>
          <w:p>
            <w:pPr>
              <w:ind w:left="220"/>
              <w:spacing w:after="0"/>
              <w:rPr>
                <w:sz w:val="20"/>
                <w:szCs w:val="20"/>
                <w:color w:val="auto"/>
              </w:rPr>
            </w:pPr>
            <w:r>
              <w:rPr>
                <w:rFonts w:ascii="Courier New" w:cs="Courier New" w:eastAsia="Courier New" w:hAnsi="Courier New"/>
                <w:sz w:val="14"/>
                <w:szCs w:val="14"/>
                <w:color w:val="auto"/>
              </w:rPr>
              <w:t>libor + .65%(b)</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159,600</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Term note with banks</w:t>
            </w:r>
          </w:p>
        </w:tc>
        <w:tc>
          <w:tcPr>
            <w:tcW w:w="1680" w:type="dxa"/>
            <w:vAlign w:val="bottom"/>
          </w:tcPr>
          <w:p>
            <w:pPr>
              <w:spacing w:after="0"/>
              <w:rPr>
                <w:sz w:val="14"/>
                <w:szCs w:val="14"/>
                <w:color w:val="auto"/>
              </w:rPr>
            </w:pPr>
          </w:p>
        </w:tc>
        <w:tc>
          <w:tcPr>
            <w:tcW w:w="1820" w:type="dxa"/>
            <w:vAlign w:val="bottom"/>
          </w:tcPr>
          <w:p>
            <w:pPr>
              <w:ind w:left="220"/>
              <w:spacing w:after="0"/>
              <w:rPr>
                <w:sz w:val="20"/>
                <w:szCs w:val="20"/>
                <w:color w:val="auto"/>
              </w:rPr>
            </w:pPr>
            <w:r>
              <w:rPr>
                <w:rFonts w:ascii="Courier New" w:cs="Courier New" w:eastAsia="Courier New" w:hAnsi="Courier New"/>
                <w:sz w:val="14"/>
                <w:szCs w:val="14"/>
                <w:color w:val="auto"/>
              </w:rPr>
              <w:t>libor + .75%(c)</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125,000</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Construction Loan on Woodmont East</w:t>
            </w: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{May be extended to 2/29/04}</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02/28/02</w:t>
            </w:r>
          </w:p>
        </w:tc>
        <w:tc>
          <w:tcPr>
            <w:tcW w:w="1820" w:type="dxa"/>
            <w:vAlign w:val="bottom"/>
          </w:tcPr>
          <w:p>
            <w:pPr>
              <w:ind w:left="220"/>
              <w:spacing w:after="0"/>
              <w:rPr>
                <w:sz w:val="20"/>
                <w:szCs w:val="20"/>
                <w:color w:val="auto"/>
              </w:rPr>
            </w:pPr>
            <w:r>
              <w:rPr>
                <w:rFonts w:ascii="Courier New" w:cs="Courier New" w:eastAsia="Courier New" w:hAnsi="Courier New"/>
                <w:sz w:val="14"/>
                <w:szCs w:val="14"/>
                <w:color w:val="auto"/>
              </w:rPr>
              <w:t>libor + 1.5%</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8,048</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Note issued in connection with</w:t>
            </w: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renovation of Perring Plaza</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01/31/13</w:t>
            </w:r>
          </w:p>
        </w:tc>
        <w:tc>
          <w:tcPr>
            <w:tcW w:w="18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10.00%</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2,554</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Note issued in connection with land purchase</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08/14/00</w:t>
            </w:r>
          </w:p>
        </w:tc>
        <w:tc>
          <w:tcPr>
            <w:tcW w:w="18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libor + 1.5%</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3,400</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various</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various</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w:t>
            </w:r>
          </w:p>
        </w:tc>
        <w:tc>
          <w:tcPr>
            <w:tcW w:w="78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298,730</w:t>
            </w:r>
          </w:p>
        </w:tc>
        <w:tc>
          <w:tcPr>
            <w:tcW w:w="78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497"/>
        </w:trPr>
        <w:tc>
          <w:tcPr>
            <w:tcW w:w="534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6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5 1/4% Convertible subordinated</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04/30/02</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5.250%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debentures</w:t>
            </w: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5 1/4% Convertible subordinated</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10/28/03</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5.250%</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75,000</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debentures</w:t>
            </w: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8% Notes (fixed)</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04/21/02</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8.000%</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25,000</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6 5/8% Notes (fixed)</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12/01/05</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6.625%</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7.48% Debentures</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08/15/26</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7.480%</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6.82% Medium Term Notes</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08/01/27</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6.820%</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40,000</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6.74% Medium Term Notes (d)</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03/10/04</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6.370%</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39,500</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6.99% Medium Term Notes (d)</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03/10/06</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6.894%</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40,500</w:t>
            </w:r>
          </w:p>
        </w:tc>
        <w:tc>
          <w:tcPr>
            <w:tcW w:w="780" w:type="dxa"/>
            <w:vAlign w:val="bottom"/>
          </w:tcPr>
          <w:p>
            <w:pPr>
              <w:spacing w:after="0"/>
              <w:rPr>
                <w:sz w:val="14"/>
                <w:szCs w:val="14"/>
                <w:color w:val="auto"/>
              </w:rPr>
            </w:pPr>
          </w:p>
        </w:tc>
      </w:tr>
      <w:tr>
        <w:trPr>
          <w:trHeight w:val="166"/>
        </w:trPr>
        <w:tc>
          <w:tcPr>
            <w:tcW w:w="5340" w:type="dxa"/>
            <w:vAlign w:val="bottom"/>
          </w:tcPr>
          <w:p>
            <w:pPr>
              <w:ind w:left="1300"/>
              <w:spacing w:after="0"/>
              <w:rPr>
                <w:sz w:val="20"/>
                <w:szCs w:val="20"/>
                <w:color w:val="auto"/>
              </w:rPr>
            </w:pPr>
            <w:r>
              <w:rPr>
                <w:rFonts w:ascii="Courier New" w:cs="Courier New" w:eastAsia="Courier New" w:hAnsi="Courier New"/>
                <w:sz w:val="14"/>
                <w:szCs w:val="14"/>
                <w:color w:val="auto"/>
              </w:rPr>
              <w:t>8.75% Notes</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12/01/09</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8.750%</w:t>
            </w: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175,000</w:t>
            </w:r>
          </w:p>
        </w:tc>
        <w:tc>
          <w:tcPr>
            <w:tcW w:w="78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485,289</w:t>
            </w:r>
          </w:p>
        </w:tc>
        <w:tc>
          <w:tcPr>
            <w:tcW w:w="780" w:type="dxa"/>
            <w:vAlign w:val="bottom"/>
          </w:tcPr>
          <w:p>
            <w:pPr>
              <w:spacing w:after="0"/>
              <w:rPr>
                <w:sz w:val="14"/>
                <w:szCs w:val="14"/>
                <w:color w:val="auto"/>
              </w:rPr>
            </w:pPr>
          </w:p>
        </w:tc>
      </w:tr>
      <w:tr>
        <w:trPr>
          <w:trHeight w:val="166"/>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331"/>
        </w:trPr>
        <w:tc>
          <w:tcPr>
            <w:tcW w:w="7020" w:type="dxa"/>
            <w:vAlign w:val="bottom"/>
            <w:gridSpan w:val="2"/>
          </w:tcPr>
          <w:p>
            <w:pPr>
              <w:ind w:left="4840"/>
              <w:spacing w:after="0"/>
              <w:rPr>
                <w:sz w:val="20"/>
                <w:szCs w:val="20"/>
                <w:color w:val="auto"/>
              </w:rPr>
            </w:pPr>
            <w:r>
              <w:rPr>
                <w:rFonts w:ascii="Courier New" w:cs="Courier New" w:eastAsia="Courier New" w:hAnsi="Courier New"/>
                <w:sz w:val="14"/>
                <w:szCs w:val="14"/>
                <w:color w:val="auto"/>
              </w:rPr>
              <w:t>Total fixed rate debt</w:t>
            </w:r>
          </w:p>
        </w:tc>
        <w:tc>
          <w:tcPr>
            <w:tcW w:w="182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528,833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63.39%</w:t>
            </w:r>
          </w:p>
        </w:tc>
      </w:tr>
      <w:tr>
        <w:trPr>
          <w:trHeight w:val="331"/>
        </w:trPr>
        <w:tc>
          <w:tcPr>
            <w:tcW w:w="7020" w:type="dxa"/>
            <w:vAlign w:val="bottom"/>
            <w:gridSpan w:val="2"/>
          </w:tcPr>
          <w:p>
            <w:pPr>
              <w:ind w:left="4840"/>
              <w:spacing w:after="0"/>
              <w:rPr>
                <w:sz w:val="20"/>
                <w:szCs w:val="20"/>
                <w:color w:val="auto"/>
              </w:rPr>
            </w:pPr>
            <w:r>
              <w:rPr>
                <w:rFonts w:ascii="Courier New" w:cs="Courier New" w:eastAsia="Courier New" w:hAnsi="Courier New"/>
                <w:sz w:val="14"/>
                <w:szCs w:val="14"/>
                <w:color w:val="auto"/>
              </w:rPr>
              <w:t>Total variable rate debt</w:t>
            </w: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305,448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36.61%</w:t>
            </w:r>
          </w:p>
        </w:tc>
      </w:tr>
      <w:tr>
        <w:trPr>
          <w:trHeight w:val="166"/>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020" w:type="dxa"/>
            <w:vAlign w:val="bottom"/>
            <w:gridSpan w:val="2"/>
          </w:tcPr>
          <w:p>
            <w:pPr>
              <w:ind w:left="4840"/>
              <w:spacing w:after="0"/>
              <w:rPr>
                <w:sz w:val="20"/>
                <w:szCs w:val="20"/>
                <w:color w:val="auto"/>
              </w:rPr>
            </w:pPr>
            <w:r>
              <w:rPr>
                <w:rFonts w:ascii="Courier New" w:cs="Courier New" w:eastAsia="Courier New" w:hAnsi="Courier New"/>
                <w:sz w:val="14"/>
                <w:szCs w:val="14"/>
                <w:color w:val="auto"/>
              </w:rPr>
              <w:t>Total debt</w:t>
            </w:r>
          </w:p>
        </w:tc>
        <w:tc>
          <w:tcPr>
            <w:tcW w:w="182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834,281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8840" w:type="dxa"/>
            <w:vAlign w:val="bottom"/>
            <w:gridSpan w:val="3"/>
          </w:tcPr>
          <w:p>
            <w:pPr>
              <w:ind w:left="4840"/>
              <w:spacing w:after="0"/>
              <w:rPr>
                <w:sz w:val="20"/>
                <w:szCs w:val="20"/>
                <w:color w:val="auto"/>
              </w:rPr>
            </w:pPr>
            <w:r>
              <w:rPr>
                <w:rFonts w:ascii="Courier New" w:cs="Courier New" w:eastAsia="Courier New" w:hAnsi="Courier New"/>
                <w:sz w:val="14"/>
                <w:szCs w:val="14"/>
                <w:color w:val="auto"/>
              </w:rPr>
              <w:t>Weighted average interest rate:</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8840" w:type="dxa"/>
            <w:vAlign w:val="bottom"/>
            <w:gridSpan w:val="3"/>
          </w:tcPr>
          <w:p>
            <w:pPr>
              <w:ind w:left="48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7020" w:type="dxa"/>
            <w:vAlign w:val="bottom"/>
            <w:gridSpan w:val="2"/>
          </w:tcPr>
          <w:p>
            <w:pPr>
              <w:ind w:left="5000"/>
              <w:spacing w:after="0"/>
              <w:rPr>
                <w:sz w:val="20"/>
                <w:szCs w:val="20"/>
                <w:color w:val="auto"/>
              </w:rPr>
            </w:pPr>
            <w:r>
              <w:rPr>
                <w:rFonts w:ascii="Courier New" w:cs="Courier New" w:eastAsia="Courier New" w:hAnsi="Courier New"/>
                <w:sz w:val="14"/>
                <w:szCs w:val="14"/>
                <w:color w:val="auto"/>
              </w:rPr>
              <w:t>Fixed rate debt</w:t>
            </w: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w:t>
            </w:r>
          </w:p>
        </w:tc>
        <w:tc>
          <w:tcPr>
            <w:tcW w:w="780" w:type="dxa"/>
            <w:vAlign w:val="bottom"/>
          </w:tcPr>
          <w:p>
            <w:pPr>
              <w:spacing w:after="0"/>
              <w:rPr>
                <w:sz w:val="14"/>
                <w:szCs w:val="14"/>
                <w:color w:val="auto"/>
              </w:rPr>
            </w:pPr>
          </w:p>
        </w:tc>
      </w:tr>
      <w:tr>
        <w:trPr>
          <w:trHeight w:val="166"/>
        </w:trPr>
        <w:tc>
          <w:tcPr>
            <w:tcW w:w="8840" w:type="dxa"/>
            <w:vAlign w:val="bottom"/>
            <w:gridSpan w:val="3"/>
          </w:tcPr>
          <w:p>
            <w:pPr>
              <w:ind w:left="5000"/>
              <w:spacing w:after="0"/>
              <w:rPr>
                <w:sz w:val="20"/>
                <w:szCs w:val="20"/>
                <w:color w:val="auto"/>
              </w:rPr>
            </w:pPr>
            <w:r>
              <w:rPr>
                <w:rFonts w:ascii="Courier New" w:cs="Courier New" w:eastAsia="Courier New" w:hAnsi="Courier New"/>
                <w:sz w:val="14"/>
                <w:szCs w:val="14"/>
                <w:color w:val="auto"/>
              </w:rPr>
              <w:t>Variable on revolving facilities</w:t>
            </w:r>
          </w:p>
        </w:tc>
        <w:tc>
          <w:tcPr>
            <w:tcW w:w="90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6.88% (e)</w:t>
            </w:r>
          </w:p>
        </w:tc>
      </w:tr>
      <w:tr>
        <w:trPr>
          <w:trHeight w:val="166"/>
        </w:trPr>
        <w:tc>
          <w:tcPr>
            <w:tcW w:w="8840" w:type="dxa"/>
            <w:vAlign w:val="bottom"/>
            <w:gridSpan w:val="3"/>
          </w:tcPr>
          <w:p>
            <w:pPr>
              <w:ind w:left="5000"/>
              <w:spacing w:after="0"/>
              <w:rPr>
                <w:sz w:val="20"/>
                <w:szCs w:val="20"/>
                <w:color w:val="auto"/>
              </w:rPr>
            </w:pPr>
            <w:r>
              <w:rPr>
                <w:rFonts w:ascii="Courier New" w:cs="Courier New" w:eastAsia="Courier New" w:hAnsi="Courier New"/>
                <w:sz w:val="14"/>
                <w:szCs w:val="14"/>
                <w:color w:val="auto"/>
              </w:rPr>
              <w:t>Variable on muncipal bonds</w:t>
            </w:r>
          </w:p>
        </w:tc>
        <w:tc>
          <w:tcPr>
            <w:tcW w:w="90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(a)</w:t>
            </w: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360" w:right="5080" w:hanging="343"/>
        <w:spacing w:after="0" w:line="250" w:lineRule="auto"/>
        <w:rPr>
          <w:sz w:val="20"/>
          <w:szCs w:val="20"/>
          <w:color w:val="auto"/>
        </w:rPr>
      </w:pPr>
      <w:r>
        <w:rPr>
          <w:rFonts w:ascii="Courier New" w:cs="Courier New" w:eastAsia="Courier New" w:hAnsi="Courier New"/>
          <w:sz w:val="14"/>
          <w:szCs w:val="14"/>
          <w:color w:val="auto"/>
        </w:rPr>
        <w:t>(a) The bonds bear interest at a variable rate determined weekly to be the interest rate which would enable the bonds to be remarketed at</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100% of their principal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Effective July 17, 2000 interest rate will increase to libor + .80%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Effective July 17,2000 interest rate will increase to libor + .95%</w:t>
      </w:r>
    </w:p>
    <w:p>
      <w:pPr>
        <w:spacing w:after="0" w:line="7" w:lineRule="exact"/>
        <w:rPr>
          <w:sz w:val="20"/>
          <w:szCs w:val="20"/>
          <w:color w:val="auto"/>
        </w:rPr>
      </w:pPr>
    </w:p>
    <w:p>
      <w:pPr>
        <w:ind w:left="360" w:right="4820" w:hanging="343"/>
        <w:spacing w:after="0" w:line="250" w:lineRule="auto"/>
        <w:rPr>
          <w:sz w:val="20"/>
          <w:szCs w:val="20"/>
          <w:color w:val="auto"/>
        </w:rPr>
      </w:pPr>
      <w:r>
        <w:rPr>
          <w:rFonts w:ascii="Courier New" w:cs="Courier New" w:eastAsia="Courier New" w:hAnsi="Courier New"/>
          <w:sz w:val="14"/>
          <w:szCs w:val="14"/>
          <w:color w:val="auto"/>
        </w:rPr>
        <w:t>(d) The Trust purchased interest rate swaps or hedges on these notes, thereby decreasing the effective interest.</w:t>
      </w:r>
    </w:p>
    <w:p>
      <w:pPr>
        <w:spacing w:after="0" w:line="1" w:lineRule="exact"/>
        <w:rPr>
          <w:sz w:val="20"/>
          <w:szCs w:val="20"/>
          <w:color w:val="auto"/>
        </w:rPr>
      </w:pPr>
    </w:p>
    <w:p>
      <w:pPr>
        <w:ind w:left="360" w:right="4560" w:hanging="343"/>
        <w:spacing w:after="0" w:line="255" w:lineRule="auto"/>
        <w:rPr>
          <w:sz w:val="20"/>
          <w:szCs w:val="20"/>
          <w:color w:val="auto"/>
        </w:rPr>
      </w:pPr>
      <w:r>
        <w:rPr>
          <w:rFonts w:ascii="Courier New" w:cs="Courier New" w:eastAsia="Courier New" w:hAnsi="Courier New"/>
          <w:sz w:val="14"/>
          <w:szCs w:val="14"/>
          <w:color w:val="auto"/>
        </w:rPr>
        <w:t>(e) Weighted average interest rate on revolving credit facilities for six months ended June 30, 2000.</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E-2</w:t>
      </w:r>
    </w:p>
    <w:p>
      <w:pPr>
        <w:sectPr>
          <w:pgSz w:w="11900" w:h="16838" w:orient="portrait"/>
          <w:cols w:equalWidth="0" w:num="1">
            <w:col w:w="11460"/>
          </w:cols>
          <w:pgMar w:left="220" w:top="616" w:right="2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1540"/>
          </w:cols>
          <w:pgMar w:left="220" w:top="616" w:right="139" w:bottom="1440" w:gutter="0" w:footer="0" w:header="0"/>
        </w:sectPr>
      </w:pP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(Quarter to Quarter Analysis)</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June 30,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At June 30,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600" w:space="720"/>
            <w:col w:w="2840" w:space="260"/>
            <w:col w:w="4120"/>
          </w:cols>
          <w:pgMar w:left="220" w:top="616" w:right="139" w:bottom="1440" w:gutter="0" w:footer="0" w:header="0"/>
          <w:type w:val="continuous"/>
        </w:sectPr>
      </w:pPr>
    </w:p>
    <w:p>
      <w:pPr>
        <w:jc w:val="center"/>
        <w:ind w:right="18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ind w:hanging="85"/>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ind w:right="760"/>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160" w:lineRule="exact"/>
        <w:rPr>
          <w:sz w:val="20"/>
          <w:szCs w:val="20"/>
          <w:color w:val="auto"/>
        </w:rPr>
      </w:pPr>
    </w:p>
    <w:p>
      <w:pPr>
        <w:sectPr>
          <w:pgSz w:w="11900" w:h="16838" w:orient="portrait"/>
          <w:cols w:equalWidth="0" w:num="7">
            <w:col w:w="3800" w:space="680"/>
            <w:col w:w="620" w:space="340"/>
            <w:col w:w="780" w:space="160"/>
            <w:col w:w="940" w:space="260"/>
            <w:col w:w="860" w:space="360"/>
            <w:col w:w="860" w:space="160"/>
            <w:col w:w="172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14,179,590</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13,619,718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14,541,750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13,797,209</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500" w:space="720"/>
            <w:col w:w="880" w:space="240"/>
            <w:col w:w="880" w:space="500"/>
            <w:col w:w="260" w:space="600"/>
            <w:col w:w="860" w:space="260"/>
            <w:col w:w="860" w:space="700"/>
            <w:col w:w="1280"/>
          </w:cols>
          <w:pgMar w:left="220" w:top="616" w:right="139" w:bottom="1440" w:gutter="0" w:footer="0" w:header="0"/>
          <w:type w:val="continuous"/>
        </w:sectPr>
      </w:pPr>
    </w:p>
    <w:p>
      <w:pPr>
        <w:spacing w:after="0" w:line="1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jc w:val="center"/>
        <w:ind w:left="-79"/>
        <w:spacing w:after="0"/>
        <w:rPr>
          <w:sz w:val="20"/>
          <w:szCs w:val="20"/>
          <w:color w:val="auto"/>
        </w:rPr>
      </w:pPr>
      <w:r>
        <w:rPr>
          <w:rFonts w:ascii="Courier New" w:cs="Courier New" w:eastAsia="Courier New" w:hAnsi="Courier New"/>
          <w:sz w:val="14"/>
          <w:szCs w:val="14"/>
          <w:color w:val="auto"/>
        </w:rPr>
        <w:t>At June 30, 2000</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At March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340" w:space="720"/>
            <w:col w:w="3180" w:space="260"/>
            <w:col w:w="4040"/>
          </w:cols>
          <w:pgMar w:left="220" w:top="616" w:right="139" w:bottom="1440" w:gutter="0" w:footer="0" w:header="0"/>
          <w:type w:val="continuous"/>
        </w:sectPr>
      </w:pPr>
    </w:p>
    <w:p>
      <w:pPr>
        <w:jc w:val="center"/>
        <w:ind w:right="18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7">
            <w:col w:w="3800" w:space="420"/>
            <w:col w:w="880" w:space="240"/>
            <w:col w:w="960" w:space="160"/>
            <w:col w:w="960" w:space="260"/>
            <w:col w:w="760" w:space="260"/>
            <w:col w:w="860" w:space="180"/>
            <w:col w:w="180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14,179,596</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13,619,718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14,171,049</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13,506,200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7">
            <w:col w:w="3500" w:space="720"/>
            <w:col w:w="880" w:space="240"/>
            <w:col w:w="880" w:space="600"/>
            <w:col w:w="260" w:space="500"/>
            <w:col w:w="860" w:space="360"/>
            <w:col w:w="860" w:space="520"/>
            <w:col w:w="1360"/>
          </w:cols>
          <w:pgMar w:left="220" w:top="616" w:right="139" w:bottom="1440" w:gutter="0" w:footer="0" w:header="0"/>
          <w:type w:val="continuous"/>
        </w:sectPr>
      </w:pPr>
    </w:p>
    <w:p>
      <w:pPr>
        <w:spacing w:after="0" w:line="13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1540"/>
          </w:cols>
          <w:pgMar w:left="220" w:top="616" w:right="139" w:bottom="144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Courier New" w:cs="Courier New" w:eastAsia="Courier New" w:hAnsi="Courier New"/>
          <w:sz w:val="14"/>
          <w:szCs w:val="14"/>
          <w:color w:val="auto"/>
        </w:rPr>
        <w:t>At December 31,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780"/>
        <w:spacing w:after="0"/>
        <w:rPr>
          <w:sz w:val="20"/>
          <w:szCs w:val="20"/>
          <w:color w:val="auto"/>
        </w:rPr>
      </w:pPr>
      <w:r>
        <w:rPr>
          <w:rFonts w:ascii="Courier New" w:cs="Courier New" w:eastAsia="Courier New" w:hAnsi="Courier New"/>
          <w:sz w:val="14"/>
          <w:szCs w:val="14"/>
          <w:color w:val="auto"/>
        </w:rPr>
        <w:t>At September 30, 1999</w:t>
      </w:r>
    </w:p>
    <w:p>
      <w:pPr>
        <w:spacing w:after="0" w:line="7"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80" w:space="720"/>
            <w:col w:w="3280" w:space="160"/>
            <w:col w:w="4300"/>
          </w:cols>
          <w:pgMar w:left="220" w:top="616" w:right="139"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86"/>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ind w:right="680"/>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160" w:lineRule="exact"/>
        <w:rPr>
          <w:sz w:val="20"/>
          <w:szCs w:val="20"/>
          <w:color w:val="auto"/>
        </w:rPr>
      </w:pPr>
    </w:p>
    <w:p>
      <w:pPr>
        <w:sectPr>
          <w:pgSz w:w="11900" w:h="16838" w:orient="portrait"/>
          <w:cols w:equalWidth="0" w:num="7">
            <w:col w:w="3800" w:space="180"/>
            <w:col w:w="860" w:space="160"/>
            <w:col w:w="1040" w:space="180"/>
            <w:col w:w="1100" w:space="180"/>
            <w:col w:w="940" w:space="180"/>
            <w:col w:w="940" w:space="180"/>
            <w:col w:w="180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14,037,093</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13,494,066</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14,348,626</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13,658,207</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173" w:lineRule="exact"/>
        <w:rPr>
          <w:sz w:val="20"/>
          <w:szCs w:val="20"/>
          <w:color w:val="auto"/>
        </w:rPr>
      </w:pPr>
    </w:p>
    <w:p>
      <w:pPr>
        <w:sectPr>
          <w:pgSz w:w="11900" w:h="16838" w:orient="portrait"/>
          <w:cols w:equalWidth="0" w:num="7">
            <w:col w:w="3460" w:space="420"/>
            <w:col w:w="860" w:space="260"/>
            <w:col w:w="860" w:space="520"/>
            <w:col w:w="320" w:space="720"/>
            <w:col w:w="860" w:space="260"/>
            <w:col w:w="1000" w:space="720"/>
            <w:col w:w="128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Same Center Occupancy</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(Quarter to Quarter Comparison)</w:t>
            </w:r>
          </w:p>
        </w:tc>
        <w:tc>
          <w:tcPr>
            <w:tcW w:w="1160" w:type="dxa"/>
            <w:vAlign w:val="bottom"/>
          </w:tcPr>
          <w:p>
            <w:pPr>
              <w:spacing w:after="0"/>
              <w:rPr>
                <w:sz w:val="14"/>
                <w:szCs w:val="14"/>
                <w:color w:val="auto"/>
              </w:rPr>
            </w:pPr>
          </w:p>
        </w:tc>
        <w:tc>
          <w:tcPr>
            <w:tcW w:w="2380" w:type="dxa"/>
            <w:vAlign w:val="bottom"/>
            <w:gridSpan w:val="2"/>
          </w:tcPr>
          <w:p>
            <w:pPr>
              <w:jc w:val="center"/>
              <w:ind w:right="928"/>
              <w:spacing w:after="0"/>
              <w:rPr>
                <w:sz w:val="20"/>
                <w:szCs w:val="20"/>
                <w:color w:val="auto"/>
              </w:rPr>
            </w:pPr>
            <w:r>
              <w:rPr>
                <w:rFonts w:ascii="Courier New" w:cs="Courier New" w:eastAsia="Courier New" w:hAnsi="Courier New"/>
                <w:sz w:val="14"/>
                <w:szCs w:val="14"/>
                <w:color w:val="auto"/>
              </w:rPr>
              <w:t>At June 30, 2000</w:t>
            </w:r>
          </w:p>
        </w:tc>
        <w:tc>
          <w:tcPr>
            <w:tcW w:w="1120" w:type="dxa"/>
            <w:vAlign w:val="bottom"/>
          </w:tcPr>
          <w:p>
            <w:pPr>
              <w:spacing w:after="0"/>
              <w:rPr>
                <w:sz w:val="14"/>
                <w:szCs w:val="1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At June 30, 1999</w:t>
            </w:r>
          </w:p>
        </w:tc>
        <w:tc>
          <w:tcPr>
            <w:tcW w:w="112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c>
          <w:tcPr>
            <w:tcW w:w="1180" w:type="dxa"/>
            <w:vAlign w:val="bottom"/>
          </w:tcPr>
          <w:p>
            <w:pPr>
              <w:spacing w:after="0"/>
              <w:rPr>
                <w:sz w:val="14"/>
                <w:szCs w:val="14"/>
                <w:color w:val="auto"/>
              </w:rPr>
            </w:pPr>
          </w:p>
        </w:tc>
        <w:tc>
          <w:tcPr>
            <w:tcW w:w="36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ind w:left="1640"/>
              <w:spacing w:after="0"/>
              <w:rPr>
                <w:sz w:val="20"/>
                <w:szCs w:val="20"/>
                <w:color w:val="auto"/>
              </w:rPr>
            </w:pPr>
            <w:r>
              <w:rPr>
                <w:rFonts w:ascii="Courier New" w:cs="Courier New" w:eastAsia="Courier New" w:hAnsi="Courier New"/>
                <w:sz w:val="14"/>
                <w:szCs w:val="14"/>
                <w:color w:val="auto"/>
              </w:rPr>
              <w:t>Type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Occupancy</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14,074,930</w:t>
            </w:r>
          </w:p>
        </w:tc>
        <w:tc>
          <w:tcPr>
            <w:tcW w:w="12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13,521,971</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13,622,710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12,891,283</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276</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280</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Same Center Occupancy</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(Rolling 12 Months)</w:t>
            </w:r>
          </w:p>
        </w:tc>
        <w:tc>
          <w:tcPr>
            <w:tcW w:w="1160" w:type="dxa"/>
            <w:vAlign w:val="bottom"/>
          </w:tcPr>
          <w:p>
            <w:pPr>
              <w:spacing w:after="0"/>
              <w:rPr>
                <w:sz w:val="14"/>
                <w:szCs w:val="14"/>
                <w:color w:val="auto"/>
              </w:rPr>
            </w:pPr>
          </w:p>
        </w:tc>
        <w:tc>
          <w:tcPr>
            <w:tcW w:w="2380" w:type="dxa"/>
            <w:vAlign w:val="bottom"/>
            <w:gridSpan w:val="2"/>
          </w:tcPr>
          <w:p>
            <w:pPr>
              <w:jc w:val="center"/>
              <w:ind w:right="928"/>
              <w:spacing w:after="0"/>
              <w:rPr>
                <w:sz w:val="20"/>
                <w:szCs w:val="20"/>
                <w:color w:val="auto"/>
              </w:rPr>
            </w:pPr>
            <w:r>
              <w:rPr>
                <w:rFonts w:ascii="Courier New" w:cs="Courier New" w:eastAsia="Courier New" w:hAnsi="Courier New"/>
                <w:sz w:val="14"/>
                <w:szCs w:val="14"/>
                <w:color w:val="auto"/>
              </w:rPr>
              <w:t>At June 30, 2000</w:t>
            </w:r>
          </w:p>
        </w:tc>
        <w:tc>
          <w:tcPr>
            <w:tcW w:w="1120" w:type="dxa"/>
            <w:vAlign w:val="bottom"/>
          </w:tcPr>
          <w:p>
            <w:pPr>
              <w:spacing w:after="0"/>
              <w:rPr>
                <w:sz w:val="14"/>
                <w:szCs w:val="14"/>
                <w:color w:val="auto"/>
              </w:rPr>
            </w:pP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March 31, 2000</w:t>
            </w:r>
          </w:p>
        </w:tc>
      </w:tr>
      <w:tr>
        <w:trPr>
          <w:trHeight w:val="166"/>
        </w:trPr>
        <w:tc>
          <w:tcPr>
            <w:tcW w:w="3840" w:type="dxa"/>
            <w:vAlign w:val="bottom"/>
          </w:tcPr>
          <w:p>
            <w:pPr>
              <w:spacing w:after="0"/>
              <w:rPr>
                <w:sz w:val="14"/>
                <w:szCs w:val="14"/>
                <w:color w:val="auto"/>
              </w:rPr>
            </w:pP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2"/>
              </w:rPr>
              <w:t>--------------------------------------</w:t>
            </w:r>
          </w:p>
        </w:tc>
        <w:tc>
          <w:tcPr>
            <w:tcW w:w="1180" w:type="dxa"/>
            <w:vAlign w:val="bottom"/>
          </w:tcPr>
          <w:p>
            <w:pPr>
              <w:spacing w:after="0"/>
              <w:rPr>
                <w:sz w:val="14"/>
                <w:szCs w:val="14"/>
                <w:color w:val="auto"/>
              </w:rPr>
            </w:pPr>
          </w:p>
        </w:tc>
        <w:tc>
          <w:tcPr>
            <w:tcW w:w="36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ind w:left="1740"/>
              <w:spacing w:after="0"/>
              <w:rPr>
                <w:sz w:val="20"/>
                <w:szCs w:val="20"/>
                <w:color w:val="auto"/>
              </w:rPr>
            </w:pPr>
            <w:r>
              <w:rPr>
                <w:rFonts w:ascii="Courier New" w:cs="Courier New" w:eastAsia="Courier New" w:hAnsi="Courier New"/>
                <w:sz w:val="14"/>
                <w:szCs w:val="14"/>
                <w:color w:val="auto"/>
              </w:rPr>
              <w:t>Type</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Occupancy</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14,074,930</w:t>
            </w:r>
          </w:p>
        </w:tc>
        <w:tc>
          <w:tcPr>
            <w:tcW w:w="12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13,521,971</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14,066,413</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13,418,914</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276</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497"/>
        </w:trPr>
        <w:tc>
          <w:tcPr>
            <w:tcW w:w="3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Same Center Occupancy</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8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(Rolling 12 Months)</w:t>
            </w:r>
          </w:p>
        </w:tc>
        <w:tc>
          <w:tcPr>
            <w:tcW w:w="354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At December 31, 1999</w:t>
            </w:r>
          </w:p>
        </w:tc>
        <w:tc>
          <w:tcPr>
            <w:tcW w:w="254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At September 30, 1999</w:t>
            </w:r>
          </w:p>
        </w:tc>
        <w:tc>
          <w:tcPr>
            <w:tcW w:w="112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2"/>
              </w:rPr>
              <w:t>---------------------------------</w:t>
            </w:r>
          </w:p>
        </w:tc>
        <w:tc>
          <w:tcPr>
            <w:tcW w:w="1180" w:type="dxa"/>
            <w:vAlign w:val="bottom"/>
          </w:tcPr>
          <w:p>
            <w:pPr>
              <w:spacing w:after="0"/>
              <w:rPr>
                <w:sz w:val="14"/>
                <w:szCs w:val="14"/>
                <w:color w:val="auto"/>
              </w:rPr>
            </w:pPr>
          </w:p>
        </w:tc>
        <w:tc>
          <w:tcPr>
            <w:tcW w:w="366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ind w:left="1740"/>
              <w:spacing w:after="0"/>
              <w:rPr>
                <w:sz w:val="20"/>
                <w:szCs w:val="20"/>
                <w:color w:val="auto"/>
              </w:rPr>
            </w:pPr>
            <w:r>
              <w:rPr>
                <w:rFonts w:ascii="Courier New" w:cs="Courier New" w:eastAsia="Courier New" w:hAnsi="Courier New"/>
                <w:sz w:val="14"/>
                <w:szCs w:val="14"/>
                <w:color w:val="auto"/>
              </w:rPr>
              <w:t>Type</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Size</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7"/>
              </w:rPr>
              <w:t>Occupancy</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2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13,865,499</w:t>
            </w:r>
          </w:p>
        </w:tc>
        <w:tc>
          <w:tcPr>
            <w:tcW w:w="12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13,345,911</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14,304,720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13,613,931</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278</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497"/>
        </w:trPr>
        <w:tc>
          <w:tcPr>
            <w:tcW w:w="3840" w:type="dxa"/>
            <w:vAlign w:val="bottom"/>
          </w:tcPr>
          <w:p>
            <w:pPr>
              <w:ind w:left="3280"/>
              <w:spacing w:after="0"/>
              <w:rPr>
                <w:sz w:val="20"/>
                <w:szCs w:val="20"/>
                <w:color w:val="auto"/>
              </w:rPr>
            </w:pPr>
            <w:r>
              <w:rPr>
                <w:rFonts w:ascii="Courier New" w:cs="Courier New" w:eastAsia="Courier New" w:hAnsi="Courier New"/>
                <w:sz w:val="14"/>
                <w:szCs w:val="14"/>
                <w:color w:val="auto"/>
              </w:rPr>
              <w:t>E-3</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540"/>
          </w:cols>
          <w:pgMar w:left="220" w:top="616" w:right="139"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5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 Square</w:t>
            </w:r>
          </w:p>
        </w:tc>
        <w:tc>
          <w:tcPr>
            <w:tcW w:w="1540" w:type="dxa"/>
            <w:vAlign w:val="bottom"/>
          </w:tcPr>
          <w:p>
            <w:pPr>
              <w:jc w:val="center"/>
              <w:ind w:left="6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600" w:type="dxa"/>
            <w:vAlign w:val="bottom"/>
          </w:tcPr>
          <w:p>
            <w:pPr>
              <w:ind w:left="1380"/>
              <w:spacing w:after="0"/>
              <w:rPr>
                <w:sz w:val="20"/>
                <w:szCs w:val="20"/>
                <w:color w:val="auto"/>
              </w:rPr>
            </w:pPr>
            <w:r>
              <w:rPr>
                <w:rFonts w:ascii="Courier New" w:cs="Courier New" w:eastAsia="Courier New" w:hAnsi="Courier New"/>
                <w:sz w:val="14"/>
                <w:szCs w:val="14"/>
                <w:color w:val="auto"/>
              </w:rPr>
              <w:t>Region</w:t>
            </w:r>
          </w:p>
        </w:tc>
        <w:tc>
          <w:tcPr>
            <w:tcW w:w="25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Footage</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06/30/00</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5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7,054,592</w:t>
            </w:r>
          </w:p>
        </w:tc>
        <w:tc>
          <w:tcPr>
            <w:tcW w:w="1540" w:type="dxa"/>
            <w:vAlign w:val="bottom"/>
          </w:tcPr>
          <w:p>
            <w:pPr>
              <w:jc w:val="center"/>
              <w:ind w:left="688"/>
              <w:spacing w:after="0"/>
              <w:rPr>
                <w:sz w:val="20"/>
                <w:szCs w:val="20"/>
                <w:color w:val="auto"/>
              </w:rPr>
            </w:pPr>
            <w:r>
              <w:rPr>
                <w:rFonts w:ascii="Courier New" w:cs="Courier New" w:eastAsia="Courier New" w:hAnsi="Courier New"/>
                <w:sz w:val="14"/>
                <w:szCs w:val="14"/>
                <w:color w:val="auto"/>
              </w:rPr>
              <w:t>96%</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5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5,916,070</w:t>
            </w:r>
          </w:p>
        </w:tc>
        <w:tc>
          <w:tcPr>
            <w:tcW w:w="1540" w:type="dxa"/>
            <w:vAlign w:val="bottom"/>
          </w:tcPr>
          <w:p>
            <w:pPr>
              <w:jc w:val="center"/>
              <w:ind w:left="688"/>
              <w:spacing w:after="0"/>
              <w:rPr>
                <w:sz w:val="20"/>
                <w:szCs w:val="20"/>
                <w:color w:val="auto"/>
              </w:rPr>
            </w:pPr>
            <w:r>
              <w:rPr>
                <w:rFonts w:ascii="Courier New" w:cs="Courier New" w:eastAsia="Courier New" w:hAnsi="Courier New"/>
                <w:sz w:val="14"/>
                <w:szCs w:val="14"/>
                <w:color w:val="auto"/>
              </w:rPr>
              <w:t>96%</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25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1,208,934</w:t>
            </w:r>
          </w:p>
        </w:tc>
        <w:tc>
          <w:tcPr>
            <w:tcW w:w="1540" w:type="dxa"/>
            <w:vAlign w:val="bottom"/>
          </w:tcPr>
          <w:p>
            <w:pPr>
              <w:jc w:val="center"/>
              <w:ind w:left="688"/>
              <w:spacing w:after="0"/>
              <w:rPr>
                <w:sz w:val="20"/>
                <w:szCs w:val="20"/>
                <w:color w:val="auto"/>
              </w:rPr>
            </w:pPr>
            <w:r>
              <w:rPr>
                <w:rFonts w:ascii="Courier New" w:cs="Courier New" w:eastAsia="Courier New" w:hAnsi="Courier New"/>
                <w:sz w:val="14"/>
                <w:szCs w:val="14"/>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5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Total Square</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020" w:type="dxa"/>
            <w:vAlign w:val="bottom"/>
          </w:tcPr>
          <w:p>
            <w:pPr>
              <w:ind w:left="1040"/>
              <w:spacing w:after="0"/>
              <w:rPr>
                <w:sz w:val="20"/>
                <w:szCs w:val="20"/>
                <w:color w:val="auto"/>
              </w:rPr>
            </w:pPr>
            <w:r>
              <w:rPr>
                <w:rFonts w:ascii="Courier New" w:cs="Courier New" w:eastAsia="Courier New" w:hAnsi="Courier New"/>
                <w:sz w:val="14"/>
                <w:szCs w:val="14"/>
                <w:color w:val="auto"/>
              </w:rPr>
              <w:t>Region</w:t>
            </w:r>
          </w:p>
        </w:tc>
        <w:tc>
          <w:tcPr>
            <w:tcW w:w="25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Footage</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06/30/00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4,323,084</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98%</w:t>
            </w: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2,731,508</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94%</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2,790,240</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98%</w:t>
            </w: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3,125,830</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91%</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25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274,915</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0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934,019</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92%</w:t>
            </w:r>
          </w:p>
        </w:tc>
      </w:tr>
      <w:tr>
        <w:trPr>
          <w:trHeight w:val="331"/>
        </w:trPr>
        <w:tc>
          <w:tcPr>
            <w:tcW w:w="3020" w:type="dxa"/>
            <w:vAlign w:val="bottom"/>
          </w:tcPr>
          <w:p>
            <w:pPr>
              <w:spacing w:after="0"/>
              <w:rPr>
                <w:sz w:val="24"/>
                <w:szCs w:val="24"/>
                <w:color w:val="auto"/>
              </w:rPr>
            </w:pPr>
          </w:p>
        </w:tc>
        <w:tc>
          <w:tcPr>
            <w:tcW w:w="254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E-4</w:t>
            </w:r>
          </w:p>
        </w:tc>
        <w:tc>
          <w:tcPr>
            <w:tcW w:w="15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 Prior</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Average Current</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Number of</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Square</w:t>
            </w:r>
          </w:p>
        </w:tc>
        <w:tc>
          <w:tcPr>
            <w:tcW w:w="34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Average Lease</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Rent Per</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Rent Per</w:t>
            </w:r>
          </w:p>
        </w:tc>
        <w:tc>
          <w:tcPr>
            <w:tcW w:w="16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Annualized</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Rolling 12 Months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Leases Signed</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Feet</w:t>
            </w: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Term (Years)</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Foot</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Square Foot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Increase in Rent</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620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 ---------------- ---------------- ------------------</w:t>
            </w:r>
          </w:p>
        </w:tc>
      </w:tr>
      <w:tr>
        <w:trPr>
          <w:trHeight w:val="331"/>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2nd Quarter 2000</w:t>
            </w:r>
          </w:p>
        </w:tc>
        <w:tc>
          <w:tcPr>
            <w:tcW w:w="16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214,111</w:t>
            </w:r>
          </w:p>
        </w:tc>
        <w:tc>
          <w:tcPr>
            <w:tcW w:w="340" w:type="dxa"/>
            <w:vAlign w:val="bottom"/>
          </w:tcPr>
          <w:p>
            <w:pPr>
              <w:spacing w:after="0"/>
              <w:rPr>
                <w:sz w:val="24"/>
                <w:szCs w:val="2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$18.85</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402,991</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1st Quarter 2000</w:t>
            </w:r>
          </w:p>
        </w:tc>
        <w:tc>
          <w:tcPr>
            <w:tcW w:w="16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297,054</w:t>
            </w:r>
          </w:p>
        </w:tc>
        <w:tc>
          <w:tcPr>
            <w:tcW w:w="34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$16.38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$18.89</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746,945</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4th Quarter 1999</w:t>
            </w:r>
          </w:p>
        </w:tc>
        <w:tc>
          <w:tcPr>
            <w:tcW w:w="16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270,278</w:t>
            </w:r>
          </w:p>
        </w:tc>
        <w:tc>
          <w:tcPr>
            <w:tcW w:w="34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$20.14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$24.32</w:t>
            </w:r>
          </w:p>
        </w:tc>
        <w:tc>
          <w:tcPr>
            <w:tcW w:w="16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$1,129,625</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3rd Quarter 1999</w:t>
            </w:r>
          </w:p>
        </w:tc>
        <w:tc>
          <w:tcPr>
            <w:tcW w:w="16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87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324,332</w:t>
            </w:r>
          </w:p>
        </w:tc>
        <w:tc>
          <w:tcPr>
            <w:tcW w:w="34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$16.02</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$20.34</w:t>
            </w:r>
          </w:p>
        </w:tc>
        <w:tc>
          <w:tcPr>
            <w:tcW w:w="16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$1,401,643</w:t>
            </w:r>
          </w:p>
        </w:tc>
      </w:tr>
      <w:tr>
        <w:trPr>
          <w:trHeight w:val="166"/>
        </w:trPr>
        <w:tc>
          <w:tcPr>
            <w:tcW w:w="2200" w:type="dxa"/>
            <w:vAlign w:val="bottom"/>
          </w:tcPr>
          <w:p>
            <w:pPr>
              <w:ind w:left="620"/>
              <w:spacing w:after="0"/>
              <w:rPr>
                <w:sz w:val="20"/>
                <w:szCs w:val="20"/>
                <w:color w:val="auto"/>
              </w:rPr>
            </w:pPr>
            <w:r>
              <w:rPr>
                <w:rFonts w:ascii="Courier New" w:cs="Courier New" w:eastAsia="Courier New" w:hAnsi="Courier New"/>
                <w:sz w:val="14"/>
                <w:szCs w:val="14"/>
                <w:color w:val="auto"/>
              </w:rPr>
              <w:t>Total</w:t>
            </w:r>
          </w:p>
        </w:tc>
        <w:tc>
          <w:tcPr>
            <w:tcW w:w="16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1,105,775</w:t>
            </w:r>
          </w:p>
        </w:tc>
        <w:tc>
          <w:tcPr>
            <w:tcW w:w="34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$17.31</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$20.64</w:t>
            </w:r>
          </w:p>
        </w:tc>
        <w:tc>
          <w:tcPr>
            <w:tcW w:w="16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$3,681,204</w:t>
            </w:r>
          </w:p>
        </w:tc>
      </w:tr>
      <w:tr>
        <w:trPr>
          <w:trHeight w:val="497"/>
        </w:trPr>
        <w:tc>
          <w:tcPr>
            <w:tcW w:w="220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1600" w:type="dxa"/>
            <w:vAlign w:val="bottom"/>
          </w:tcPr>
          <w:p>
            <w:pPr>
              <w:spacing w:after="0"/>
              <w:rPr>
                <w:sz w:val="24"/>
                <w:szCs w:val="24"/>
                <w:color w:val="auto"/>
              </w:rPr>
            </w:pPr>
          </w:p>
        </w:tc>
        <w:tc>
          <w:tcPr>
            <w:tcW w:w="2460" w:type="dxa"/>
            <w:vAlign w:val="bottom"/>
            <w:gridSpan w:val="3"/>
          </w:tcPr>
          <w:p>
            <w:pPr>
              <w:jc w:val="center"/>
              <w:ind w:right="408"/>
              <w:spacing w:after="0"/>
              <w:rPr>
                <w:sz w:val="20"/>
                <w:szCs w:val="20"/>
                <w:color w:val="auto"/>
              </w:rPr>
            </w:pPr>
            <w:r>
              <w:rPr>
                <w:rFonts w:ascii="Courier New" w:cs="Courier New" w:eastAsia="Courier New" w:hAnsi="Courier New"/>
                <w:sz w:val="14"/>
                <w:szCs w:val="14"/>
                <w:color w:val="auto"/>
              </w:rPr>
              <w:t>Estimated</w:t>
            </w: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2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Percentage</w:t>
            </w:r>
          </w:p>
        </w:tc>
        <w:tc>
          <w:tcPr>
            <w:tcW w:w="2460" w:type="dxa"/>
            <w:vAlign w:val="bottom"/>
            <w:gridSpan w:val="3"/>
          </w:tcPr>
          <w:p>
            <w:pPr>
              <w:jc w:val="right"/>
              <w:ind w:right="1188"/>
              <w:spacing w:after="0"/>
              <w:rPr>
                <w:sz w:val="20"/>
                <w:szCs w:val="20"/>
                <w:color w:val="auto"/>
              </w:rPr>
            </w:pPr>
            <w:r>
              <w:rPr>
                <w:rFonts w:ascii="Courier New" w:cs="Courier New" w:eastAsia="Courier New" w:hAnsi="Courier New"/>
                <w:sz w:val="14"/>
                <w:szCs w:val="14"/>
                <w:color w:val="auto"/>
              </w:rPr>
              <w:t>Tenant</w:t>
            </w: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Increase</w:t>
            </w:r>
          </w:p>
        </w:tc>
        <w:tc>
          <w:tcPr>
            <w:tcW w:w="2460" w:type="dxa"/>
            <w:vAlign w:val="bottom"/>
            <w:gridSpan w:val="3"/>
          </w:tcPr>
          <w:p>
            <w:pPr>
              <w:jc w:val="center"/>
              <w:ind w:right="408"/>
              <w:spacing w:after="0"/>
              <w:rPr>
                <w:sz w:val="20"/>
                <w:szCs w:val="20"/>
                <w:color w:val="auto"/>
              </w:rPr>
            </w:pPr>
            <w:r>
              <w:rPr>
                <w:rFonts w:ascii="Courier New" w:cs="Courier New" w:eastAsia="Courier New" w:hAnsi="Courier New"/>
                <w:sz w:val="14"/>
                <w:szCs w:val="14"/>
                <w:color w:val="auto"/>
              </w:rPr>
              <w:t>Improvement</w:t>
            </w: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Rolling 12 Months</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over Prior Rent</w:t>
            </w:r>
          </w:p>
        </w:tc>
        <w:tc>
          <w:tcPr>
            <w:tcW w:w="780" w:type="dxa"/>
            <w:vAlign w:val="bottom"/>
          </w:tcPr>
          <w:p>
            <w:pPr>
              <w:spacing w:after="0"/>
              <w:rPr>
                <w:sz w:val="14"/>
                <w:szCs w:val="14"/>
                <w:color w:val="auto"/>
              </w:rPr>
            </w:pPr>
          </w:p>
        </w:tc>
        <w:tc>
          <w:tcPr>
            <w:tcW w:w="1680" w:type="dxa"/>
            <w:vAlign w:val="bottom"/>
            <w:gridSpan w:val="2"/>
          </w:tcPr>
          <w:p>
            <w:pPr>
              <w:jc w:val="center"/>
              <w:ind w:right="1188"/>
              <w:spacing w:after="0"/>
              <w:rPr>
                <w:sz w:val="20"/>
                <w:szCs w:val="20"/>
                <w:color w:val="auto"/>
              </w:rPr>
            </w:pPr>
            <w:r>
              <w:rPr>
                <w:rFonts w:ascii="Courier New" w:cs="Courier New" w:eastAsia="Courier New" w:hAnsi="Courier New"/>
                <w:sz w:val="14"/>
                <w:szCs w:val="14"/>
                <w:color w:val="auto"/>
                <w:w w:val="99"/>
              </w:rPr>
              <w:t>Costs</w:t>
            </w: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6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2nd Quarter 2000</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865,868</w:t>
            </w: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1st Quarter 2000</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w w:val="97"/>
              </w:rPr>
              <w:t>5,128,000</w:t>
            </w: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4th Quarter 1999</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w w:val="97"/>
              </w:rPr>
              <w:t>2,710,000</w:t>
            </w: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3rd Quarter 1999</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w w:val="97"/>
              </w:rPr>
              <w:t>3,799,000</w:t>
            </w: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200" w:type="dxa"/>
            <w:vAlign w:val="bottom"/>
          </w:tcPr>
          <w:p>
            <w:pPr>
              <w:ind w:left="620"/>
              <w:spacing w:after="0"/>
              <w:rPr>
                <w:sz w:val="20"/>
                <w:szCs w:val="20"/>
                <w:color w:val="auto"/>
              </w:rPr>
            </w:pPr>
            <w:r>
              <w:rPr>
                <w:rFonts w:ascii="Courier New" w:cs="Courier New" w:eastAsia="Courier New" w:hAnsi="Courier New"/>
                <w:sz w:val="14"/>
                <w:szCs w:val="14"/>
                <w:color w:val="auto"/>
              </w:rPr>
              <w:t>Total</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w:t>
            </w:r>
          </w:p>
        </w:tc>
        <w:tc>
          <w:tcPr>
            <w:tcW w:w="2460" w:type="dxa"/>
            <w:vAlign w:val="bottom"/>
            <w:gridSpan w:val="3"/>
          </w:tcPr>
          <w:p>
            <w:pPr>
              <w:jc w:val="right"/>
              <w:ind w:right="848"/>
              <w:spacing w:after="0"/>
              <w:rPr>
                <w:sz w:val="20"/>
                <w:szCs w:val="20"/>
                <w:color w:val="auto"/>
              </w:rPr>
            </w:pPr>
            <w:r>
              <w:rPr>
                <w:rFonts w:ascii="Courier New" w:cs="Courier New" w:eastAsia="Courier New" w:hAnsi="Courier New"/>
                <w:sz w:val="14"/>
                <w:szCs w:val="14"/>
                <w:color w:val="auto"/>
              </w:rPr>
              <w:t>$12,502,868</w:t>
            </w:r>
          </w:p>
        </w:tc>
        <w:tc>
          <w:tcPr>
            <w:tcW w:w="1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97"/>
        </w:trPr>
        <w:tc>
          <w:tcPr>
            <w:tcW w:w="220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Weighted</w:t>
            </w: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2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Average</w:t>
            </w:r>
          </w:p>
        </w:tc>
        <w:tc>
          <w:tcPr>
            <w:tcW w:w="1720" w:type="dxa"/>
            <w:vAlign w:val="bottom"/>
          </w:tcPr>
          <w:p>
            <w:pPr>
              <w:spacing w:after="0"/>
              <w:rPr>
                <w:sz w:val="14"/>
                <w:szCs w:val="14"/>
                <w:color w:val="auto"/>
              </w:rPr>
            </w:pPr>
          </w:p>
        </w:tc>
        <w:tc>
          <w:tcPr>
            <w:tcW w:w="14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Annualized</w:t>
            </w:r>
          </w:p>
        </w:tc>
        <w:tc>
          <w:tcPr>
            <w:tcW w:w="16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200" w:type="dxa"/>
            <w:vAlign w:val="bottom"/>
          </w:tcPr>
          <w:p>
            <w:pPr>
              <w:spacing w:after="0"/>
              <w:rPr>
                <w:sz w:val="14"/>
                <w:szCs w:val="14"/>
                <w:color w:val="auto"/>
              </w:rPr>
            </w:pP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Number of</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w:t>
            </w:r>
          </w:p>
        </w:tc>
        <w:tc>
          <w:tcPr>
            <w:tcW w:w="34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Lease</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Average Rent</w:t>
            </w:r>
          </w:p>
        </w:tc>
        <w:tc>
          <w:tcPr>
            <w:tcW w:w="1460" w:type="dxa"/>
            <w:vAlign w:val="bottom"/>
          </w:tcPr>
          <w:p>
            <w:pPr>
              <w:ind w:left="220"/>
              <w:spacing w:after="0"/>
              <w:rPr>
                <w:sz w:val="20"/>
                <w:szCs w:val="20"/>
                <w:color w:val="auto"/>
              </w:rPr>
            </w:pPr>
            <w:r>
              <w:rPr>
                <w:rFonts w:ascii="Courier New" w:cs="Courier New" w:eastAsia="Courier New" w:hAnsi="Courier New"/>
                <w:sz w:val="14"/>
                <w:szCs w:val="14"/>
                <w:color w:val="auto"/>
              </w:rPr>
              <w:t>Current</w:t>
            </w: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Rolling 12 Months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Leases Signed</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Feet</w:t>
            </w:r>
          </w:p>
        </w:tc>
        <w:tc>
          <w:tcPr>
            <w:tcW w:w="16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Term (Years)</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Per Square Foot</w:t>
            </w:r>
          </w:p>
        </w:tc>
        <w:tc>
          <w:tcPr>
            <w:tcW w:w="146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Rent</w:t>
            </w:r>
          </w:p>
        </w:tc>
        <w:tc>
          <w:tcPr>
            <w:tcW w:w="38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9"/>
              </w:rPr>
              <w:t>Costs</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2nd Quarter 2000</w:t>
            </w:r>
          </w:p>
        </w:tc>
        <w:tc>
          <w:tcPr>
            <w:tcW w:w="16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84,287</w:t>
            </w:r>
          </w:p>
        </w:tc>
        <w:tc>
          <w:tcPr>
            <w:tcW w:w="340" w:type="dxa"/>
            <w:vAlign w:val="bottom"/>
          </w:tcPr>
          <w:p>
            <w:pPr>
              <w:spacing w:after="0"/>
              <w:rPr>
                <w:sz w:val="24"/>
                <w:szCs w:val="2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11.7</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$29.37</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$2,475,607</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248,120</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1st Quarter 2000</w:t>
            </w:r>
          </w:p>
        </w:tc>
        <w:tc>
          <w:tcPr>
            <w:tcW w:w="16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50,126</w:t>
            </w:r>
          </w:p>
        </w:tc>
        <w:tc>
          <w:tcPr>
            <w:tcW w:w="3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12.8</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$24.07</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$1,206,432</w:t>
            </w:r>
          </w:p>
        </w:tc>
        <w:tc>
          <w:tcPr>
            <w:tcW w:w="16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$1,025,678</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4th Quarter 1999</w:t>
            </w:r>
          </w:p>
        </w:tc>
        <w:tc>
          <w:tcPr>
            <w:tcW w:w="16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39,545</w:t>
            </w:r>
          </w:p>
        </w:tc>
        <w:tc>
          <w:tcPr>
            <w:tcW w:w="3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8.7</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$18.13</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  717,011</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389,089</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3rd Quarter 1999</w:t>
            </w:r>
          </w:p>
        </w:tc>
        <w:tc>
          <w:tcPr>
            <w:tcW w:w="16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105,948</w:t>
            </w:r>
          </w:p>
        </w:tc>
        <w:tc>
          <w:tcPr>
            <w:tcW w:w="3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10.2</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$20.32</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$2,153,331</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520,563</w:t>
            </w:r>
          </w:p>
        </w:tc>
      </w:tr>
      <w:tr>
        <w:trPr>
          <w:trHeight w:val="166"/>
        </w:trPr>
        <w:tc>
          <w:tcPr>
            <w:tcW w:w="2200" w:type="dxa"/>
            <w:vAlign w:val="bottom"/>
          </w:tcPr>
          <w:p>
            <w:pPr>
              <w:ind w:left="620"/>
              <w:spacing w:after="0"/>
              <w:rPr>
                <w:sz w:val="20"/>
                <w:szCs w:val="20"/>
                <w:color w:val="auto"/>
              </w:rPr>
            </w:pPr>
            <w:r>
              <w:rPr>
                <w:rFonts w:ascii="Courier New" w:cs="Courier New" w:eastAsia="Courier New" w:hAnsi="Courier New"/>
                <w:sz w:val="14"/>
                <w:szCs w:val="14"/>
                <w:color w:val="auto"/>
              </w:rPr>
              <w:t>Total</w:t>
            </w:r>
          </w:p>
        </w:tc>
        <w:tc>
          <w:tcPr>
            <w:tcW w:w="16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279,906</w:t>
            </w:r>
          </w:p>
        </w:tc>
        <w:tc>
          <w:tcPr>
            <w:tcW w:w="34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10.6</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$23.41</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$6,552,381</w:t>
            </w:r>
          </w:p>
        </w:tc>
        <w:tc>
          <w:tcPr>
            <w:tcW w:w="16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$2,183,450</w:t>
            </w:r>
          </w:p>
        </w:tc>
      </w:tr>
      <w:tr>
        <w:trPr>
          <w:trHeight w:val="497"/>
        </w:trPr>
        <w:tc>
          <w:tcPr>
            <w:tcW w:w="220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E-5</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120"/>
          </w:cols>
          <w:pgMar w:left="220" w:top="616" w:right="55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Retail Operating &amp; Development Overview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60" w:type="dxa"/>
            <w:vAlign w:val="bottom"/>
            <w:gridSpan w:val="5"/>
          </w:tcPr>
          <w:p>
            <w:pPr>
              <w:jc w:val="right"/>
              <w:ind w:right="628"/>
              <w:spacing w:after="0"/>
              <w:rPr>
                <w:sz w:val="20"/>
                <w:szCs w:val="20"/>
                <w:color w:val="auto"/>
              </w:rPr>
            </w:pPr>
            <w:r>
              <w:rPr>
                <w:rFonts w:ascii="Courier New" w:cs="Courier New" w:eastAsia="Courier New" w:hAnsi="Courier New"/>
                <w:sz w:val="14"/>
                <w:szCs w:val="14"/>
                <w:color w:val="auto"/>
              </w:rPr>
              <w:t>For the year ended December 31,</w:t>
            </w:r>
          </w:p>
        </w:tc>
        <w:tc>
          <w:tcPr>
            <w:tcW w:w="260" w:type="dxa"/>
            <w:vAlign w:val="bottom"/>
          </w:tcPr>
          <w:p>
            <w:pPr>
              <w:spacing w:after="0"/>
              <w:rPr>
                <w:sz w:val="14"/>
                <w:szCs w:val="14"/>
                <w:color w:val="auto"/>
              </w:rPr>
            </w:pP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8"/>
              </w:rPr>
              <w:t>June 30,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 thousands, except sf data)</w:t>
            </w:r>
          </w:p>
        </w:tc>
        <w:tc>
          <w:tcPr>
            <w:tcW w:w="400" w:type="dxa"/>
            <w:vAlign w:val="bottom"/>
          </w:tcPr>
          <w:p>
            <w:pPr>
              <w:spacing w:after="0"/>
              <w:rPr>
                <w:sz w:val="14"/>
                <w:szCs w:val="1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800" w:type="dxa"/>
            <w:vAlign w:val="bottom"/>
          </w:tcPr>
          <w:p>
            <w:pPr>
              <w:spacing w:after="0"/>
              <w:rPr>
                <w:sz w:val="14"/>
                <w:szCs w:val="14"/>
                <w:color w:val="auto"/>
              </w:rPr>
            </w:pPr>
          </w:p>
        </w:tc>
        <w:tc>
          <w:tcPr>
            <w:tcW w:w="69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Real Estate Assets (1)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164,931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288,020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365,874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449,182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508,849</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20,555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31,998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42,643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50,288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28,042</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12,538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28,660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34,774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20,176</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Square Feet (2)</w:t>
            </w:r>
          </w:p>
        </w:tc>
        <w:tc>
          <w:tcPr>
            <w:tcW w:w="40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1,122,737</w:t>
            </w:r>
          </w:p>
        </w:tc>
        <w:tc>
          <w:tcPr>
            <w:tcW w:w="30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1,502,807</w:t>
            </w:r>
          </w:p>
        </w:tc>
        <w:tc>
          <w:tcPr>
            <w:tcW w:w="30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1,601,849</w:t>
            </w:r>
          </w:p>
        </w:tc>
        <w:tc>
          <w:tcPr>
            <w:tcW w:w="2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1,691,593</w:t>
            </w:r>
          </w:p>
        </w:tc>
        <w:tc>
          <w:tcPr>
            <w:tcW w:w="260" w:type="dxa"/>
            <w:vAlign w:val="bottom"/>
          </w:tcPr>
          <w:p>
            <w:pPr>
              <w:spacing w:after="0"/>
              <w:rPr>
                <w:sz w:val="24"/>
                <w:szCs w:val="24"/>
                <w:color w:val="auto"/>
              </w:rPr>
            </w:pP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7"/>
              </w:rPr>
              <w:t>1,762,785</w:t>
            </w:r>
          </w:p>
        </w:tc>
      </w:tr>
    </w:tbl>
    <w:p>
      <w:pPr>
        <w:spacing w:after="0" w:line="335" w:lineRule="exact"/>
        <w:rPr>
          <w:sz w:val="20"/>
          <w:szCs w:val="20"/>
          <w:color w:val="auto"/>
        </w:rPr>
      </w:pPr>
    </w:p>
    <w:p>
      <w:pPr>
        <w:ind w:left="360" w:right="3339"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June 30, 2000, includes $121 million related to new development in process. The balance is comprised of both stabilized assets and assets which are in various stages of redevelopment.</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4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Square Feet</w:t>
            </w:r>
          </w:p>
        </w:tc>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MID-ATLANTIC</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Square Feet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2440" w:type="dxa"/>
            <w:vAlign w:val="bottom"/>
          </w:tcPr>
          <w:p>
            <w:pPr>
              <w:spacing w:after="0"/>
              <w:rPr>
                <w:sz w:val="24"/>
                <w:szCs w:val="24"/>
                <w:color w:val="auto"/>
              </w:rPr>
            </w:pPr>
          </w:p>
        </w:tc>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Virginia</w:t>
            </w:r>
          </w:p>
        </w:tc>
        <w:tc>
          <w:tcPr>
            <w:tcW w:w="186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Greenwich Avenue/4</w:t>
            </w:r>
          </w:p>
        </w:tc>
        <w:tc>
          <w:tcPr>
            <w:tcW w:w="24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80,791</w:t>
            </w: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Pentagon Row</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West Hartford/7</w:t>
            </w:r>
          </w:p>
        </w:tc>
        <w:tc>
          <w:tcPr>
            <w:tcW w:w="24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125,347</w:t>
            </w: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Village at Shirlington</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203,359</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Westport/2</w:t>
            </w:r>
          </w:p>
        </w:tc>
        <w:tc>
          <w:tcPr>
            <w:tcW w:w="24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26,408</w:t>
            </w:r>
          </w:p>
        </w:tc>
        <w:tc>
          <w:tcPr>
            <w:tcW w:w="28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WESTERN</w:t>
            </w:r>
          </w:p>
        </w:tc>
        <w:tc>
          <w:tcPr>
            <w:tcW w:w="18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2440" w:type="dxa"/>
            <w:vAlign w:val="bottom"/>
          </w:tcPr>
          <w:p>
            <w:pPr>
              <w:spacing w:after="0"/>
              <w:rPr>
                <w:sz w:val="14"/>
                <w:szCs w:val="14"/>
                <w:color w:val="auto"/>
              </w:rPr>
            </w:pPr>
          </w:p>
        </w:tc>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Arizona</w:t>
            </w:r>
          </w:p>
        </w:tc>
        <w:tc>
          <w:tcPr>
            <w:tcW w:w="1860" w:type="dxa"/>
            <w:vAlign w:val="bottom"/>
          </w:tcPr>
          <w:p>
            <w:pPr>
              <w:spacing w:after="0"/>
              <w:rPr>
                <w:sz w:val="14"/>
                <w:szCs w:val="1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Coolidge Corner/1</w:t>
            </w:r>
          </w:p>
        </w:tc>
        <w:tc>
          <w:tcPr>
            <w:tcW w:w="24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13,101</w:t>
            </w: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Mill Avenue/2</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39,532</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2440" w:type="dxa"/>
            <w:vAlign w:val="bottom"/>
          </w:tcPr>
          <w:p>
            <w:pPr>
              <w:spacing w:after="0"/>
              <w:rPr>
                <w:sz w:val="24"/>
                <w:szCs w:val="24"/>
                <w:color w:val="auto"/>
              </w:rPr>
            </w:pPr>
          </w:p>
        </w:tc>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California</w:t>
            </w:r>
          </w:p>
        </w:tc>
        <w:tc>
          <w:tcPr>
            <w:tcW w:w="186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Central Avenue/1</w:t>
            </w:r>
          </w:p>
        </w:tc>
        <w:tc>
          <w:tcPr>
            <w:tcW w:w="24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11,208</w:t>
            </w: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Colorado Boulevard/2</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69,361</w:t>
            </w:r>
          </w:p>
        </w:tc>
      </w:tr>
      <w:tr>
        <w:trPr>
          <w:trHeight w:val="166"/>
        </w:trPr>
        <w:tc>
          <w:tcPr>
            <w:tcW w:w="2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Fifth Avenue/5</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66,962</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2440" w:type="dxa"/>
            <w:vAlign w:val="bottom"/>
          </w:tcPr>
          <w:p>
            <w:pPr>
              <w:spacing w:after="0"/>
              <w:rPr>
                <w:sz w:val="14"/>
                <w:szCs w:val="14"/>
                <w:color w:val="auto"/>
              </w:rPr>
            </w:pP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Hermosa Beach/1</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5,930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Forest Hills/4</w:t>
            </w:r>
          </w:p>
        </w:tc>
        <w:tc>
          <w:tcPr>
            <w:tcW w:w="24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90,580</w:t>
            </w: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Post Street/1</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99,144</w:t>
            </w:r>
          </w:p>
        </w:tc>
      </w:tr>
      <w:tr>
        <w:trPr>
          <w:trHeight w:val="166"/>
        </w:trPr>
        <w:tc>
          <w:tcPr>
            <w:tcW w:w="2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Old Town Center</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101,000</w:t>
            </w:r>
          </w:p>
        </w:tc>
      </w:tr>
      <w:tr>
        <w:trPr>
          <w:trHeight w:val="166"/>
        </w:trPr>
        <w:tc>
          <w:tcPr>
            <w:tcW w:w="2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Santana Row</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440" w:type="dxa"/>
            <w:vAlign w:val="bottom"/>
          </w:tcPr>
          <w:p>
            <w:pPr>
              <w:spacing w:after="0"/>
              <w:rPr>
                <w:sz w:val="14"/>
                <w:szCs w:val="14"/>
                <w:color w:val="auto"/>
              </w:rPr>
            </w:pP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Third Street Promenade/8</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169,858</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District of Columbia</w:t>
            </w:r>
          </w:p>
        </w:tc>
        <w:tc>
          <w:tcPr>
            <w:tcW w:w="2440" w:type="dxa"/>
            <w:vAlign w:val="bottom"/>
          </w:tcPr>
          <w:p>
            <w:pPr>
              <w:spacing w:after="0"/>
              <w:rPr>
                <w:sz w:val="14"/>
                <w:szCs w:val="14"/>
                <w:color w:val="auto"/>
              </w:rPr>
            </w:pP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Hollywood Blvd./3</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198,464</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Sam's Park N Shop</w:t>
            </w:r>
          </w:p>
        </w:tc>
        <w:tc>
          <w:tcPr>
            <w:tcW w:w="24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49,706</w:t>
            </w: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214 Wilshire Blvd</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29,040</w:t>
            </w:r>
          </w:p>
        </w:tc>
      </w:tr>
      <w:tr>
        <w:trPr>
          <w:trHeight w:val="331"/>
        </w:trPr>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Illinois</w:t>
            </w:r>
          </w:p>
        </w:tc>
        <w:tc>
          <w:tcPr>
            <w:tcW w:w="186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2440" w:type="dxa"/>
            <w:vAlign w:val="bottom"/>
          </w:tcPr>
          <w:p>
            <w:pPr>
              <w:spacing w:after="0"/>
              <w:rPr>
                <w:sz w:val="14"/>
                <w:szCs w:val="14"/>
                <w:color w:val="auto"/>
              </w:rPr>
            </w:pP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Evanston/2</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18,813</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Winter Park/2</w:t>
            </w:r>
          </w:p>
        </w:tc>
        <w:tc>
          <w:tcPr>
            <w:tcW w:w="24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28,446</w:t>
            </w: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Oak Street/1</w:t>
            </w:r>
          </w:p>
        </w:tc>
        <w:tc>
          <w:tcPr>
            <w:tcW w:w="1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Maryland</w:t>
            </w:r>
          </w:p>
        </w:tc>
        <w:tc>
          <w:tcPr>
            <w:tcW w:w="2440" w:type="dxa"/>
            <w:vAlign w:val="bottom"/>
          </w:tcPr>
          <w:p>
            <w:pPr>
              <w:spacing w:after="0"/>
              <w:rPr>
                <w:sz w:val="24"/>
                <w:szCs w:val="24"/>
                <w:color w:val="auto"/>
              </w:rPr>
            </w:pPr>
          </w:p>
        </w:tc>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Texas</w:t>
            </w:r>
          </w:p>
        </w:tc>
        <w:tc>
          <w:tcPr>
            <w:tcW w:w="186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Bethesda Row</w:t>
            </w: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330,735  (2)</w:t>
            </w:r>
          </w:p>
        </w:tc>
        <w:tc>
          <w:tcPr>
            <w:tcW w:w="2800" w:type="dxa"/>
            <w:vAlign w:val="bottom"/>
          </w:tcPr>
          <w:p>
            <w:pPr>
              <w:ind w:left="600"/>
              <w:spacing w:after="0"/>
              <w:rPr>
                <w:sz w:val="20"/>
                <w:szCs w:val="20"/>
                <w:color w:val="auto"/>
              </w:rPr>
            </w:pPr>
            <w:r>
              <w:rPr>
                <w:rFonts w:ascii="Courier New" w:cs="Courier New" w:eastAsia="Courier New" w:hAnsi="Courier New"/>
                <w:sz w:val="14"/>
                <w:szCs w:val="14"/>
                <w:color w:val="auto"/>
              </w:rPr>
              <w:t>Houston Street/10</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r>
        <w:trPr>
          <w:trHeight w:val="497"/>
        </w:trPr>
        <w:tc>
          <w:tcPr>
            <w:tcW w:w="2300" w:type="dxa"/>
            <w:vAlign w:val="bottom"/>
          </w:tcPr>
          <w:p>
            <w:pPr>
              <w:spacing w:after="0"/>
              <w:rPr>
                <w:sz w:val="24"/>
                <w:szCs w:val="24"/>
                <w:color w:val="auto"/>
              </w:rPr>
            </w:pPr>
          </w:p>
        </w:tc>
        <w:tc>
          <w:tcPr>
            <w:tcW w:w="24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E-6</w:t>
            </w: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Pipeline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2000</w:t>
      </w:r>
    </w:p>
    <w:p>
      <w:pPr>
        <w:spacing w:after="0" w:line="200" w:lineRule="exact"/>
        <w:rPr>
          <w:sz w:val="20"/>
          <w:szCs w:val="20"/>
          <w:color w:val="auto"/>
        </w:rPr>
      </w:pPr>
    </w:p>
    <w:p>
      <w:pPr>
        <w:spacing w:after="0" w:line="304"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40" w:type="dxa"/>
            <w:vAlign w:val="bottom"/>
          </w:tcPr>
          <w:p>
            <w:pPr>
              <w:ind w:left="700"/>
              <w:spacing w:after="0"/>
              <w:rPr>
                <w:sz w:val="20"/>
                <w:szCs w:val="20"/>
                <w:color w:val="auto"/>
              </w:rPr>
            </w:pPr>
            <w:r>
              <w:rPr>
                <w:rFonts w:ascii="Courier New" w:cs="Courier New" w:eastAsia="Courier New" w:hAnsi="Courier New"/>
                <w:sz w:val="14"/>
                <w:szCs w:val="14"/>
                <w:color w:val="auto"/>
              </w:rPr>
              <w:t>Cost</w:t>
            </w:r>
          </w:p>
        </w:tc>
        <w:tc>
          <w:tcPr>
            <w:tcW w:w="2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Estimate To Complete</w:t>
            </w:r>
          </w:p>
        </w:tc>
        <w:tc>
          <w:tcPr>
            <w:tcW w:w="9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Completed</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Project</w:t>
            </w:r>
          </w:p>
        </w:tc>
        <w:tc>
          <w:tcPr>
            <w:tcW w:w="2360" w:type="dxa"/>
            <w:vAlign w:val="bottom"/>
          </w:tcPr>
          <w:p>
            <w:pPr>
              <w:ind w:left="560"/>
              <w:spacing w:after="0"/>
              <w:rPr>
                <w:sz w:val="20"/>
                <w:szCs w:val="20"/>
                <w:color w:val="auto"/>
              </w:rPr>
            </w:pPr>
            <w:r>
              <w:rPr>
                <w:rFonts w:ascii="Courier New" w:cs="Courier New" w:eastAsia="Courier New" w:hAnsi="Courier New"/>
                <w:sz w:val="14"/>
                <w:szCs w:val="14"/>
                <w:color w:val="auto"/>
              </w:rPr>
              <w:t>Specifications</w:t>
            </w:r>
          </w:p>
        </w:tc>
        <w:tc>
          <w:tcPr>
            <w:tcW w:w="1640" w:type="dxa"/>
            <w:vAlign w:val="bottom"/>
          </w:tcPr>
          <w:p>
            <w:pPr>
              <w:ind w:left="620"/>
              <w:spacing w:after="0"/>
              <w:rPr>
                <w:sz w:val="20"/>
                <w:szCs w:val="20"/>
                <w:color w:val="auto"/>
              </w:rPr>
            </w:pPr>
            <w:r>
              <w:rPr>
                <w:rFonts w:ascii="Courier New" w:cs="Courier New" w:eastAsia="Courier New" w:hAnsi="Courier New"/>
                <w:sz w:val="14"/>
                <w:szCs w:val="14"/>
                <w:color w:val="auto"/>
              </w:rPr>
              <w:t>To Date</w:t>
            </w:r>
          </w:p>
        </w:tc>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Cost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  i n</w:t>
            </w:r>
          </w:p>
        </w:tc>
        <w:tc>
          <w:tcPr>
            <w:tcW w:w="314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m i l l i o n s )</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COMPLETED DEVELOPMENTS</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Bethesda Row - Elm Street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sf retail</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$ 1</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  9</w:t>
            </w:r>
          </w:p>
        </w:tc>
      </w:tr>
      <w:tr>
        <w:trPr>
          <w:trHeight w:val="166"/>
        </w:trPr>
        <w:tc>
          <w:tcPr>
            <w:tcW w:w="2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3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sf office</w:t>
            </w:r>
          </w:p>
        </w:tc>
        <w:tc>
          <w:tcPr>
            <w:tcW w:w="1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IN PROGRESS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Bethesda Row - Woodmont East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52,000</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sf retail</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w:t>
            </w:r>
          </w:p>
        </w:tc>
        <w:tc>
          <w:tcPr>
            <w:tcW w:w="1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$ 32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78,000</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sf office</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264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22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300,000 sf retail  (1)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$ 19</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w:t>
            </w:r>
          </w:p>
        </w:tc>
        <w:tc>
          <w:tcPr>
            <w:tcW w:w="1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$ 68</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Arlington, Virginia</w:t>
            </w:r>
          </w:p>
        </w:tc>
        <w:tc>
          <w:tcPr>
            <w:tcW w:w="22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500 apartment units</w:t>
            </w: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170"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FUTURE DEVELOPMENT (3)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Santana Row</w:t>
            </w:r>
          </w:p>
        </w:tc>
        <w:tc>
          <w:tcPr>
            <w:tcW w:w="24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680,000 sf retail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San Jose, California</w:t>
            </w:r>
          </w:p>
        </w:tc>
        <w:tc>
          <w:tcPr>
            <w:tcW w:w="24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1,200 residential units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200</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hotel rooms (2)</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The Shops at Tanasbourne</w:t>
            </w:r>
          </w:p>
        </w:tc>
        <w:tc>
          <w:tcPr>
            <w:tcW w:w="24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300,000 sf retail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Portland, Oregon</w:t>
            </w:r>
          </w:p>
        </w:tc>
        <w:tc>
          <w:tcPr>
            <w:tcW w:w="24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12,000 sf office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Lindbergh Center</w:t>
            </w:r>
          </w:p>
        </w:tc>
        <w:tc>
          <w:tcPr>
            <w:tcW w:w="24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300,000 sf retail  (1)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Atlanta, Georgia</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320</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apartments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120</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hotel rooms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290</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condominiums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1.3</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million sf office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520" w:hanging="171"/>
        <w:spacing w:after="0"/>
        <w:tabs>
          <w:tab w:leader="none" w:pos="552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85</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120"/>
          </w:cols>
          <w:pgMar w:left="220" w:top="616" w:right="559" w:bottom="0" w:gutter="0" w:footer="0" w:header="0"/>
        </w:sectPr>
      </w:pP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Total New Development and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Construction in Progress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right"/>
        <w:ind w:right="5420"/>
        <w:spacing w:after="0"/>
        <w:rPr>
          <w:sz w:val="20"/>
          <w:szCs w:val="20"/>
          <w:color w:val="auto"/>
        </w:rPr>
      </w:pPr>
      <w:r>
        <w:rPr>
          <w:rFonts w:ascii="Courier New" w:cs="Courier New" w:eastAsia="Courier New" w:hAnsi="Courier New"/>
          <w:sz w:val="14"/>
          <w:szCs w:val="14"/>
          <w:color w:val="auto"/>
        </w:rPr>
        <w:t>$121</w:t>
      </w:r>
    </w:p>
    <w:p>
      <w:pPr>
        <w:spacing w:after="0" w:line="7" w:lineRule="exact"/>
        <w:rPr>
          <w:sz w:val="20"/>
          <w:szCs w:val="20"/>
          <w:color w:val="auto"/>
        </w:rPr>
      </w:pPr>
    </w:p>
    <w:p>
      <w:pPr>
        <w:jc w:val="right"/>
        <w:ind w:right="54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280" w:space="720"/>
            <w:col w:w="6120"/>
          </w:cols>
          <w:pgMar w:left="220" w:top="616" w:right="559" w:bottom="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Expected</w:t>
      </w:r>
    </w:p>
    <w:p>
      <w:pPr>
        <w:spacing w:after="0" w:line="7" w:lineRule="exact"/>
        <w:rPr>
          <w:sz w:val="20"/>
          <w:szCs w:val="20"/>
          <w:color w:val="auto"/>
        </w:rPr>
      </w:pPr>
    </w:p>
    <w:p>
      <w:pPr>
        <w:ind w:left="3200"/>
        <w:spacing w:after="0"/>
        <w:tabs>
          <w:tab w:leader="none" w:pos="4720" w:val="left"/>
        </w:tabs>
        <w:rPr>
          <w:sz w:val="20"/>
          <w:szCs w:val="20"/>
          <w:color w:val="auto"/>
        </w:rPr>
      </w:pPr>
      <w:r>
        <w:rPr>
          <w:rFonts w:ascii="Courier New" w:cs="Courier New" w:eastAsia="Courier New" w:hAnsi="Courier New"/>
          <w:sz w:val="14"/>
          <w:szCs w:val="14"/>
          <w:color w:val="auto"/>
        </w:rPr>
        <w:t>Stabilized</w:t>
      </w:r>
      <w:r>
        <w:rPr>
          <w:sz w:val="20"/>
          <w:szCs w:val="20"/>
          <w:color w:val="auto"/>
        </w:rPr>
        <w:tab/>
      </w:r>
      <w:r>
        <w:rPr>
          <w:rFonts w:ascii="Courier New" w:cs="Courier New" w:eastAsia="Courier New" w:hAnsi="Courier New"/>
          <w:sz w:val="14"/>
          <w:szCs w:val="14"/>
          <w:color w:val="auto"/>
        </w:rPr>
        <w:t>Principal</w:t>
      </w:r>
    </w:p>
    <w:p>
      <w:pPr>
        <w:spacing w:after="0" w:line="7" w:lineRule="exact"/>
        <w:rPr>
          <w:sz w:val="20"/>
          <w:szCs w:val="20"/>
          <w:color w:val="auto"/>
        </w:rPr>
      </w:pPr>
    </w:p>
    <w:p>
      <w:pPr>
        <w:ind w:left="960"/>
        <w:spacing w:after="0"/>
        <w:tabs>
          <w:tab w:leader="none" w:pos="3260" w:val="left"/>
          <w:tab w:leader="none" w:pos="4720" w:val="left"/>
        </w:tabs>
        <w:rPr>
          <w:sz w:val="20"/>
          <w:szCs w:val="20"/>
          <w:color w:val="auto"/>
        </w:rPr>
      </w:pPr>
      <w:r>
        <w:rPr>
          <w:rFonts w:ascii="Courier New" w:cs="Courier New" w:eastAsia="Courier New" w:hAnsi="Courier New"/>
          <w:sz w:val="14"/>
          <w:szCs w:val="14"/>
          <w:color w:val="auto"/>
        </w:rPr>
        <w:t>Project</w:t>
      </w:r>
      <w:r>
        <w:rPr>
          <w:sz w:val="20"/>
          <w:szCs w:val="20"/>
          <w:color w:val="auto"/>
        </w:rPr>
        <w:tab/>
      </w:r>
      <w:r>
        <w:rPr>
          <w:rFonts w:ascii="Courier New" w:cs="Courier New" w:eastAsia="Courier New" w:hAnsi="Courier New"/>
          <w:sz w:val="14"/>
          <w:szCs w:val="14"/>
          <w:color w:val="auto"/>
        </w:rPr>
        <w:t>Return</w:t>
      </w:r>
      <w:r>
        <w:rPr>
          <w:sz w:val="20"/>
          <w:szCs w:val="20"/>
          <w:color w:val="auto"/>
        </w:rPr>
        <w:tab/>
      </w:r>
      <w:r>
        <w:rPr>
          <w:rFonts w:ascii="Courier New" w:cs="Courier New" w:eastAsia="Courier New" w:hAnsi="Courier New"/>
          <w:sz w:val="14"/>
          <w:szCs w:val="14"/>
          <w:color w:val="auto"/>
        </w:rPr>
        <w:t>Tenants</w:t>
      </w:r>
    </w:p>
    <w:p>
      <w:pPr>
        <w:sectPr>
          <w:pgSz w:w="11900" w:h="16838" w:orient="portrait"/>
          <w:cols w:equalWidth="0" w:num="1">
            <w:col w:w="11120"/>
          </w:cols>
          <w:pgMar w:left="220" w:top="616" w:right="559" w:bottom="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COMPLETED DEVELOPMENTS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Bethesda Row - Elm Street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Cafe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Deluxe</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1420" w:type="dxa"/>
            <w:vAlign w:val="bottom"/>
          </w:tcPr>
          <w:p>
            <w:pPr>
              <w:spacing w:after="0"/>
              <w:rPr>
                <w:sz w:val="14"/>
                <w:szCs w:val="14"/>
                <w:color w:val="auto"/>
              </w:rPr>
            </w:pPr>
          </w:p>
        </w:tc>
        <w:tc>
          <w:tcPr>
            <w:tcW w:w="19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Vitamin Superstore</w:t>
            </w:r>
          </w:p>
        </w:tc>
      </w:tr>
      <w:tr>
        <w:trPr>
          <w:trHeight w:val="166"/>
        </w:trPr>
        <w:tc>
          <w:tcPr>
            <w:tcW w:w="2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Three Dog Bakery</w:t>
            </w:r>
          </w:p>
        </w:tc>
      </w:tr>
      <w:tr>
        <w:trPr>
          <w:trHeight w:val="166"/>
        </w:trPr>
        <w:tc>
          <w:tcPr>
            <w:tcW w:w="2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Prudential</w:t>
            </w:r>
          </w:p>
        </w:tc>
      </w:tr>
      <w:tr>
        <w:trPr>
          <w:trHeight w:val="166"/>
        </w:trPr>
        <w:tc>
          <w:tcPr>
            <w:tcW w:w="2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Long</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&amp; Foster</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IN PROGRESS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Row - Woodmont East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Landmark Theatres</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Bethesda, Maryland</w:t>
            </w:r>
          </w:p>
        </w:tc>
        <w:tc>
          <w:tcPr>
            <w:tcW w:w="1300" w:type="dxa"/>
            <w:vAlign w:val="bottom"/>
          </w:tcPr>
          <w:p>
            <w:pPr>
              <w:spacing w:after="0"/>
              <w:rPr>
                <w:sz w:val="14"/>
                <w:szCs w:val="1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Jaleo Restaurant</w:t>
            </w:r>
          </w:p>
        </w:tc>
      </w:tr>
      <w:tr>
        <w:trPr>
          <w:trHeight w:val="166"/>
        </w:trPr>
        <w:tc>
          <w:tcPr>
            <w:tcW w:w="7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OpNet Technologies</w:t>
            </w:r>
          </w:p>
        </w:tc>
      </w:tr>
      <w:tr>
        <w:trPr>
          <w:trHeight w:val="497"/>
        </w:trPr>
        <w:tc>
          <w:tcPr>
            <w:tcW w:w="740" w:type="dxa"/>
            <w:vAlign w:val="bottom"/>
          </w:tcPr>
          <w:p>
            <w:pPr>
              <w:spacing w:after="0"/>
              <w:rPr>
                <w:sz w:val="20"/>
                <w:szCs w:val="20"/>
                <w:color w:val="auto"/>
              </w:rPr>
            </w:pPr>
            <w:r>
              <w:rPr>
                <w:rFonts w:ascii="Courier New" w:cs="Courier New" w:eastAsia="Courier New" w:hAnsi="Courier New"/>
                <w:sz w:val="14"/>
                <w:szCs w:val="14"/>
                <w:color w:val="auto"/>
              </w:rPr>
              <w:t>Pentagon</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Row</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Harris Teeter</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Arlington, Virginia</w:t>
            </w:r>
          </w:p>
        </w:tc>
        <w:tc>
          <w:tcPr>
            <w:tcW w:w="1300" w:type="dxa"/>
            <w:vAlign w:val="bottom"/>
          </w:tcPr>
          <w:p>
            <w:pPr>
              <w:spacing w:after="0"/>
              <w:rPr>
                <w:sz w:val="14"/>
                <w:szCs w:val="14"/>
                <w:color w:val="auto"/>
              </w:rPr>
            </w:pPr>
          </w:p>
        </w:tc>
        <w:tc>
          <w:tcPr>
            <w:tcW w:w="1900" w:type="dxa"/>
            <w:vAlign w:val="bottom"/>
          </w:tcPr>
          <w:p>
            <w:pPr>
              <w:ind w:left="340"/>
              <w:spacing w:after="0"/>
              <w:rPr>
                <w:sz w:val="20"/>
                <w:szCs w:val="20"/>
                <w:color w:val="auto"/>
              </w:rPr>
            </w:pPr>
            <w:r>
              <w:rPr>
                <w:rFonts w:ascii="Courier New" w:cs="Courier New" w:eastAsia="Courier New" w:hAnsi="Courier New"/>
                <w:sz w:val="14"/>
                <w:szCs w:val="14"/>
                <w:color w:val="auto"/>
              </w:rPr>
              <w:t>Bed, Bath &amp; Beyond</w:t>
            </w:r>
          </w:p>
        </w:tc>
      </w:tr>
    </w:tbl>
    <w:p>
      <w:pPr>
        <w:spacing w:after="0" w:line="170"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Bally's Fitness</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Hudson Trail Outfitters</w:t>
      </w:r>
    </w:p>
    <w:p>
      <w:pPr>
        <w:spacing w:after="0" w:line="173"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FUTURE DEVELOPMENT (3)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Santana Row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Jose, California</w:t>
      </w:r>
    </w:p>
    <w:p>
      <w:pPr>
        <w:sectPr>
          <w:pgSz w:w="11900" w:h="16838" w:orient="portrait"/>
          <w:cols w:equalWidth="0" w:num="1">
            <w:col w:w="11120"/>
          </w:cols>
          <w:pgMar w:left="220" w:top="616" w:right="559" w:bottom="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The Shops at Tanasbourne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Portland, Oregon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Lindbergh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Atlanta, Georgia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60" w:hanging="352"/>
        <w:spacing w:after="0"/>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will develop only the retail component of this project.</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will not develop the hotel component of this project.</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redevelopment projects, such as Houston Street.</w:t>
      </w:r>
    </w:p>
    <w:p>
      <w:pPr>
        <w:sectPr>
          <w:pgSz w:w="11900" w:h="16838" w:orient="portrait"/>
          <w:cols w:equalWidth="0" w:num="1">
            <w:col w:w="10239"/>
          </w:cols>
          <w:pgMar w:left="220" w:top="141" w:right="1440" w:bottom="1440" w:gutter="0" w:footer="0" w:header="0"/>
        </w:sectPr>
      </w:pPr>
    </w:p>
    <w:bookmarkStart w:id="11" w:name="page12"/>
    <w:bookmarkEnd w:id="11"/>
    <w:p>
      <w:pPr>
        <w:ind w:left="3980"/>
        <w:spacing w:after="0"/>
        <w:rPr>
          <w:sz w:val="20"/>
          <w:szCs w:val="20"/>
          <w:color w:val="auto"/>
        </w:rPr>
      </w:pPr>
      <w:r>
        <w:rPr>
          <w:rFonts w:ascii="Courier New" w:cs="Courier New" w:eastAsia="Courier New" w:hAnsi="Courier New"/>
          <w:sz w:val="14"/>
          <w:szCs w:val="14"/>
          <w:color w:val="auto"/>
        </w:rPr>
        <w:t>Tacie Fox</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Investor Relations &amp;</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Capital Markets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301/998-8352</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SECOND QUARTER 2000 OPERATING RESULTS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26,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second quarter of 2000 increased 5.5% to $25.5 million from $24.2 million in the second quarter of 1999. On a per share diluted basis, funds from operations rose 6.7% to $.64 in the second quarter of 2000 from $.60 in the comparable quarter of 1999.</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Growth from 1999 to 2000 was primarily generated from the core portfolio.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was minimal impact from acquisitions and re-developments.</w:t>
      </w:r>
    </w:p>
    <w:p>
      <w:pPr>
        <w:spacing w:after="0" w:line="173" w:lineRule="exact"/>
        <w:rPr>
          <w:sz w:val="20"/>
          <w:szCs w:val="20"/>
          <w:color w:val="auto"/>
        </w:rPr>
      </w:pPr>
    </w:p>
    <w:p>
      <w:pPr>
        <w:jc w:val="both"/>
        <w:ind w:left="860" w:right="3859" w:hanging="421"/>
        <w:spacing w:after="0" w:line="252" w:lineRule="auto"/>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7.7% to $64.3 million in 2000 from $59.7 million in 1999, primarily due to recent re-developments and re-tenanting.</w:t>
      </w:r>
    </w:p>
    <w:p>
      <w:pPr>
        <w:spacing w:after="0" w:line="163" w:lineRule="exact"/>
        <w:rPr>
          <w:sz w:val="20"/>
          <w:szCs w:val="20"/>
          <w:color w:val="auto"/>
        </w:rPr>
      </w:pPr>
    </w:p>
    <w:p>
      <w:pPr>
        <w:ind w:left="860" w:right="3779" w:hanging="421"/>
        <w:spacing w:after="0" w:line="255" w:lineRule="auto"/>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increased 7.0% to $47.0 million in 2000 from $43.9 million in 1999.</w:t>
      </w:r>
    </w:p>
    <w:p>
      <w:pPr>
        <w:spacing w:after="0" w:line="160" w:lineRule="exact"/>
        <w:rPr>
          <w:sz w:val="20"/>
          <w:szCs w:val="20"/>
          <w:color w:val="auto"/>
        </w:rPr>
      </w:pPr>
    </w:p>
    <w:p>
      <w:pPr>
        <w:ind w:left="860" w:right="3339" w:hanging="421"/>
        <w:spacing w:after="0" w:line="251" w:lineRule="auto"/>
        <w:tabs>
          <w:tab w:leader="none" w:pos="8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second quarter of 2000, the Trust signed leases for a total 298,000 square feet of retail space. On a same space basis, the Trust re-leased 214,000 square feet of retail space at an average increase in rent per square foot of 11%. The weighted average rent on these leases was $18.85 per square foot compared to the previous average rent of $16.97 per square foot.</w:t>
      </w:r>
    </w:p>
    <w:p>
      <w:pPr>
        <w:spacing w:after="0" w:line="164" w:lineRule="exact"/>
        <w:rPr>
          <w:sz w:val="20"/>
          <w:szCs w:val="20"/>
          <w:color w:val="auto"/>
        </w:rPr>
      </w:pPr>
    </w:p>
    <w:p>
      <w:pPr>
        <w:ind w:left="860" w:right="3339" w:hanging="421"/>
        <w:spacing w:after="0" w:line="255" w:lineRule="auto"/>
        <w:tabs>
          <w:tab w:leader="none" w:pos="8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 stood at 96% at June 30, 2000 compared to 95% a year ago.</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E-8</w:t>
      </w:r>
    </w:p>
    <w:p>
      <w:pPr>
        <w:sectPr>
          <w:pgSz w:w="11900" w:h="16838" w:orient="portrait"/>
          <w:cols w:equalWidth="0" w:num="1">
            <w:col w:w="10239"/>
          </w:cols>
          <w:pgMar w:left="220" w:top="616" w:right="1440" w:bottom="1440" w:gutter="0" w:footer="0" w:header="0"/>
        </w:sectPr>
      </w:pPr>
    </w:p>
    <w:bookmarkStart w:id="12" w:name="page13"/>
    <w:bookmarkEnd w:id="12"/>
    <w:p>
      <w:pPr>
        <w:ind w:right="3519" w:firstLine="431"/>
        <w:spacing w:after="0" w:line="251" w:lineRule="auto"/>
        <w:rPr>
          <w:sz w:val="20"/>
          <w:szCs w:val="20"/>
          <w:color w:val="auto"/>
        </w:rPr>
      </w:pPr>
      <w:r>
        <w:rPr>
          <w:rFonts w:ascii="Courier New" w:cs="Courier New" w:eastAsia="Courier New" w:hAnsi="Courier New"/>
          <w:sz w:val="14"/>
          <w:szCs w:val="14"/>
          <w:color w:val="auto"/>
        </w:rPr>
        <w:t>Funds from operations also improved for the first six months of 2000 increasing 5.7% to $50.6 million from $47.9 million in the first half of 1999. On a per share diluted basis, funds from operations advanced 6.8% to $1.26 per share for the first six months of 2000 compared to $1.18 for the comparable period of 1999.</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Commenting on the results, Steven Guttman, president and chief executive officer stated, "We are pleased with our operating results in the first half of this year and are on target to meet our 2000 financial goals. While higher interest costs and asset sales will likely put short-term pressure on funds from operations growth in 2001, our high quality core portfolio should continue to generate strong internal growth as the Trust continues to execute its mixed-use development strategy."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Guttman continued, "On the development front, construction is proceeding according to both plan and budget for phase IV of our Bethesda Row master planned development in Bethesda, Maryland and on our Pentagon Row project in Arlington, Virginia. These developments are targeted to open at the end of this year and will contribute to earnings beginning in 2001."</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124 properties consisting of community and neighborhood shopping centers, urban mixed-use main street retail and apartment properties located in strategic metropolitan markets across the United States. These markets include Boston, New York, Philadelphia, Washington D.C., Chicago, San Antonio, Portland, San Francisco, Los Angeles, San Jose and San Diego.</w:t>
      </w:r>
    </w:p>
    <w:p>
      <w:pPr>
        <w:spacing w:after="0" w:line="33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32 consecutive years. Shares of the Trust are traded on the New York Stock Exchange under the symbol:FRT.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of a general nature that could cause actual results to differ materially from Federal's expectations are detailed from time to time in the company's SEC reports and filings, including its annual report on Form 10k. Federal assumes no obligation to update or supplement forward-looking statements that become untrue because of subsequent events.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E-9</w:t>
      </w:r>
    </w:p>
    <w:p>
      <w:pPr>
        <w:sectPr>
          <w:pgSz w:w="11900" w:h="16838" w:orient="portrait"/>
          <w:cols w:equalWidth="0" w:num="1">
            <w:col w:w="10239"/>
          </w:cols>
          <w:pgMar w:left="220" w:top="616" w:right="1440" w:bottom="1440" w:gutter="0" w:footer="0" w:header="0"/>
        </w:sectPr>
      </w:pPr>
    </w:p>
    <w:bookmarkStart w:id="13" w:name="page14"/>
    <w:bookmarkEnd w:id="13"/>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1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June 30,</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OPERATING RESULTS</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ind w:left="600"/>
              <w:spacing w:after="0"/>
              <w:rPr>
                <w:sz w:val="20"/>
                <w:szCs w:val="20"/>
                <w:color w:val="auto"/>
              </w:rPr>
            </w:pPr>
            <w:r>
              <w:rPr>
                <w:rFonts w:ascii="Courier New" w:cs="Courier New" w:eastAsia="Courier New" w:hAnsi="Courier New"/>
                <w:sz w:val="14"/>
                <w:szCs w:val="14"/>
                <w:color w:val="auto"/>
                <w:w w:val="95"/>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Rental income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64,251</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59,674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128,483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119,107</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Other property income</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2,700</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2,555</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5,465</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4,827</w:t>
            </w:r>
          </w:p>
        </w:tc>
      </w:tr>
      <w:tr>
        <w:trPr>
          <w:trHeight w:val="166"/>
        </w:trPr>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Interest</w:t>
            </w:r>
          </w:p>
        </w:tc>
        <w:tc>
          <w:tcPr>
            <w:tcW w:w="4560" w:type="dxa"/>
            <w:vAlign w:val="bottom"/>
          </w:tcPr>
          <w:p>
            <w:pPr>
              <w:spacing w:after="0"/>
              <w:rPr>
                <w:sz w:val="20"/>
                <w:szCs w:val="20"/>
                <w:color w:val="auto"/>
              </w:rPr>
            </w:pPr>
            <w:r>
              <w:rPr>
                <w:rFonts w:ascii="Courier New" w:cs="Courier New" w:eastAsia="Courier New" w:hAnsi="Courier New"/>
                <w:sz w:val="14"/>
                <w:szCs w:val="14"/>
                <w:color w:val="auto"/>
              </w:rPr>
              <w:t>and other income</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1,855</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1,966</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3,962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3,844</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68,806</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64,195</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137,910</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127,778</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Rental</w:t>
            </w: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13,422</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12,456</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28,042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26,104</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Real estate taxes</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6,522</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5,855</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12,979</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11,867</w:t>
            </w:r>
          </w:p>
        </w:tc>
      </w:tr>
      <w:tr>
        <w:trPr>
          <w:trHeight w:val="166"/>
        </w:trPr>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Interest</w:t>
            </w: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17,036</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15,385</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33,529</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30,518</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Administrative</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2,868</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3,160</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5,790</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5,414</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13,338</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12,651</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25,993</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24,932</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53,186</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49,507</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106,333</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98,835</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Operating income before investors' share of operations</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15,620</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14,688</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31,577</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28,943</w:t>
            </w:r>
          </w:p>
        </w:tc>
      </w:tr>
      <w:tr>
        <w:trPr>
          <w:trHeight w:val="331"/>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Investor's share of operations</w:t>
            </w:r>
          </w:p>
        </w:tc>
        <w:tc>
          <w:tcPr>
            <w:tcW w:w="22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(1,227)</w:t>
            </w:r>
          </w:p>
        </w:tc>
        <w:tc>
          <w:tcPr>
            <w:tcW w:w="30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(823)</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(3,045)</w:t>
            </w:r>
          </w:p>
        </w:tc>
        <w:tc>
          <w:tcPr>
            <w:tcW w:w="2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(1,524)</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14,393</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13,865</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28,532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27,419</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Gain (Loss) on sale of real estate</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3,681</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(7,050)</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3,681</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(7,050)</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w w:val="99"/>
              </w:rPr>
              <w:t>Net Income</w:t>
            </w:r>
          </w:p>
        </w:tc>
        <w:tc>
          <w:tcPr>
            <w:tcW w:w="45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18,074</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20,369</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Dividends on preferred stock</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(1,987)</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(1,987)</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(3,975)</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(3,975)</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16,087</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28,238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16,394</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Earnings per common share, basic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0.42</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0.41</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Earnings per common share, diluted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0.41</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0.41</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Weighted average shares outstanding, basic</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38,601</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39,543</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38,871</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39,489</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39,782</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40,682</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40,037</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40,613</w:t>
            </w:r>
          </w:p>
        </w:tc>
      </w:tr>
      <w:tr>
        <w:trPr>
          <w:trHeight w:val="331"/>
        </w:trPr>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w w:val="99"/>
              </w:rPr>
              <w:t>Funds from</w:t>
            </w: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operations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1220" w:type="dxa"/>
            <w:vAlign w:val="bottom"/>
          </w:tcPr>
          <w:p>
            <w:pPr>
              <w:ind w:left="860"/>
              <w:spacing w:after="0"/>
              <w:rPr>
                <w:sz w:val="20"/>
                <w:szCs w:val="20"/>
                <w:color w:val="auto"/>
              </w:rPr>
            </w:pPr>
            <w:r>
              <w:rPr>
                <w:rFonts w:ascii="Courier New" w:cs="Courier New" w:eastAsia="Courier New" w:hAnsi="Courier New"/>
                <w:sz w:val="14"/>
                <w:szCs w:val="14"/>
                <w:color w:val="auto"/>
              </w:rPr>
              <w:t>Net</w:t>
            </w: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income available for common shareholders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16,087</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28,238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16,394</w:t>
            </w:r>
          </w:p>
        </w:tc>
      </w:tr>
      <w:tr>
        <w:trPr>
          <w:trHeight w:val="166"/>
        </w:trPr>
        <w:tc>
          <w:tcPr>
            <w:tcW w:w="57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Add: (gain) loss on sale of real estate</w:t>
            </w:r>
          </w:p>
        </w:tc>
        <w:tc>
          <w:tcPr>
            <w:tcW w:w="22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(3,681)</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7,050</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7,050</w:t>
            </w:r>
          </w:p>
        </w:tc>
      </w:tr>
      <w:tr>
        <w:trPr>
          <w:trHeight w:val="166"/>
        </w:trPr>
        <w:tc>
          <w:tcPr>
            <w:tcW w:w="57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Add: depreciation and amortization of real estate assets</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12,136</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11,489</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23,623</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22,617</w:t>
            </w:r>
          </w:p>
        </w:tc>
      </w:tr>
      <w:tr>
        <w:trPr>
          <w:trHeight w:val="166"/>
        </w:trPr>
        <w:tc>
          <w:tcPr>
            <w:tcW w:w="57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Add: amortization of initial direct costs of leases</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870</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742</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1,700</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1,460</w:t>
            </w:r>
          </w:p>
        </w:tc>
      </w:tr>
      <w:tr>
        <w:trPr>
          <w:trHeight w:val="166"/>
        </w:trPr>
        <w:tc>
          <w:tcPr>
            <w:tcW w:w="578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Add: income attributable to operating partnership units</w:t>
            </w:r>
          </w:p>
        </w:tc>
        <w:tc>
          <w:tcPr>
            <w:tcW w:w="22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744</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361</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Funds from operations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25,543</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24,206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50,624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47,882</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Funds from operations per share, diluted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0.64</w:t>
            </w:r>
          </w:p>
        </w:tc>
        <w:tc>
          <w:tcPr>
            <w:tcW w:w="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June 30,</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BALANCE SHEET DATA</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ind w:left="600"/>
              <w:spacing w:after="0"/>
              <w:rPr>
                <w:sz w:val="20"/>
                <w:szCs w:val="20"/>
                <w:color w:val="auto"/>
              </w:rPr>
            </w:pPr>
            <w:r>
              <w:rPr>
                <w:rFonts w:ascii="Courier New" w:cs="Courier New" w:eastAsia="Courier New" w:hAnsi="Courier New"/>
                <w:sz w:val="14"/>
                <w:szCs w:val="14"/>
                <w:color w:val="auto"/>
                <w:w w:val="95"/>
              </w:rPr>
              <w:t>----</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Assets</w:t>
            </w: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Real estate, at cost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$1,761,045</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$1,721,459</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(337,603)</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(317,921)</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1,423,442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1,403,538</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Mortgage notes receivable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45,936</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53,495</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Cash and investments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18,686</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11,738</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Receivables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18,807</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23,130</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Other assets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37,612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42,147</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$1,544,483</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$1,534,048</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Liabilities and Shareholders' Equity</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172,086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172,573</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Notes payable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298,730</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162,768</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Senior Notes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410,000</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510,000</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5 1/4% Convertible subordinated debentures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75,289</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5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Other liabilities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110,001</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111,591</w:t>
            </w:r>
          </w:p>
        </w:tc>
      </w:tr>
      <w:tr>
        <w:trPr>
          <w:trHeight w:val="331"/>
        </w:trPr>
        <w:tc>
          <w:tcPr>
            <w:tcW w:w="57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Shateholders' Equity</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478,377</w:t>
            </w:r>
          </w:p>
        </w:tc>
        <w:tc>
          <w:tcPr>
            <w:tcW w:w="2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501,827</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$1,544,483</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$1,534,048</w:t>
            </w:r>
          </w:p>
        </w:tc>
      </w:tr>
      <w:tr>
        <w:trPr>
          <w:trHeight w:val="166"/>
        </w:trPr>
        <w:tc>
          <w:tcPr>
            <w:tcW w:w="1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1220" w:type="dxa"/>
            <w:vAlign w:val="bottom"/>
          </w:tcPr>
          <w:p>
            <w:pPr>
              <w:spacing w:after="0"/>
              <w:rPr>
                <w:sz w:val="24"/>
                <w:szCs w:val="24"/>
                <w:color w:val="auto"/>
              </w:rPr>
            </w:pPr>
          </w:p>
        </w:tc>
        <w:tc>
          <w:tcPr>
            <w:tcW w:w="4560" w:type="dxa"/>
            <w:vAlign w:val="bottom"/>
          </w:tcPr>
          <w:p>
            <w:pPr>
              <w:ind w:left="1980"/>
              <w:spacing w:after="0"/>
              <w:rPr>
                <w:sz w:val="20"/>
                <w:szCs w:val="20"/>
                <w:color w:val="auto"/>
              </w:rPr>
            </w:pPr>
            <w:r>
              <w:rPr>
                <w:rFonts w:ascii="Courier New" w:cs="Courier New" w:eastAsia="Courier New" w:hAnsi="Courier New"/>
                <w:sz w:val="14"/>
                <w:szCs w:val="14"/>
                <w:color w:val="auto"/>
              </w:rPr>
              <w:t>E-10</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440"/>
          </w:cols>
          <w:pgMar w:left="220" w:top="616" w:right="1239" w:bottom="1440" w:gutter="0" w:footer="0" w:header="0"/>
        </w:sectPr>
      </w:pPr>
    </w:p>
    <w:bookmarkStart w:id="14" w:name="page15"/>
    <w:bookmarkEnd w:id="14"/>
    <w:p>
      <w:pPr>
        <w:ind w:left="2680"/>
        <w:spacing w:after="0"/>
        <w:rPr>
          <w:sz w:val="20"/>
          <w:szCs w:val="20"/>
          <w:color w:val="auto"/>
        </w:rPr>
      </w:pPr>
      <w:r>
        <w:rPr>
          <w:rFonts w:ascii="Courier New" w:cs="Courier New" w:eastAsia="Courier New" w:hAnsi="Courier New"/>
          <w:sz w:val="14"/>
          <w:szCs w:val="14"/>
          <w:color w:val="auto"/>
        </w:rPr>
        <w:t>Glossary of Terms</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Net Operating Income: Gross revenues, including interest income, less rental expenses and real estate taxes.</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operating properties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properties owned and operating in the periods being compared. Excludes centers purchased or sold as well as properties under redevelopment and 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E-11</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3"/>
    </w:lvl>
  </w:abstractNum>
  <w:abstractNum w:abstractNumId="1">
    <w:nsid w:val="7545E146"/>
    <w:multiLevelType w:val="hybridMultilevel"/>
    <w:lvl w:ilvl="0">
      <w:lvlJc w:val="left"/>
      <w:lvlText w:val="%1."/>
      <w:numFmt w:val="decimal"/>
      <w:start w:val="3"/>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2019-12-12T09:18:43Z</dcterms:created>
  <dcterms:modified xsi:type="dcterms:W3CDTF">2019-12-12T09:18:43Z</dcterms:modified>
</cp:coreProperties>
</file>