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00"/>
        <w:spacing w:after="0"/>
        <w:rPr>
          <w:sz w:val="20"/>
          <w:szCs w:val="20"/>
          <w:color w:val="auto"/>
        </w:rPr>
      </w:pPr>
      <w:r>
        <w:rPr>
          <w:rFonts w:ascii="Courier New" w:cs="Courier New" w:eastAsia="Courier New" w:hAnsi="Courier New"/>
          <w:sz w:val="18"/>
          <w:szCs w:val="18"/>
          <w:color w:val="auto"/>
        </w:rPr>
        <w:t>RULE 424(b)(5)</w:t>
      </w:r>
    </w:p>
    <w:p>
      <w:pPr>
        <w:spacing w:after="0" w:line="31" w:lineRule="exact"/>
        <w:rPr>
          <w:sz w:val="24"/>
          <w:szCs w:val="24"/>
          <w:color w:val="auto"/>
        </w:rPr>
      </w:pPr>
    </w:p>
    <w:p>
      <w:pPr>
        <w:ind w:left="5800"/>
        <w:spacing w:after="0"/>
        <w:rPr>
          <w:sz w:val="20"/>
          <w:szCs w:val="20"/>
          <w:color w:val="auto"/>
        </w:rPr>
      </w:pPr>
      <w:r>
        <w:rPr>
          <w:rFonts w:ascii="Courier New" w:cs="Courier New" w:eastAsia="Courier New" w:hAnsi="Courier New"/>
          <w:sz w:val="16"/>
          <w:szCs w:val="16"/>
          <w:color w:val="auto"/>
        </w:rPr>
        <w:t>REGISTRATION NO. 33-51029</w:t>
      </w:r>
    </w:p>
    <w:p>
      <w:pPr>
        <w:spacing w:after="0" w:line="19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PROSPECTUS SUPPLEMENT TO PROSPECTUS DATED DECEMBER 13, 1993</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380,000 SHARES</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SHARES</w:t>
      </w:r>
    </w:p>
    <w:p>
      <w:pPr>
        <w:spacing w:after="0" w:line="201" w:lineRule="exact"/>
        <w:rPr>
          <w:sz w:val="24"/>
          <w:szCs w:val="24"/>
          <w:color w:val="auto"/>
        </w:rPr>
      </w:pPr>
    </w:p>
    <w:p>
      <w:pPr>
        <w:ind w:right="2099" w:firstLine="211"/>
        <w:spacing w:after="0" w:line="248"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that manages, leases and supervises renovation of its properties. At June 30, 1995, the Trust owned 53 community and neighborhood shopping centers, eleven retail buildings, and one apartment complex. The Trust is offering 380,000 common shares of beneficial interest, no par or stated value (the "Shares"), to the shareholders of a corporation in exchange for the assets of the corporation, consisting primarily of a shopping center. The Trust's Shares are listed on the New York Stock Exchange under the Symbol "FRT." The last reported sale price for the Shares on August 31, 1995 was $21 7/8.</w:t>
      </w:r>
    </w:p>
    <w:p>
      <w:pPr>
        <w:spacing w:after="0" w:line="30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right="2099"/>
        <w:spacing w:after="0" w:line="306"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OR THE ACCOMPANYING PROSPECTUS. ANY REPRESENTATION TO THE CONTRARY IS A CRIMINAL OFFENSE.</w:t>
      </w:r>
    </w:p>
    <w:p>
      <w:pPr>
        <w:spacing w:after="0" w:line="2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4"/>
          <w:szCs w:val="24"/>
          <w:color w:val="auto"/>
        </w:rPr>
      </w:pPr>
    </w:p>
    <w:p>
      <w:pPr>
        <w:ind w:left="4860"/>
        <w:spacing w:after="0"/>
        <w:tabs>
          <w:tab w:leader="none" w:pos="5880" w:val="left"/>
        </w:tabs>
        <w:rPr>
          <w:sz w:val="20"/>
          <w:szCs w:val="20"/>
          <w:color w:val="auto"/>
        </w:rPr>
      </w:pPr>
      <w:r>
        <w:rPr>
          <w:rFonts w:ascii="Courier New" w:cs="Courier New" w:eastAsia="Courier New" w:hAnsi="Courier New"/>
          <w:sz w:val="18"/>
          <w:szCs w:val="18"/>
          <w:color w:val="auto"/>
        </w:rPr>
        <w:t>PRICE TO</w:t>
      </w:r>
      <w:r>
        <w:rPr>
          <w:sz w:val="20"/>
          <w:szCs w:val="20"/>
          <w:color w:val="auto"/>
        </w:rPr>
        <w:tab/>
      </w:r>
      <w:r>
        <w:rPr>
          <w:rFonts w:ascii="Courier New" w:cs="Courier New" w:eastAsia="Courier New" w:hAnsi="Courier New"/>
          <w:sz w:val="16"/>
          <w:szCs w:val="16"/>
          <w:color w:val="auto"/>
        </w:rPr>
        <w:t>UNDERWRITING PROCEEDS TO</w:t>
      </w:r>
    </w:p>
    <w:p>
      <w:pPr>
        <w:spacing w:after="0" w:line="29" w:lineRule="exact"/>
        <w:rPr>
          <w:sz w:val="24"/>
          <w:szCs w:val="24"/>
          <w:color w:val="auto"/>
        </w:rPr>
      </w:pPr>
    </w:p>
    <w:p>
      <w:pPr>
        <w:ind w:left="4860"/>
        <w:spacing w:after="0"/>
        <w:tabs>
          <w:tab w:leader="none" w:pos="6100" w:val="left"/>
          <w:tab w:leader="none" w:pos="7580" w:val="left"/>
        </w:tabs>
        <w:rPr>
          <w:sz w:val="20"/>
          <w:szCs w:val="20"/>
          <w:color w:val="auto"/>
        </w:rPr>
      </w:pPr>
      <w:r>
        <w:rPr>
          <w:rFonts w:ascii="Courier New" w:cs="Courier New" w:eastAsia="Courier New" w:hAnsi="Courier New"/>
          <w:sz w:val="18"/>
          <w:szCs w:val="18"/>
          <w:color w:val="auto"/>
        </w:rPr>
        <w:t>INVESTOR</w:t>
      </w:r>
      <w:r>
        <w:rPr>
          <w:sz w:val="20"/>
          <w:szCs w:val="20"/>
          <w:color w:val="auto"/>
        </w:rPr>
        <w:tab/>
      </w:r>
      <w:r>
        <w:rPr>
          <w:rFonts w:ascii="Courier New" w:cs="Courier New" w:eastAsia="Courier New" w:hAnsi="Courier New"/>
          <w:sz w:val="18"/>
          <w:szCs w:val="18"/>
          <w:color w:val="auto"/>
        </w:rPr>
        <w:t>DISCOUNT</w:t>
      </w:r>
      <w:r>
        <w:rPr>
          <w:sz w:val="20"/>
          <w:szCs w:val="20"/>
          <w:color w:val="auto"/>
        </w:rPr>
        <w:tab/>
      </w:r>
      <w:r>
        <w:rPr>
          <w:rFonts w:ascii="Courier New" w:cs="Courier New" w:eastAsia="Courier New" w:hAnsi="Courier New"/>
          <w:sz w:val="16"/>
          <w:szCs w:val="16"/>
          <w:color w:val="auto"/>
        </w:rPr>
        <w:t>TRUST</w:t>
      </w: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740" w:type="dxa"/>
            <w:vAlign w:val="bottom"/>
          </w:tcPr>
          <w:p>
            <w:pPr>
              <w:spacing w:after="0"/>
              <w:rPr>
                <w:sz w:val="20"/>
                <w:szCs w:val="20"/>
                <w:color w:val="auto"/>
              </w:rPr>
            </w:pPr>
            <w:r>
              <w:rPr>
                <w:rFonts w:ascii="Courier New" w:cs="Courier New" w:eastAsia="Courier New" w:hAnsi="Courier New"/>
                <w:sz w:val="18"/>
                <w:szCs w:val="18"/>
                <w:color w:val="auto"/>
              </w:rPr>
              <w:t>Per Share..................................</w:t>
            </w: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$21.75</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$21.75</w:t>
            </w: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4640" w:type="dxa"/>
            <w:vAlign w:val="bottom"/>
          </w:tcPr>
          <w:p>
            <w:pPr>
              <w:spacing w:after="0"/>
              <w:rPr>
                <w:sz w:val="20"/>
                <w:szCs w:val="20"/>
                <w:color w:val="auto"/>
              </w:rPr>
            </w:pPr>
            <w:r>
              <w:rPr>
                <w:rFonts w:ascii="Courier New" w:cs="Courier New" w:eastAsia="Courier New" w:hAnsi="Courier New"/>
                <w:sz w:val="18"/>
                <w:szCs w:val="18"/>
                <w:color w:val="auto"/>
                <w:w w:val="99"/>
              </w:rPr>
              <w:t>Total......................................</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$8,265,000</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$8,265,000</w:t>
            </w:r>
          </w:p>
        </w:tc>
      </w:tr>
    </w:tbl>
    <w:p>
      <w:pPr>
        <w:spacing w:after="0" w:line="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79"/>
        <w:spacing w:after="0" w:line="292" w:lineRule="auto"/>
        <w:rPr>
          <w:sz w:val="20"/>
          <w:szCs w:val="20"/>
          <w:color w:val="auto"/>
        </w:rPr>
      </w:pPr>
      <w:r>
        <w:rPr>
          <w:rFonts w:ascii="Courier New" w:cs="Courier New" w:eastAsia="Courier New" w:hAnsi="Courier New"/>
          <w:sz w:val="18"/>
          <w:szCs w:val="18"/>
          <w:color w:val="auto"/>
        </w:rPr>
        <w:t>THE ATTORNEY GENERAL OF THE STATE OF  NEW YORK HAS NOT PASSED ON OR ENDORSED THE MERITS OF THIS OFFERING. ANY REPRESENTATION TO THE CONTRARY IS UNLAWFUL.</w:t>
      </w:r>
    </w:p>
    <w:p>
      <w:pPr>
        <w:spacing w:after="0" w:line="6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date of this Prospectus Supplement is September 1, 1995.</w:t>
      </w:r>
    </w:p>
    <w:p>
      <w:pPr>
        <w:sectPr>
          <w:pgSz w:w="11900" w:h="16838" w:orient="portrait"/>
          <w:cols w:equalWidth="0" w:num="1">
            <w:col w:w="10219"/>
          </w:cols>
          <w:pgMar w:left="240" w:top="420" w:right="1440" w:bottom="144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1"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that manages, leases and supervises renovation of its properties. At June 30, 1995, the Trust owned 53 community and neighborhood shopping centers, eleven retail buildings, and one apartment complex. The shopping center portfolio had approximately 11.5 million rentable square feet. At June 30, 1995, the occupancy rate of the core shopping center portfolio (which excluded centers acquired in the previous twelve months and centers under redevelopment) was 94%. Including all shopping centers owned at June 30, 1995, the occupancy rate was also 94%.</w:t>
      </w:r>
    </w:p>
    <w:p>
      <w:pPr>
        <w:spacing w:after="0" w:line="104" w:lineRule="exact"/>
        <w:rPr>
          <w:sz w:val="20"/>
          <w:szCs w:val="20"/>
          <w:color w:val="auto"/>
        </w:rPr>
      </w:pPr>
    </w:p>
    <w:p>
      <w:pPr>
        <w:ind w:right="2519" w:firstLine="211"/>
        <w:spacing w:after="0" w:line="292"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6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RECENT DEVELOPMENTS</w:t>
      </w:r>
    </w:p>
    <w:p>
      <w:pPr>
        <w:spacing w:after="0" w:line="201"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The Trust intends to continue its acquisition and redevelopment activities in the second half of 1995. Acquisitions are being considered in the Trust's core major metropolitan markets of New York/New Jersey, Philadelphia and Baltimore/Washington, D.C. as well as the Chicago, Illinois and Boston, Massachusetts markets. In addition, the Trust is seeking to acquire additional retail buildings in densely developed urban and suburban areas and is also pursuing site acquisitions in its core markets to permit the Trust to develop new shopping centers. In August 1995, the Trust purchased a retail building in Westfield, New Jersey for approximately $2.1 million. On August 1, 1995, the Trust sold North City Shopping Center for $1.8 million.</w:t>
      </w:r>
    </w:p>
    <w:p>
      <w:pPr>
        <w:spacing w:after="0" w:line="1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The Shares are being offered in exchange for the assets and liabilities of Bristol Shopping Plaza, Inc., valued at approximately $7.7 million. The assets consist primarily of a 250,000 square foot shopping center in Bristol, Connecticut which is encumbered by a mortgage, valued at approximately $11.3 million. The Shares will be issued to the current shareholders of Bristol Shopping Plaza, Inc. As of the date hereof, there are 31,766,987 Shares of the Trust outstanding and 32,146,987 Shares are expected to be outstanding upon completion of the offering.</w:t>
      </w:r>
    </w:p>
    <w:p>
      <w:pPr>
        <w:spacing w:after="0" w:line="1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PRICE RANGE OF THE SHARES AND DISTRIBUTIONS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gridSpan w:val="6"/>
          </w:tcPr>
          <w:p>
            <w:pPr>
              <w:ind w:left="220"/>
              <w:spacing w:after="0"/>
              <w:rPr>
                <w:sz w:val="20"/>
                <w:szCs w:val="20"/>
                <w:color w:val="auto"/>
              </w:rPr>
            </w:pPr>
            <w:r>
              <w:rPr>
                <w:rFonts w:ascii="Courier New" w:cs="Courier New" w:eastAsia="Courier New" w:hAnsi="Courier New"/>
                <w:sz w:val="18"/>
                <w:szCs w:val="18"/>
                <w:color w:val="auto"/>
                <w:w w:val="98"/>
              </w:rPr>
              <w:t>The Trust's Shares are listed on the New York Stock Exchange</w:t>
            </w:r>
          </w:p>
        </w:tc>
        <w:tc>
          <w:tcPr>
            <w:tcW w:w="1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under the</w:t>
            </w: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67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FRT. The following table sets forth the high and low sale prices</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the</w:t>
            </w: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for the</w:t>
            </w:r>
          </w:p>
        </w:tc>
        <w:tc>
          <w:tcPr>
            <w:tcW w:w="4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periods indicated and the distributions</w:t>
            </w:r>
          </w:p>
        </w:tc>
        <w:tc>
          <w:tcPr>
            <w:tcW w:w="264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made per Share in such</w:t>
            </w:r>
          </w:p>
        </w:tc>
        <w:tc>
          <w:tcPr>
            <w:tcW w:w="0" w:type="dxa"/>
            <w:vAlign w:val="bottom"/>
          </w:tcPr>
          <w:p>
            <w:pPr>
              <w:spacing w:after="0"/>
              <w:rPr>
                <w:sz w:val="1"/>
                <w:szCs w:val="1"/>
                <w:color w:val="auto"/>
              </w:rPr>
            </w:pPr>
          </w:p>
        </w:tc>
      </w:tr>
      <w:tr>
        <w:trPr>
          <w:trHeight w:val="296"/>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periods.</w:t>
            </w:r>
          </w:p>
        </w:tc>
        <w:tc>
          <w:tcPr>
            <w:tcW w:w="2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60" w:type="dxa"/>
            <w:vAlign w:val="bottom"/>
            <w:gridSpan w:val="2"/>
            <w:vMerge w:val="restart"/>
          </w:tcPr>
          <w:p>
            <w:pPr>
              <w:jc w:val="right"/>
              <w:ind w:right="192"/>
              <w:spacing w:after="0"/>
              <w:rPr>
                <w:sz w:val="20"/>
                <w:szCs w:val="20"/>
                <w:color w:val="auto"/>
              </w:rPr>
            </w:pPr>
            <w:r>
              <w:rPr>
                <w:rFonts w:ascii="Courier New" w:cs="Courier New" w:eastAsia="Courier New" w:hAnsi="Courier New"/>
                <w:sz w:val="18"/>
                <w:szCs w:val="18"/>
                <w:color w:val="auto"/>
              </w:rPr>
              <w:t>HIGH</w:t>
            </w:r>
          </w:p>
        </w:tc>
        <w:tc>
          <w:tcPr>
            <w:tcW w:w="42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DISTRIBUTIONS</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60" w:type="dxa"/>
            <w:vAlign w:val="bottom"/>
            <w:gridSpan w:val="2"/>
            <w:vMerge w:val="continue"/>
          </w:tcPr>
          <w:p>
            <w:pPr>
              <w:spacing w:after="0"/>
              <w:rPr>
                <w:sz w:val="17"/>
                <w:szCs w:val="17"/>
                <w:color w:val="auto"/>
              </w:rPr>
            </w:pPr>
          </w:p>
        </w:tc>
        <w:tc>
          <w:tcPr>
            <w:tcW w:w="13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LOW</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PAID</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22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 -------------</w:t>
            </w:r>
          </w:p>
        </w:tc>
        <w:tc>
          <w:tcPr>
            <w:tcW w:w="0" w:type="dxa"/>
            <w:vAlign w:val="bottom"/>
          </w:tcPr>
          <w:p>
            <w:pPr>
              <w:spacing w:after="0"/>
              <w:rPr>
                <w:sz w:val="1"/>
                <w:szCs w:val="1"/>
                <w:color w:val="auto"/>
              </w:rPr>
            </w:pPr>
          </w:p>
        </w:tc>
      </w:tr>
      <w:tr>
        <w:trPr>
          <w:trHeight w:val="311"/>
        </w:trPr>
        <w:tc>
          <w:tcPr>
            <w:tcW w:w="740" w:type="dxa"/>
            <w:vAlign w:val="bottom"/>
          </w:tcPr>
          <w:p>
            <w:pPr>
              <w:ind w:left="320"/>
              <w:spacing w:after="0"/>
              <w:rPr>
                <w:sz w:val="20"/>
                <w:szCs w:val="20"/>
                <w:color w:val="auto"/>
              </w:rPr>
            </w:pPr>
            <w:r>
              <w:rPr>
                <w:rFonts w:ascii="Courier New" w:cs="Courier New" w:eastAsia="Courier New" w:hAnsi="Courier New"/>
                <w:sz w:val="18"/>
                <w:szCs w:val="18"/>
                <w:color w:val="auto"/>
                <w:w w:val="92"/>
              </w:rPr>
              <w:t>1993</w:t>
            </w:r>
          </w:p>
        </w:tc>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Quarter</w:t>
            </w:r>
          </w:p>
        </w:tc>
        <w:tc>
          <w:tcPr>
            <w:tcW w:w="2540" w:type="dxa"/>
            <w:vAlign w:val="bottom"/>
          </w:tcPr>
          <w:p>
            <w:pPr>
              <w:spacing w:after="0"/>
              <w:rPr>
                <w:sz w:val="20"/>
                <w:szCs w:val="20"/>
                <w:color w:val="auto"/>
              </w:rPr>
            </w:pPr>
            <w:r>
              <w:rPr>
                <w:rFonts w:ascii="Courier New" w:cs="Courier New" w:eastAsia="Courier New" w:hAnsi="Courier New"/>
                <w:sz w:val="16"/>
                <w:szCs w:val="16"/>
                <w:color w:val="auto"/>
                <w:w w:val="72"/>
              </w:rPr>
              <w:t>....................................</w:t>
            </w:r>
          </w:p>
        </w:tc>
        <w:tc>
          <w:tcPr>
            <w:tcW w:w="1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$29</w:t>
            </w:r>
          </w:p>
        </w:tc>
        <w:tc>
          <w:tcPr>
            <w:tcW w:w="38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w:t>
            </w:r>
          </w:p>
        </w:tc>
        <w:tc>
          <w:tcPr>
            <w:tcW w:w="8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7/8</w:t>
            </w:r>
          </w:p>
        </w:tc>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rPr>
              <w:t>$.385</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1st</w:t>
            </w:r>
          </w:p>
        </w:tc>
        <w:tc>
          <w:tcPr>
            <w:tcW w:w="740" w:type="dxa"/>
            <w:vAlign w:val="bottom"/>
            <w:vMerge w:val="continue"/>
          </w:tcPr>
          <w:p>
            <w:pPr>
              <w:spacing w:after="0"/>
              <w:rPr>
                <w:sz w:val="17"/>
                <w:szCs w:val="17"/>
                <w:color w:val="auto"/>
              </w:rPr>
            </w:pPr>
          </w:p>
        </w:tc>
        <w:tc>
          <w:tcPr>
            <w:tcW w:w="254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7/8</w:t>
            </w:r>
          </w:p>
        </w:tc>
        <w:tc>
          <w:tcPr>
            <w:tcW w:w="4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2nd</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Quarter</w:t>
            </w:r>
          </w:p>
        </w:tc>
        <w:tc>
          <w:tcPr>
            <w:tcW w:w="2540" w:type="dxa"/>
            <w:vAlign w:val="bottom"/>
          </w:tcPr>
          <w:p>
            <w:pPr>
              <w:spacing w:after="0"/>
              <w:rPr>
                <w:sz w:val="20"/>
                <w:szCs w:val="20"/>
                <w:color w:val="auto"/>
              </w:rPr>
            </w:pPr>
            <w:r>
              <w:rPr>
                <w:rFonts w:ascii="Courier New" w:cs="Courier New" w:eastAsia="Courier New" w:hAnsi="Courier New"/>
                <w:sz w:val="16"/>
                <w:szCs w:val="16"/>
                <w:color w:val="auto"/>
                <w:w w:val="72"/>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c>
          <w:tcPr>
            <w:tcW w:w="380" w:type="dxa"/>
            <w:vAlign w:val="bottom"/>
            <w:vMerge w:val="continue"/>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3/4</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.385</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3rd</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Quarter</w:t>
            </w:r>
          </w:p>
        </w:tc>
        <w:tc>
          <w:tcPr>
            <w:tcW w:w="2540" w:type="dxa"/>
            <w:vAlign w:val="bottom"/>
          </w:tcPr>
          <w:p>
            <w:pPr>
              <w:spacing w:after="0"/>
              <w:rPr>
                <w:sz w:val="20"/>
                <w:szCs w:val="20"/>
                <w:color w:val="auto"/>
              </w:rPr>
            </w:pPr>
            <w:r>
              <w:rPr>
                <w:rFonts w:ascii="Courier New" w:cs="Courier New" w:eastAsia="Courier New" w:hAnsi="Courier New"/>
                <w:sz w:val="16"/>
                <w:szCs w:val="16"/>
                <w:color w:val="auto"/>
                <w:w w:val="72"/>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.385</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4th</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Quarter</w:t>
            </w:r>
          </w:p>
        </w:tc>
        <w:tc>
          <w:tcPr>
            <w:tcW w:w="2540" w:type="dxa"/>
            <w:vAlign w:val="bottom"/>
          </w:tcPr>
          <w:p>
            <w:pPr>
              <w:spacing w:after="0"/>
              <w:rPr>
                <w:sz w:val="20"/>
                <w:szCs w:val="20"/>
                <w:color w:val="auto"/>
              </w:rPr>
            </w:pPr>
            <w:r>
              <w:rPr>
                <w:rFonts w:ascii="Courier New" w:cs="Courier New" w:eastAsia="Courier New" w:hAnsi="Courier New"/>
                <w:sz w:val="16"/>
                <w:szCs w:val="16"/>
                <w:color w:val="auto"/>
                <w:w w:val="72"/>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1/8</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1994</w:t>
            </w:r>
          </w:p>
        </w:tc>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Quarter</w:t>
            </w:r>
          </w:p>
        </w:tc>
        <w:tc>
          <w:tcPr>
            <w:tcW w:w="2540" w:type="dxa"/>
            <w:vAlign w:val="bottom"/>
          </w:tcPr>
          <w:p>
            <w:pPr>
              <w:spacing w:after="0"/>
              <w:rPr>
                <w:sz w:val="20"/>
                <w:szCs w:val="20"/>
                <w:color w:val="auto"/>
              </w:rPr>
            </w:pPr>
            <w:r>
              <w:rPr>
                <w:rFonts w:ascii="Courier New" w:cs="Courier New" w:eastAsia="Courier New" w:hAnsi="Courier New"/>
                <w:sz w:val="16"/>
                <w:szCs w:val="16"/>
                <w:color w:val="auto"/>
                <w:w w:val="72"/>
              </w:rPr>
              <w:t>....................................</w:t>
            </w:r>
          </w:p>
        </w:tc>
        <w:tc>
          <w:tcPr>
            <w:tcW w:w="1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$29</w:t>
            </w:r>
          </w:p>
        </w:tc>
        <w:tc>
          <w:tcPr>
            <w:tcW w:w="8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5"/>
              </w:rPr>
              <w:t>1/2 $23</w:t>
            </w:r>
          </w:p>
        </w:tc>
        <w:tc>
          <w:tcPr>
            <w:tcW w:w="880" w:type="dxa"/>
            <w:vAlign w:val="bottom"/>
          </w:tcPr>
          <w:p>
            <w:pPr>
              <w:spacing w:after="0"/>
              <w:rPr>
                <w:sz w:val="17"/>
                <w:szCs w:val="17"/>
                <w:color w:val="auto"/>
              </w:rPr>
            </w:pPr>
          </w:p>
        </w:tc>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1st</w:t>
            </w:r>
          </w:p>
        </w:tc>
        <w:tc>
          <w:tcPr>
            <w:tcW w:w="740" w:type="dxa"/>
            <w:vAlign w:val="bottom"/>
            <w:vMerge w:val="continue"/>
          </w:tcPr>
          <w:p>
            <w:pPr>
              <w:spacing w:after="0"/>
              <w:rPr>
                <w:sz w:val="17"/>
                <w:szCs w:val="17"/>
                <w:color w:val="auto"/>
              </w:rPr>
            </w:pPr>
          </w:p>
        </w:tc>
        <w:tc>
          <w:tcPr>
            <w:tcW w:w="254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1/2</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2nd</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Quarter</w:t>
            </w:r>
          </w:p>
        </w:tc>
        <w:tc>
          <w:tcPr>
            <w:tcW w:w="2540" w:type="dxa"/>
            <w:vAlign w:val="bottom"/>
          </w:tcPr>
          <w:p>
            <w:pPr>
              <w:spacing w:after="0"/>
              <w:rPr>
                <w:sz w:val="20"/>
                <w:szCs w:val="20"/>
                <w:color w:val="auto"/>
              </w:rPr>
            </w:pPr>
            <w:r>
              <w:rPr>
                <w:rFonts w:ascii="Courier New" w:cs="Courier New" w:eastAsia="Courier New" w:hAnsi="Courier New"/>
                <w:sz w:val="16"/>
                <w:szCs w:val="16"/>
                <w:color w:val="auto"/>
                <w:w w:val="72"/>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c>
          <w:tcPr>
            <w:tcW w:w="880" w:type="dxa"/>
            <w:vAlign w:val="bottom"/>
            <w:vMerge w:val="continue"/>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3rd</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Quarter</w:t>
            </w:r>
          </w:p>
        </w:tc>
        <w:tc>
          <w:tcPr>
            <w:tcW w:w="2540" w:type="dxa"/>
            <w:vAlign w:val="bottom"/>
          </w:tcPr>
          <w:p>
            <w:pPr>
              <w:spacing w:after="0"/>
              <w:rPr>
                <w:sz w:val="20"/>
                <w:szCs w:val="20"/>
                <w:color w:val="auto"/>
              </w:rPr>
            </w:pPr>
            <w:r>
              <w:rPr>
                <w:rFonts w:ascii="Courier New" w:cs="Courier New" w:eastAsia="Courier New" w:hAnsi="Courier New"/>
                <w:sz w:val="16"/>
                <w:szCs w:val="16"/>
                <w:color w:val="auto"/>
                <w:w w:val="72"/>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8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5/8</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4th</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Quarter</w:t>
            </w:r>
          </w:p>
        </w:tc>
        <w:tc>
          <w:tcPr>
            <w:tcW w:w="2540" w:type="dxa"/>
            <w:vAlign w:val="bottom"/>
          </w:tcPr>
          <w:p>
            <w:pPr>
              <w:spacing w:after="0"/>
              <w:rPr>
                <w:sz w:val="20"/>
                <w:szCs w:val="20"/>
                <w:color w:val="auto"/>
              </w:rPr>
            </w:pPr>
            <w:r>
              <w:rPr>
                <w:rFonts w:ascii="Courier New" w:cs="Courier New" w:eastAsia="Courier New" w:hAnsi="Courier New"/>
                <w:sz w:val="16"/>
                <w:szCs w:val="16"/>
                <w:color w:val="auto"/>
                <w:w w:val="72"/>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c>
          <w:tcPr>
            <w:tcW w:w="880" w:type="dxa"/>
            <w:vAlign w:val="bottom"/>
            <w:vMerge w:val="continue"/>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.395</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1995</w:t>
            </w:r>
          </w:p>
        </w:tc>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Quarter</w:t>
            </w:r>
          </w:p>
        </w:tc>
        <w:tc>
          <w:tcPr>
            <w:tcW w:w="2540" w:type="dxa"/>
            <w:vAlign w:val="bottom"/>
          </w:tcPr>
          <w:p>
            <w:pPr>
              <w:spacing w:after="0"/>
              <w:rPr>
                <w:sz w:val="20"/>
                <w:szCs w:val="20"/>
                <w:color w:val="auto"/>
              </w:rPr>
            </w:pPr>
            <w:r>
              <w:rPr>
                <w:rFonts w:ascii="Courier New" w:cs="Courier New" w:eastAsia="Courier New" w:hAnsi="Courier New"/>
                <w:sz w:val="16"/>
                <w:szCs w:val="16"/>
                <w:color w:val="auto"/>
                <w:w w:val="72"/>
              </w:rPr>
              <w:t>....................................</w:t>
            </w:r>
          </w:p>
        </w:tc>
        <w:tc>
          <w:tcPr>
            <w:tcW w:w="1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$22</w:t>
            </w:r>
          </w:p>
        </w:tc>
        <w:tc>
          <w:tcPr>
            <w:tcW w:w="38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w:t>
            </w:r>
          </w:p>
        </w:tc>
        <w:tc>
          <w:tcPr>
            <w:tcW w:w="8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1/4</w:t>
            </w:r>
          </w:p>
        </w:tc>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rPr>
              <w:t>$.395</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1st</w:t>
            </w:r>
          </w:p>
        </w:tc>
        <w:tc>
          <w:tcPr>
            <w:tcW w:w="740" w:type="dxa"/>
            <w:vAlign w:val="bottom"/>
            <w:vMerge w:val="continue"/>
          </w:tcPr>
          <w:p>
            <w:pPr>
              <w:spacing w:after="0"/>
              <w:rPr>
                <w:sz w:val="17"/>
                <w:szCs w:val="17"/>
                <w:color w:val="auto"/>
              </w:rPr>
            </w:pPr>
          </w:p>
        </w:tc>
        <w:tc>
          <w:tcPr>
            <w:tcW w:w="254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5/8</w:t>
            </w:r>
          </w:p>
        </w:tc>
        <w:tc>
          <w:tcPr>
            <w:tcW w:w="4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2nd</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Quarter</w:t>
            </w:r>
          </w:p>
        </w:tc>
        <w:tc>
          <w:tcPr>
            <w:tcW w:w="2540" w:type="dxa"/>
            <w:vAlign w:val="bottom"/>
            <w:vMerge w:val="restart"/>
          </w:tcPr>
          <w:p>
            <w:pPr>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7"/>
                <w:szCs w:val="17"/>
                <w:color w:val="auto"/>
                <w:w w:val="71"/>
                <w:vertAlign w:val="subscript"/>
              </w:rPr>
              <w:t>(throughAugust31)</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380" w:type="dxa"/>
            <w:vAlign w:val="bottom"/>
            <w:vMerge w:val="continue"/>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3/4</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.395</w:t>
            </w:r>
          </w:p>
        </w:tc>
        <w:tc>
          <w:tcPr>
            <w:tcW w:w="0" w:type="dxa"/>
            <w:vAlign w:val="bottom"/>
          </w:tcPr>
          <w:p>
            <w:pPr>
              <w:spacing w:after="0"/>
              <w:rPr>
                <w:sz w:val="1"/>
                <w:szCs w:val="1"/>
                <w:color w:val="auto"/>
              </w:rPr>
            </w:pPr>
          </w:p>
        </w:tc>
      </w:tr>
      <w:tr>
        <w:trPr>
          <w:trHeight w:val="313"/>
        </w:trPr>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3rd</w:t>
            </w:r>
          </w:p>
        </w:tc>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Quarter</w:t>
            </w:r>
          </w:p>
        </w:tc>
        <w:tc>
          <w:tcPr>
            <w:tcW w:w="2540" w:type="dxa"/>
            <w:vAlign w:val="bottom"/>
            <w:vMerge w:val="continue"/>
          </w:tcPr>
          <w:p>
            <w:pPr>
              <w:ind w:left="2100"/>
              <w:spacing w:after="0"/>
              <w:rPr>
                <w:sz w:val="20"/>
                <w:szCs w:val="20"/>
                <w:color w:val="auto"/>
              </w:rPr>
            </w:pPr>
            <w:r>
              <w:rPr>
                <w:rFonts w:ascii="Courier New" w:cs="Courier New" w:eastAsia="Courier New" w:hAnsi="Courier New"/>
                <w:sz w:val="5"/>
                <w:szCs w:val="5"/>
                <w:color w:val="auto"/>
                <w:w w:val="87"/>
              </w:rPr>
              <w:t>................</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3/8</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1/8</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.395</w:t>
            </w:r>
          </w:p>
        </w:tc>
        <w:tc>
          <w:tcPr>
            <w:tcW w:w="0" w:type="dxa"/>
            <w:vAlign w:val="bottom"/>
          </w:tcPr>
          <w:p>
            <w:pPr>
              <w:spacing w:after="0"/>
              <w:rPr>
                <w:sz w:val="1"/>
                <w:szCs w:val="1"/>
                <w:color w:val="auto"/>
              </w:rPr>
            </w:pPr>
          </w:p>
        </w:tc>
      </w:tr>
      <w:tr>
        <w:trPr>
          <w:trHeight w:val="794"/>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80" w:type="dxa"/>
            <w:vAlign w:val="bottom"/>
          </w:tcPr>
          <w:p>
            <w:pPr>
              <w:jc w:val="right"/>
              <w:ind w:right="1392"/>
              <w:spacing w:after="0"/>
              <w:rPr>
                <w:sz w:val="20"/>
                <w:szCs w:val="20"/>
                <w:color w:val="auto"/>
              </w:rPr>
            </w:pPr>
            <w:r>
              <w:rPr>
                <w:rFonts w:ascii="Courier New" w:cs="Courier New" w:eastAsia="Courier New" w:hAnsi="Courier New"/>
                <w:sz w:val="18"/>
                <w:szCs w:val="18"/>
                <w:color w:val="auto"/>
                <w:w w:val="86"/>
              </w:rPr>
              <w:t>S-2</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701" w:gutter="0" w:footer="0" w:header="0"/>
        </w:sectPr>
      </w:pPr>
    </w:p>
    <w:bookmarkStart w:id="2" w:name="page3"/>
    <w:bookmarkEnd w:id="2"/>
    <w:p>
      <w:pPr>
        <w:ind w:right="1999" w:firstLine="211"/>
        <w:spacing w:after="0" w:line="257" w:lineRule="auto"/>
        <w:rPr>
          <w:sz w:val="20"/>
          <w:szCs w:val="20"/>
          <w:color w:val="auto"/>
        </w:rPr>
      </w:pPr>
      <w:r>
        <w:rPr>
          <w:rFonts w:ascii="Courier New" w:cs="Courier New" w:eastAsia="Courier New" w:hAnsi="Courier New"/>
          <w:sz w:val="18"/>
          <w:szCs w:val="18"/>
          <w:color w:val="auto"/>
        </w:rPr>
        <w:t>The last reported sale price of the Shares on the New York Stock Exchange on August 31, 1995, was $21 7/8</w:t>
      </w:r>
    </w:p>
    <w:p>
      <w:pPr>
        <w:ind w:right="2419"/>
        <w:spacing w:after="0" w:line="309" w:lineRule="auto"/>
        <w:rPr>
          <w:sz w:val="20"/>
          <w:szCs w:val="20"/>
          <w:color w:val="auto"/>
        </w:rPr>
      </w:pPr>
      <w:r>
        <w:rPr>
          <w:rFonts w:ascii="Courier New" w:cs="Courier New" w:eastAsia="Courier New" w:hAnsi="Courier New"/>
          <w:sz w:val="18"/>
          <w:szCs w:val="18"/>
          <w:color w:val="auto"/>
        </w:rPr>
        <w:t>per Share. As of December 31, 1994, there were 4,549 registered holders of Shares.</w:t>
      </w:r>
    </w:p>
    <w:p>
      <w:pPr>
        <w:spacing w:after="0" w:line="5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Trust has made 131 consecutive quarterly distributions and has increased its distribution rate every year for each of the last 27 years. The current indicated annual distribution rate is $1.58 per Share. The Trust's ability to make distributions depends on a number of factors, including its net cash provided by operating activities, capital commitments and debt repayment schedules.</w:t>
      </w:r>
    </w:p>
    <w:p>
      <w:pPr>
        <w:spacing w:after="0" w:line="93" w:lineRule="exact"/>
        <w:rPr>
          <w:sz w:val="20"/>
          <w:szCs w:val="20"/>
          <w:color w:val="auto"/>
        </w:rPr>
      </w:pPr>
    </w:p>
    <w:p>
      <w:pPr>
        <w:ind w:right="1999" w:firstLine="211"/>
        <w:spacing w:after="0" w:line="276" w:lineRule="auto"/>
        <w:rPr>
          <w:sz w:val="20"/>
          <w:szCs w:val="20"/>
          <w:color w:val="auto"/>
        </w:rPr>
      </w:pPr>
      <w:r>
        <w:rPr>
          <w:rFonts w:ascii="Courier New" w:cs="Courier New" w:eastAsia="Courier New" w:hAnsi="Courier New"/>
          <w:sz w:val="16"/>
          <w:szCs w:val="16"/>
          <w:color w:val="auto"/>
        </w:rPr>
        <w:t>For federal income tax purposes, distributions made to shareholders may consist of ordinary income, capital gains distributions, non-taxable return of capital or a combination thereof. Distributions that exceed the Trust's current and accumulated earnings and profits constitute a return of capital and reduce the shareholder's basis in his Shares. To the extent that a distribution exceeds both current and accumulated earnings and profits and the shareholder's basis in his Shares, it will generally be treated as gain from the sale or exchange of that shareholder's Shares. If the Trust designates certain distributions as capital gains distributions in accordance with Section 857(b)(3)(B) and (C) of the Internal Revenue Code of 1986, as amended (the "Code"), such distributions will be taxable as long-term capital gains to the shareholder, regardless of the length of time the shareholder has held his Shares. Under Section 291 of the Code, however, a corporate shareholder may be required to treat up to 20% of a capital gains distribution as ordinary income. Any loss upon the sale or exchange of Shares held for six months or less will be treated as long-term capital loss to the extent of any capital gains distributions received by the shareholder. The Trust annually notifies shareholders as to the taxability of distributions made during the preceding year. Since 1990, cash distributions per Share made to shareholders have been taxable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58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1990</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1991</w:t>
            </w:r>
          </w:p>
        </w:tc>
        <w:tc>
          <w:tcPr>
            <w:tcW w:w="7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1992</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96"/>
        </w:trPr>
        <w:tc>
          <w:tcPr>
            <w:tcW w:w="45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 ------</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580" w:type="dxa"/>
            <w:vAlign w:val="bottom"/>
          </w:tcPr>
          <w:p>
            <w:pPr>
              <w:spacing w:after="0"/>
              <w:rPr>
                <w:sz w:val="20"/>
                <w:szCs w:val="20"/>
                <w:color w:val="auto"/>
              </w:rPr>
            </w:pPr>
            <w:r>
              <w:rPr>
                <w:rFonts w:ascii="Courier New" w:cs="Courier New" w:eastAsia="Courier New" w:hAnsi="Courier New"/>
                <w:sz w:val="18"/>
                <w:szCs w:val="18"/>
                <w:color w:val="auto"/>
                <w:w w:val="98"/>
              </w:rPr>
              <w:t>Ordinary income............................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$1.05</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 .83</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 .610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$1.095</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 .815</w:t>
            </w:r>
          </w:p>
        </w:tc>
        <w:tc>
          <w:tcPr>
            <w:tcW w:w="0" w:type="dxa"/>
            <w:vAlign w:val="bottom"/>
          </w:tcPr>
          <w:p>
            <w:pPr>
              <w:spacing w:after="0"/>
              <w:rPr>
                <w:sz w:val="1"/>
                <w:szCs w:val="1"/>
                <w:color w:val="auto"/>
              </w:rPr>
            </w:pP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Capital gains..............................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.66</w:t>
            </w: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.915</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.450</w:t>
            </w:r>
          </w:p>
        </w:tc>
        <w:tc>
          <w:tcPr>
            <w:tcW w:w="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.75</w:t>
            </w:r>
          </w:p>
        </w:tc>
        <w:tc>
          <w:tcPr>
            <w:tcW w:w="0" w:type="dxa"/>
            <w:vAlign w:val="bottom"/>
          </w:tcPr>
          <w:p>
            <w:pPr>
              <w:spacing w:after="0"/>
              <w:rPr>
                <w:sz w:val="1"/>
                <w:szCs w:val="1"/>
                <w:color w:val="auto"/>
              </w:rPr>
            </w:pP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Return of capital..........................</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6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vMerge w:val="restart"/>
          </w:tcPr>
          <w:p>
            <w:pPr>
              <w:spacing w:after="0"/>
              <w:rPr>
                <w:sz w:val="20"/>
                <w:szCs w:val="20"/>
                <w:color w:val="auto"/>
              </w:rPr>
            </w:pPr>
            <w:r>
              <w:rPr>
                <w:rFonts w:ascii="Courier New" w:cs="Courier New" w:eastAsia="Courier New" w:hAnsi="Courier New"/>
                <w:sz w:val="18"/>
                <w:szCs w:val="18"/>
                <w:color w:val="auto"/>
              </w:rPr>
              <w:t>Total Distributions made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580" w:type="dxa"/>
            <w:vAlign w:val="bottom"/>
            <w:vMerge w:val="continue"/>
          </w:tcPr>
          <w:p>
            <w:pPr>
              <w:ind w:left="2540"/>
              <w:spacing w:after="0" w:line="178" w:lineRule="exact"/>
              <w:rPr>
                <w:sz w:val="20"/>
                <w:szCs w:val="20"/>
                <w:color w:val="auto"/>
              </w:rPr>
            </w:pPr>
            <w:r>
              <w:rPr>
                <w:rFonts w:ascii="Courier New" w:cs="Courier New" w:eastAsia="Courier New" w:hAnsi="Courier New"/>
                <w:sz w:val="18"/>
                <w:szCs w:val="18"/>
                <w:color w:val="auto"/>
                <w:w w:val="98"/>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$1.565</w:t>
            </w:r>
          </w:p>
        </w:tc>
        <w:tc>
          <w:tcPr>
            <w:tcW w:w="0" w:type="dxa"/>
            <w:vAlign w:val="bottom"/>
          </w:tcPr>
          <w:p>
            <w:pPr>
              <w:spacing w:after="0"/>
              <w:rPr>
                <w:sz w:val="1"/>
                <w:szCs w:val="1"/>
                <w:color w:val="auto"/>
              </w:rPr>
            </w:pPr>
          </w:p>
        </w:tc>
      </w:tr>
      <w:tr>
        <w:trPr>
          <w:trHeight w:val="296"/>
        </w:trPr>
        <w:tc>
          <w:tcPr>
            <w:tcW w:w="45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 ======</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The Trust offers a dividend reinvestment plan which allows its shareholders to automatically reinvest distributions, as well as make voluntary cash payments towards the purchase of additional Shares.</w:t>
      </w:r>
    </w:p>
    <w:p>
      <w:pPr>
        <w:spacing w:after="0" w:line="6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DETERMINATION OF OFFERING PRICE</w:t>
      </w:r>
    </w:p>
    <w:p>
      <w:pPr>
        <w:spacing w:after="0" w:line="201"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The initial public offering price of $21.75 per Share was determined following negotiation between the parties and is based upon a price reasonably related to market.</w:t>
      </w:r>
    </w:p>
    <w:p>
      <w:pPr>
        <w:spacing w:after="0" w:line="6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PLAN OF DISTRIBUTION</w:t>
      </w:r>
    </w:p>
    <w:p>
      <w:pPr>
        <w:spacing w:after="0" w:line="201" w:lineRule="exact"/>
        <w:rPr>
          <w:sz w:val="20"/>
          <w:szCs w:val="20"/>
          <w:color w:val="auto"/>
        </w:rPr>
      </w:pPr>
    </w:p>
    <w:p>
      <w:pPr>
        <w:ind w:right="2839" w:firstLine="211"/>
        <w:spacing w:after="0" w:line="402" w:lineRule="auto"/>
        <w:rPr>
          <w:sz w:val="20"/>
          <w:szCs w:val="20"/>
          <w:color w:val="auto"/>
        </w:rPr>
      </w:pPr>
      <w:r>
        <w:rPr>
          <w:rFonts w:ascii="Courier New" w:cs="Courier New" w:eastAsia="Courier New" w:hAnsi="Courier New"/>
          <w:sz w:val="16"/>
          <w:szCs w:val="16"/>
          <w:color w:val="auto"/>
        </w:rPr>
        <w:t>The Trust intends to issue the Shares to the shareholders of Bristol Shopping Plaza, Inc. at the initial public offering price of $21.75.</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691" w:right="1440" w:bottom="1440"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$300,000,000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 PREFERRED SHARES AND COMMON SHARES</w:t>
      </w:r>
    </w:p>
    <w:p>
      <w:pPr>
        <w:spacing w:after="0" w:line="201" w:lineRule="exact"/>
        <w:rPr>
          <w:sz w:val="20"/>
          <w:szCs w:val="20"/>
          <w:color w:val="auto"/>
        </w:rPr>
      </w:pPr>
    </w:p>
    <w:p>
      <w:pPr>
        <w:ind w:right="1999" w:firstLine="211"/>
        <w:spacing w:after="0" w:line="289" w:lineRule="auto"/>
        <w:rPr>
          <w:sz w:val="20"/>
          <w:szCs w:val="20"/>
          <w:color w:val="auto"/>
        </w:rPr>
      </w:pPr>
      <w:r>
        <w:rPr>
          <w:rFonts w:ascii="Courier New" w:cs="Courier New" w:eastAsia="Courier New" w:hAnsi="Courier New"/>
          <w:sz w:val="16"/>
          <w:szCs w:val="16"/>
          <w:color w:val="auto"/>
        </w:rPr>
        <w:t>Federal Realty Investment Trust (the "Trust") may from time to time offer in one or more series (i) its unsecured debt securities (the "Debt Securities"),</w:t>
      </w:r>
    </w:p>
    <w:p>
      <w:pPr>
        <w:spacing w:after="0" w:line="1" w:lineRule="exact"/>
        <w:rPr>
          <w:sz w:val="20"/>
          <w:szCs w:val="20"/>
          <w:color w:val="auto"/>
        </w:rPr>
      </w:pPr>
    </w:p>
    <w:p>
      <w:pPr>
        <w:ind w:right="1779" w:firstLine="8"/>
        <w:spacing w:after="0" w:line="248"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preferred shares (the "Preferred Shares"), and (iii) its common shares, no par value (the "Common Shares"), with an aggregate public offering price of up to $300,000,000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06" w:lineRule="exact"/>
        <w:rPr>
          <w:sz w:val="20"/>
          <w:szCs w:val="20"/>
          <w:color w:val="auto"/>
        </w:rPr>
      </w:pPr>
    </w:p>
    <w:p>
      <w:pPr>
        <w:ind w:right="1879" w:firstLine="211"/>
        <w:spacing w:after="0" w:line="298" w:lineRule="auto"/>
        <w:rPr>
          <w:sz w:val="20"/>
          <w:szCs w:val="20"/>
          <w:color w:val="auto"/>
        </w:rPr>
      </w:pPr>
      <w:r>
        <w:rPr>
          <w:rFonts w:ascii="Courier New" w:cs="Courier New" w:eastAsia="Courier New" w:hAnsi="Courier New"/>
          <w:sz w:val="16"/>
          <w:szCs w:val="16"/>
          <w:color w:val="auto"/>
        </w:rPr>
        <w:t>The Debt Securities will be direct unsecured obligations of the Trust and may be either senior Debt Securities ("Senior Securities") or subordinated Debt Securities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68" w:lineRule="exact"/>
        <w:rPr>
          <w:sz w:val="20"/>
          <w:szCs w:val="20"/>
          <w:color w:val="auto"/>
        </w:rPr>
      </w:pPr>
    </w:p>
    <w:p>
      <w:pPr>
        <w:ind w:right="1779" w:firstLine="211"/>
        <w:spacing w:after="0" w:line="245" w:lineRule="auto"/>
        <w:rPr>
          <w:sz w:val="20"/>
          <w:szCs w:val="20"/>
          <w:color w:val="auto"/>
        </w:rPr>
      </w:pPr>
      <w:r>
        <w:rPr>
          <w:rFonts w:ascii="Courier New" w:cs="Courier New" w:eastAsia="Courier New" w:hAnsi="Courier New"/>
          <w:sz w:val="18"/>
          <w:szCs w:val="18"/>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any initial public offering price; (ii) in the case of Preferred Shares, the specific title and stated value, any dividend, liquidation, redemption, conversion, voting and other rights, and any initial public offering price; and (iii) in the case of Common Shares, any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108" w:lineRule="exact"/>
        <w:rPr>
          <w:sz w:val="20"/>
          <w:szCs w:val="20"/>
          <w:color w:val="auto"/>
        </w:rPr>
      </w:pPr>
    </w:p>
    <w:p>
      <w:pPr>
        <w:ind w:right="1779" w:firstLine="211"/>
        <w:spacing w:after="0" w:line="274" w:lineRule="auto"/>
        <w:rPr>
          <w:sz w:val="20"/>
          <w:szCs w:val="20"/>
          <w:color w:val="auto"/>
        </w:rPr>
      </w:pPr>
      <w:r>
        <w:rPr>
          <w:rFonts w:ascii="Courier New" w:cs="Courier New" w:eastAsia="Courier New" w:hAnsi="Courier New"/>
          <w:sz w:val="18"/>
          <w:szCs w:val="18"/>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82" w:lineRule="exact"/>
        <w:rPr>
          <w:sz w:val="20"/>
          <w:szCs w:val="20"/>
          <w:color w:val="auto"/>
        </w:rPr>
      </w:pPr>
    </w:p>
    <w:p>
      <w:pPr>
        <w:ind w:right="1779" w:firstLine="105"/>
        <w:spacing w:after="0" w:line="289" w:lineRule="auto"/>
        <w:rPr>
          <w:sz w:val="20"/>
          <w:szCs w:val="20"/>
          <w:color w:val="auto"/>
        </w:rPr>
      </w:pPr>
      <w:r>
        <w:rPr>
          <w:rFonts w:ascii="Courier New" w:cs="Courier New" w:eastAsia="Courier New" w:hAnsi="Courier New"/>
          <w:sz w:val="16"/>
          <w:szCs w:val="16"/>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series of Securities.</w:t>
      </w:r>
    </w:p>
    <w:p>
      <w:pPr>
        <w:spacing w:after="0" w:line="7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9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both"/>
        <w:ind w:left="120" w:right="2099" w:firstLine="105"/>
        <w:spacing w:after="0" w:line="402" w:lineRule="auto"/>
        <w:rPr>
          <w:sz w:val="20"/>
          <w:szCs w:val="20"/>
          <w:color w:val="auto"/>
        </w:rPr>
      </w:pPr>
      <w:r>
        <w:rPr>
          <w:rFonts w:ascii="Courier New" w:cs="Courier New" w:eastAsia="Courier New" w:hAnsi="Courier New"/>
          <w:sz w:val="16"/>
          <w:szCs w:val="16"/>
          <w:color w:val="auto"/>
        </w:rPr>
        <w:t>THE ATTORNEY GENERAL OF THE STATE OF NEW YORK HAS NOT PASSED ON OR ENDORSED THE MERITS OF THIS OFFERING. ANY REPRESENTATION TO THE CONTRARY IS UNLAWFUL.</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December 13, 1993.</w:t>
      </w:r>
    </w:p>
    <w:p>
      <w:pPr>
        <w:sectPr>
          <w:pgSz w:w="11900" w:h="16838" w:orient="portrait"/>
          <w:cols w:equalWidth="0" w:num="1">
            <w:col w:w="10219"/>
          </w:cols>
          <w:pgMar w:left="240" w:top="893" w:right="1440" w:bottom="793" w:gutter="0" w:footer="0" w:header="0"/>
        </w:sectPr>
      </w:pPr>
    </w:p>
    <w:bookmarkStart w:id="4" w:name="page5"/>
    <w:bookmarkEnd w:id="4"/>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1"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Chicago Regional Office, 500 West Madison Street, Suite 1400, Chicago, Illinois 60661; and New York Regional Office, 7 World Trade Center, New York, New York 10048. Such reports, proxy statements and other information concerning the Trust can also be inspected at the office of the New York Stock Exchange, 20 Broad Street, New York, New York 10005.</w:t>
      </w:r>
    </w:p>
    <w:p>
      <w:pPr>
        <w:spacing w:after="0" w:line="104" w:lineRule="exact"/>
        <w:rPr>
          <w:sz w:val="20"/>
          <w:szCs w:val="20"/>
          <w:color w:val="auto"/>
        </w:rPr>
      </w:pPr>
    </w:p>
    <w:p>
      <w:pPr>
        <w:ind w:right="1999" w:firstLine="211"/>
        <w:spacing w:after="0" w:line="298" w:lineRule="auto"/>
        <w:rPr>
          <w:sz w:val="20"/>
          <w:szCs w:val="20"/>
          <w:color w:val="auto"/>
        </w:rPr>
      </w:pPr>
      <w:r>
        <w:rPr>
          <w:rFonts w:ascii="Courier New" w:cs="Courier New" w:eastAsia="Courier New" w:hAnsi="Courier New"/>
          <w:sz w:val="16"/>
          <w:szCs w:val="16"/>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Director-Corporate Communications, Federal Realty Investment Trust, 4800 Hampden Lane, Bethesda, Maryland 20814 (telephone 301/652-3360).</w:t>
      </w:r>
    </w:p>
    <w:p>
      <w:pPr>
        <w:spacing w:after="0" w:line="68"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The Trust has filed with the Commission a registration statement on Form S-3 (the "Registration Statement") under the Securities Act of 1933, as amended (the "Securities Act"),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1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1" w:lineRule="exact"/>
        <w:rPr>
          <w:sz w:val="20"/>
          <w:szCs w:val="20"/>
          <w:color w:val="auto"/>
        </w:rPr>
      </w:pPr>
    </w:p>
    <w:p>
      <w:pPr>
        <w:ind w:right="2619" w:firstLine="211"/>
        <w:spacing w:after="0" w:line="402"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hereof:</w:t>
      </w:r>
    </w:p>
    <w:p>
      <w:pPr>
        <w:spacing w:after="0" w:line="1" w:lineRule="exact"/>
        <w:rPr>
          <w:sz w:val="20"/>
          <w:szCs w:val="20"/>
          <w:color w:val="auto"/>
        </w:rPr>
      </w:pPr>
    </w:p>
    <w:p>
      <w:pPr>
        <w:ind w:left="220" w:right="2739" w:firstLine="209"/>
        <w:spacing w:after="0" w:line="347" w:lineRule="auto"/>
        <w:tabs>
          <w:tab w:leader="none" w:pos="74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for the fiscal year ended December 31, 1992.</w:t>
      </w:r>
    </w:p>
    <w:p>
      <w:pPr>
        <w:spacing w:after="0" w:line="18" w:lineRule="exact"/>
        <w:rPr>
          <w:rFonts w:ascii="Courier New" w:cs="Courier New" w:eastAsia="Courier New" w:hAnsi="Courier New"/>
          <w:sz w:val="18"/>
          <w:szCs w:val="18"/>
          <w:color w:val="auto"/>
        </w:rPr>
      </w:pPr>
    </w:p>
    <w:p>
      <w:pPr>
        <w:ind w:left="220" w:right="2619" w:firstLine="209"/>
        <w:spacing w:after="0" w:line="347" w:lineRule="auto"/>
        <w:tabs>
          <w:tab w:leader="none" w:pos="74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June 30, and September 30, 1993.</w:t>
      </w:r>
    </w:p>
    <w:p>
      <w:pPr>
        <w:spacing w:after="0" w:line="18" w:lineRule="exact"/>
        <w:rPr>
          <w:rFonts w:ascii="Courier New" w:cs="Courier New" w:eastAsia="Courier New" w:hAnsi="Courier New"/>
          <w:sz w:val="18"/>
          <w:szCs w:val="18"/>
          <w:color w:val="auto"/>
        </w:rPr>
      </w:pPr>
    </w:p>
    <w:p>
      <w:pPr>
        <w:ind w:left="740" w:hanging="311"/>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Current Report on Form 8-K dated September 24, 1993.</w:t>
      </w:r>
    </w:p>
    <w:p>
      <w:pPr>
        <w:spacing w:after="0" w:line="20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part hereof from the date of filing of such document.</w:t>
      </w:r>
    </w:p>
    <w:p>
      <w:pPr>
        <w:spacing w:after="0" w:line="90" w:lineRule="exact"/>
        <w:rPr>
          <w:sz w:val="20"/>
          <w:szCs w:val="20"/>
          <w:color w:val="auto"/>
        </w:rPr>
      </w:pPr>
    </w:p>
    <w:p>
      <w:pPr>
        <w:ind w:right="2099" w:firstLine="211"/>
        <w:spacing w:after="0" w:line="282"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2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1" w:lineRule="exact"/>
        <w:rPr>
          <w:sz w:val="20"/>
          <w:szCs w:val="20"/>
          <w:color w:val="auto"/>
        </w:rPr>
      </w:pPr>
    </w:p>
    <w:p>
      <w:pPr>
        <w:ind w:right="2199" w:firstLine="211"/>
        <w:spacing w:after="0" w:line="287" w:lineRule="auto"/>
        <w:rPr>
          <w:sz w:val="20"/>
          <w:szCs w:val="20"/>
          <w:color w:val="auto"/>
        </w:rPr>
      </w:pPr>
      <w:r>
        <w:rPr>
          <w:rFonts w:ascii="Courier New" w:cs="Courier New" w:eastAsia="Courier New" w:hAnsi="Courier New"/>
          <w:sz w:val="16"/>
          <w:szCs w:val="16"/>
          <w:color w:val="auto"/>
        </w:rPr>
        <w:t>Federal Realty Investment Trust (the "Trust") is an owner, operator and redeveloper of community and neighborhood shopping centers. Founded in 1962, the Trust is a self-administered real estate investment trust ("REIT") that manages, leases and supervises renovation of its properties. At December 13, 1993, the Trust owned 45 community and neighborhood shopping centers, one enclosed mall, and one apartment complex. The shopping center portfolio has approximately 10.1 million rentable square feet and 1,400 tenants. At September 30, 1993, the occupancy rate of the shopping centers, excluding centers acquired or sold in the previous twelve months, was 95.5%.</w:t>
      </w:r>
    </w:p>
    <w:p>
      <w:pPr>
        <w:spacing w:after="0" w:line="75"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The Trust's properties are located in eleven states with approximately 77% of the Trust's rental income for the nine months ended September 30, 1993 generated by the properties located in three major metropolitan areas: New York/New Jersey, Philadelphia and Baltimore/Washington, D.C. The Trust's strategy is to acquire centers located in well-established, densely populated communities with attractive retailing demographics and limited opportunities for new competing developments. The typical Trust property is located on a major traffic artery, with good visibility and access.</w:t>
      </w:r>
    </w:p>
    <w:p>
      <w:pPr>
        <w:spacing w:after="0" w:line="104"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The Trust's strategy is to acquire older, well-located centers and to enhance their operating performance through a program of renovation, expansion, re-configuration, re-leasing and re-merchandising. The Trust has focused primarily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99"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93"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The Trust's management believes that now is an opportune time to expand the Trust's portfolio of properties. Management's belief is based on several factors, including tight real estate credit conditions and years of excess in real estate construction and financing. In its view, many property owners are in the market to sell properties, often as a result of the owners' financial distress or pressure from their real estate lenders. Consequently, in 1992 and to-date in 1993 the Trust raised $164.7 million of equity, issued $75 million of convertible subordinated debt, prepaid $89.1 million of higher coupon debt and established $70 million of unsecured bank credit facilities in order to position itself to acquire additional properties. Thus far in 1993, the Trust has acquired five shopping centers containing 1.1 million square feet for $77.1 million.</w:t>
      </w:r>
    </w:p>
    <w:p>
      <w:pPr>
        <w:spacing w:after="0" w:line="105"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Trust continues to seek to acquire community and neighborhood shopping centers similar to those in its portfolio. The Trust is currently negotiating the purchase of several shopping centers. While there can be no assurance, the Trust anticipates that it will acquire additional shopping centers in the next six months.</w:t>
      </w:r>
    </w:p>
    <w:p>
      <w:pPr>
        <w:spacing w:after="0" w:line="90"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In June 1993, Standard &amp; Poor's raised the ratings on the Trust's convertible subordinated debentures from BBB- to BBB reflecting the Trust's significantly improved capital structure and the continued strong performance of its shopping center portfolio. Ratings were withdrawn on the Trust's senior notes due to their redemption in May 1993, but the implied senior rating was raised to BBB+. In September 1993, Moody's Investors Service also upgraded the rating of the Trust's convertible subordinated debt to Baa2 from Ba1.</w:t>
      </w:r>
    </w:p>
    <w:p>
      <w:pPr>
        <w:spacing w:after="0" w:line="72" w:lineRule="exact"/>
        <w:rPr>
          <w:sz w:val="20"/>
          <w:szCs w:val="20"/>
          <w:color w:val="auto"/>
        </w:rPr>
      </w:pPr>
    </w:p>
    <w:p>
      <w:pPr>
        <w:ind w:right="1999" w:firstLine="211"/>
        <w:spacing w:after="0" w:line="318" w:lineRule="auto"/>
        <w:rPr>
          <w:sz w:val="20"/>
          <w:szCs w:val="20"/>
          <w:color w:val="auto"/>
        </w:rPr>
      </w:pPr>
      <w:r>
        <w:rPr>
          <w:rFonts w:ascii="Courier New" w:cs="Courier New" w:eastAsia="Courier New" w:hAnsi="Courier New"/>
          <w:sz w:val="16"/>
          <w:szCs w:val="16"/>
          <w:color w:val="auto"/>
        </w:rPr>
        <w:t>The Trust has made 124 consecutive quarterly distributions and has increased its distribution rate for each of the last 26 years. The Trust believes this is the longest record of annual distribution increases in the REIT industry. The current annual indicated distribution rate is $1.56 per share.</w:t>
      </w:r>
    </w:p>
    <w:p>
      <w:pPr>
        <w:spacing w:after="0" w:line="52" w:lineRule="exact"/>
        <w:rPr>
          <w:sz w:val="20"/>
          <w:szCs w:val="20"/>
          <w:color w:val="auto"/>
        </w:rPr>
      </w:pPr>
    </w:p>
    <w:p>
      <w:pPr>
        <w:ind w:right="2519" w:firstLine="211"/>
        <w:spacing w:after="0" w:line="292"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388"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9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1" w:lineRule="exact"/>
        <w:rPr>
          <w:sz w:val="20"/>
          <w:szCs w:val="20"/>
          <w:color w:val="auto"/>
        </w:rPr>
      </w:pPr>
    </w:p>
    <w:p>
      <w:pPr>
        <w:ind w:right="2199" w:firstLine="211"/>
        <w:spacing w:after="0" w:line="347" w:lineRule="auto"/>
        <w:rPr>
          <w:sz w:val="20"/>
          <w:szCs w:val="20"/>
          <w:color w:val="auto"/>
        </w:rPr>
      </w:pPr>
      <w:r>
        <w:rPr>
          <w:rFonts w:ascii="Courier New" w:cs="Courier New" w:eastAsia="Courier New" w:hAnsi="Courier New"/>
          <w:sz w:val="18"/>
          <w:szCs w:val="18"/>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22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40" w:type="dxa"/>
            <w:vAlign w:val="bottom"/>
          </w:tcPr>
          <w:p>
            <w:pPr>
              <w:spacing w:after="0"/>
              <w:rPr>
                <w:sz w:val="17"/>
                <w:szCs w:val="17"/>
                <w:color w:val="auto"/>
              </w:rPr>
            </w:pPr>
          </w:p>
        </w:tc>
        <w:tc>
          <w:tcPr>
            <w:tcW w:w="3440" w:type="dxa"/>
            <w:vAlign w:val="bottom"/>
            <w:gridSpan w:val="3"/>
            <w:vMerge w:val="restart"/>
          </w:tcPr>
          <w:p>
            <w:pPr>
              <w:ind w:left="220"/>
              <w:spacing w:after="0"/>
              <w:rPr>
                <w:sz w:val="20"/>
                <w:szCs w:val="20"/>
                <w:color w:val="auto"/>
              </w:rPr>
            </w:pPr>
            <w:r>
              <w:rPr>
                <w:rFonts w:ascii="Courier New" w:cs="Courier New" w:eastAsia="Courier New" w:hAnsi="Courier New"/>
                <w:sz w:val="18"/>
                <w:szCs w:val="18"/>
                <w:color w:val="auto"/>
              </w:rPr>
              <w:t>YEARS ENDED DECEMBER 31,</w:t>
            </w:r>
          </w:p>
        </w:tc>
        <w:tc>
          <w:tcPr>
            <w:tcW w:w="1260" w:type="dxa"/>
            <w:vAlign w:val="bottom"/>
          </w:tcPr>
          <w:p>
            <w:pPr>
              <w:spacing w:after="0"/>
              <w:rPr>
                <w:sz w:val="17"/>
                <w:szCs w:val="17"/>
                <w:color w:val="auto"/>
              </w:rPr>
            </w:pPr>
          </w:p>
        </w:tc>
        <w:tc>
          <w:tcPr>
            <w:tcW w:w="2000" w:type="dxa"/>
            <w:vAlign w:val="bottom"/>
          </w:tcPr>
          <w:p>
            <w:pPr>
              <w:ind w:left="780"/>
              <w:spacing w:after="0"/>
              <w:rPr>
                <w:sz w:val="20"/>
                <w:szCs w:val="20"/>
                <w:color w:val="auto"/>
              </w:rPr>
            </w:pPr>
            <w:r>
              <w:rPr>
                <w:rFonts w:ascii="Courier New" w:cs="Courier New" w:eastAsia="Courier New" w:hAnsi="Courier New"/>
                <w:sz w:val="18"/>
                <w:szCs w:val="18"/>
                <w:color w:val="auto"/>
              </w:rPr>
              <w:t>NINE MONTHS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3440" w:type="dxa"/>
            <w:vAlign w:val="bottom"/>
            <w:gridSpan w:val="3"/>
            <w:vMerge w:val="continue"/>
          </w:tcPr>
          <w:p>
            <w:pPr>
              <w:spacing w:after="0"/>
              <w:rPr>
                <w:sz w:val="17"/>
                <w:szCs w:val="17"/>
                <w:color w:val="auto"/>
              </w:rPr>
            </w:pPr>
          </w:p>
        </w:tc>
        <w:tc>
          <w:tcPr>
            <w:tcW w:w="1260" w:type="dxa"/>
            <w:vAlign w:val="bottom"/>
          </w:tcPr>
          <w:p>
            <w:pPr>
              <w:spacing w:after="0"/>
              <w:rPr>
                <w:sz w:val="17"/>
                <w:szCs w:val="17"/>
                <w:color w:val="auto"/>
              </w:rPr>
            </w:pP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ENDED SEPTEMBER 30,</w:t>
            </w:r>
          </w:p>
        </w:tc>
        <w:tc>
          <w:tcPr>
            <w:tcW w:w="0" w:type="dxa"/>
            <w:vAlign w:val="bottom"/>
          </w:tcPr>
          <w:p>
            <w:pPr>
              <w:spacing w:after="0"/>
              <w:rPr>
                <w:sz w:val="1"/>
                <w:szCs w:val="1"/>
                <w:color w:val="auto"/>
              </w:rPr>
            </w:pPr>
          </w:p>
        </w:tc>
      </w:tr>
      <w:tr>
        <w:trPr>
          <w:trHeight w:val="203"/>
        </w:trPr>
        <w:tc>
          <w:tcPr>
            <w:tcW w:w="1040" w:type="dxa"/>
            <w:vAlign w:val="bottom"/>
            <w:vMerge w:val="restart"/>
          </w:tcPr>
          <w:p>
            <w:pPr>
              <w:spacing w:after="0"/>
              <w:rPr>
                <w:sz w:val="20"/>
                <w:szCs w:val="20"/>
                <w:color w:val="auto"/>
              </w:rPr>
            </w:pPr>
            <w:r>
              <w:rPr>
                <w:rFonts w:ascii="Courier New" w:cs="Courier New" w:eastAsia="Courier New" w:hAnsi="Courier New"/>
                <w:sz w:val="8"/>
                <w:szCs w:val="8"/>
                <w:color w:val="auto"/>
                <w:w w:val="74"/>
                <w:vertAlign w:val="subscript"/>
              </w:rPr>
              <w:t>1988</w:t>
            </w:r>
            <w:r>
              <w:rPr>
                <w:rFonts w:ascii="Courier New" w:cs="Courier New" w:eastAsia="Courier New" w:hAnsi="Courier New"/>
                <w:sz w:val="4"/>
                <w:szCs w:val="4"/>
                <w:color w:val="auto"/>
                <w:w w:val="74"/>
              </w:rPr>
              <w:t>----------------------------------------------------</w:t>
            </w:r>
          </w:p>
        </w:tc>
        <w:tc>
          <w:tcPr>
            <w:tcW w:w="900" w:type="dxa"/>
            <w:vAlign w:val="bottom"/>
            <w:vMerge w:val="restart"/>
          </w:tcPr>
          <w:p>
            <w:pPr>
              <w:spacing w:after="0"/>
              <w:rPr>
                <w:sz w:val="20"/>
                <w:szCs w:val="20"/>
                <w:color w:val="auto"/>
              </w:rPr>
            </w:pPr>
            <w:r>
              <w:rPr>
                <w:rFonts w:ascii="Courier New" w:cs="Courier New" w:eastAsia="Courier New" w:hAnsi="Courier New"/>
                <w:sz w:val="18"/>
                <w:szCs w:val="18"/>
                <w:color w:val="auto"/>
              </w:rPr>
              <w:t>1989</w:t>
            </w:r>
          </w:p>
        </w:tc>
        <w:tc>
          <w:tcPr>
            <w:tcW w:w="126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1990</w:t>
            </w:r>
          </w:p>
        </w:tc>
        <w:tc>
          <w:tcPr>
            <w:tcW w:w="128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1991</w:t>
            </w:r>
          </w:p>
        </w:tc>
        <w:tc>
          <w:tcPr>
            <w:tcW w:w="126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1992</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1992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296"/>
        </w:trPr>
        <w:tc>
          <w:tcPr>
            <w:tcW w:w="10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1.20X</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1.14X</w:t>
            </w:r>
          </w:p>
        </w:tc>
        <w:tc>
          <w:tcPr>
            <w:tcW w:w="1260" w:type="dxa"/>
            <w:vAlign w:val="bottom"/>
          </w:tcPr>
          <w:p>
            <w:pPr>
              <w:ind w:left="380"/>
              <w:spacing w:after="0"/>
              <w:rPr>
                <w:sz w:val="20"/>
                <w:szCs w:val="20"/>
                <w:color w:val="auto"/>
              </w:rPr>
            </w:pPr>
            <w:r>
              <w:rPr>
                <w:rFonts w:ascii="Courier New" w:cs="Courier New" w:eastAsia="Courier New" w:hAnsi="Courier New"/>
                <w:sz w:val="18"/>
                <w:szCs w:val="18"/>
                <w:color w:val="auto"/>
              </w:rPr>
              <w:t>1.13X</w:t>
            </w:r>
          </w:p>
        </w:tc>
        <w:tc>
          <w:tcPr>
            <w:tcW w:w="1280" w:type="dxa"/>
            <w:vAlign w:val="bottom"/>
          </w:tcPr>
          <w:p>
            <w:pPr>
              <w:ind w:left="380"/>
              <w:spacing w:after="0"/>
              <w:rPr>
                <w:sz w:val="20"/>
                <w:szCs w:val="20"/>
                <w:color w:val="auto"/>
              </w:rPr>
            </w:pPr>
            <w:r>
              <w:rPr>
                <w:rFonts w:ascii="Courier New" w:cs="Courier New" w:eastAsia="Courier New" w:hAnsi="Courier New"/>
                <w:sz w:val="18"/>
                <w:szCs w:val="18"/>
                <w:color w:val="auto"/>
              </w:rPr>
              <w:t>1.11X</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1.20X</w:t>
            </w:r>
          </w:p>
        </w:tc>
        <w:tc>
          <w:tcPr>
            <w:tcW w:w="2000" w:type="dxa"/>
            <w:vAlign w:val="bottom"/>
          </w:tcPr>
          <w:p>
            <w:pPr>
              <w:ind w:left="360"/>
              <w:spacing w:after="0"/>
              <w:rPr>
                <w:sz w:val="20"/>
                <w:szCs w:val="20"/>
                <w:color w:val="auto"/>
              </w:rPr>
            </w:pPr>
            <w:r>
              <w:rPr>
                <w:rFonts w:ascii="Courier New" w:cs="Courier New" w:eastAsia="Courier New" w:hAnsi="Courier New"/>
                <w:sz w:val="18"/>
                <w:szCs w:val="18"/>
                <w:color w:val="auto"/>
              </w:rPr>
              <w:t>1.19X</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1.46X</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To date, the Trust has not issued any Preferred Shares; therefore, the ratios of earnings to combined fixed charges and preferred share dividends are unchanged from the ratios presented in this section.</w:t>
      </w:r>
    </w:p>
    <w:p>
      <w:pPr>
        <w:spacing w:after="0" w:line="1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1999" w:firstLine="211"/>
        <w:spacing w:after="0" w:line="276" w:lineRule="auto"/>
        <w:rPr>
          <w:sz w:val="20"/>
          <w:szCs w:val="20"/>
          <w:color w:val="auto"/>
        </w:rPr>
      </w:pPr>
      <w:r>
        <w:rPr>
          <w:rFonts w:ascii="Courier New" w:cs="Courier New" w:eastAsia="Courier New" w:hAnsi="Courier New"/>
          <w:sz w:val="16"/>
          <w:szCs w:val="16"/>
          <w:color w:val="auto"/>
        </w:rPr>
        <w:t>The Senior Securities are to be issued under an indenture to be dated as of December 1, 1993, as supplemented from time to time (the "Senior Indenture"), between the Trust and Signet Trust Company, Trustee, and the Subordinated Securities are to be issued under an indenture dated as of December 1, 1993, as supplemented from time to time (the "Subordinated Indenture"), between the Trust and First Union National Bank of North Carolina, Trustee. The term "Trustee" as used herein shall refer to either Signet Trust Company or First Union National Bank of North Carolina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93"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591" w:gutter="0" w:footer="0" w:header="0"/>
        </w:sectPr>
      </w:pPr>
    </w:p>
    <w:bookmarkStart w:id="7" w:name="page8"/>
    <w:bookmarkEnd w:id="7"/>
    <w:p>
      <w:pPr>
        <w:ind w:right="2099"/>
        <w:spacing w:after="0" w:line="265" w:lineRule="auto"/>
        <w:rPr>
          <w:sz w:val="20"/>
          <w:szCs w:val="20"/>
          <w:color w:val="auto"/>
        </w:rPr>
      </w:pPr>
      <w:r>
        <w:rPr>
          <w:rFonts w:ascii="Courier New" w:cs="Courier New" w:eastAsia="Courier New" w:hAnsi="Courier New"/>
          <w:sz w:val="18"/>
          <w:szCs w:val="18"/>
          <w:color w:val="auto"/>
        </w:rPr>
        <w:t>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90"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Each Indenture provides that there may be more than one Trustee thereunder, each with respect to one or more series of Debt Securities. 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1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Reference is made to the Prospectus Supplement relating to the series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Securities being offered for the specific terms thereof, including:</w:t>
      </w:r>
    </w:p>
    <w:p>
      <w:pPr>
        <w:spacing w:after="0" w:line="169" w:lineRule="exact"/>
        <w:rPr>
          <w:sz w:val="20"/>
          <w:szCs w:val="20"/>
          <w:color w:val="auto"/>
        </w:rPr>
      </w:pPr>
    </w:p>
    <w:p>
      <w:pPr>
        <w:ind w:left="220" w:right="2319" w:firstLine="315"/>
        <w:spacing w:after="0" w:line="347"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such Debt Securities and whether such Debt Securities are Senior Securities or Subordinated Securities;</w:t>
      </w:r>
    </w:p>
    <w:p>
      <w:pPr>
        <w:spacing w:after="0" w:line="18" w:lineRule="exact"/>
        <w:rPr>
          <w:rFonts w:ascii="Courier New" w:cs="Courier New" w:eastAsia="Courier New" w:hAnsi="Courier New"/>
          <w:sz w:val="18"/>
          <w:szCs w:val="18"/>
          <w:color w:val="auto"/>
        </w:rPr>
      </w:pPr>
    </w:p>
    <w:p>
      <w:pPr>
        <w:ind w:left="220" w:right="2099" w:firstLine="315"/>
        <w:spacing w:after="0" w:line="347"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such Debt Securities and any limit on such aggregate principal amount;</w:t>
      </w:r>
    </w:p>
    <w:p>
      <w:pPr>
        <w:spacing w:after="0" w:line="18" w:lineRule="exact"/>
        <w:rPr>
          <w:rFonts w:ascii="Courier New" w:cs="Courier New" w:eastAsia="Courier New" w:hAnsi="Courier New"/>
          <w:sz w:val="18"/>
          <w:szCs w:val="18"/>
          <w:color w:val="auto"/>
        </w:rPr>
      </w:pPr>
    </w:p>
    <w:p>
      <w:pPr>
        <w:ind w:left="220" w:right="2099" w:firstLine="315"/>
        <w:spacing w:after="0" w:line="256"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98" w:lineRule="exact"/>
        <w:rPr>
          <w:rFonts w:ascii="Courier New" w:cs="Courier New" w:eastAsia="Courier New" w:hAnsi="Courier New"/>
          <w:sz w:val="18"/>
          <w:szCs w:val="18"/>
          <w:color w:val="auto"/>
        </w:rPr>
      </w:pPr>
    </w:p>
    <w:p>
      <w:pPr>
        <w:ind w:left="220" w:right="2319" w:firstLine="315"/>
        <w:spacing w:after="0" w:line="274"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81" w:lineRule="exact"/>
        <w:rPr>
          <w:rFonts w:ascii="Courier New" w:cs="Courier New" w:eastAsia="Courier New" w:hAnsi="Courier New"/>
          <w:sz w:val="18"/>
          <w:szCs w:val="18"/>
          <w:color w:val="auto"/>
        </w:rPr>
      </w:pPr>
    </w:p>
    <w:p>
      <w:pPr>
        <w:ind w:left="220" w:right="2099" w:firstLine="315"/>
        <w:spacing w:after="0" w:line="347"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on which the principal of such Debt Securities will be payable;</w:t>
      </w:r>
    </w:p>
    <w:p>
      <w:pPr>
        <w:spacing w:after="0" w:line="18" w:lineRule="exact"/>
        <w:rPr>
          <w:rFonts w:ascii="Courier New" w:cs="Courier New" w:eastAsia="Courier New" w:hAnsi="Courier New"/>
          <w:sz w:val="18"/>
          <w:szCs w:val="18"/>
          <w:color w:val="auto"/>
        </w:rPr>
      </w:pPr>
    </w:p>
    <w:p>
      <w:pPr>
        <w:jc w:val="both"/>
        <w:ind w:left="220" w:right="2099" w:firstLine="315"/>
        <w:spacing w:after="0" w:line="292"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(which may be fixed or variable), or the method by which such rate or rates shall be determined, at which such Debt Securities will bear interest, if any;</w:t>
      </w:r>
    </w:p>
    <w:p>
      <w:pPr>
        <w:spacing w:after="0" w:line="66" w:lineRule="exact"/>
        <w:rPr>
          <w:rFonts w:ascii="Courier New" w:cs="Courier New" w:eastAsia="Courier New" w:hAnsi="Courier New"/>
          <w:sz w:val="18"/>
          <w:szCs w:val="18"/>
          <w:color w:val="auto"/>
        </w:rPr>
      </w:pPr>
    </w:p>
    <w:p>
      <w:pPr>
        <w:ind w:left="220" w:right="2099" w:firstLine="315"/>
        <w:spacing w:after="0" w:line="256"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98" w:lineRule="exact"/>
        <w:rPr>
          <w:rFonts w:ascii="Courier New" w:cs="Courier New" w:eastAsia="Courier New" w:hAnsi="Courier New"/>
          <w:sz w:val="18"/>
          <w:szCs w:val="18"/>
          <w:color w:val="auto"/>
        </w:rPr>
      </w:pPr>
    </w:p>
    <w:p>
      <w:pPr>
        <w:ind w:left="220" w:right="2099" w:firstLine="315"/>
        <w:spacing w:after="0" w:line="306" w:lineRule="auto"/>
        <w:tabs>
          <w:tab w:leader="none" w:pos="95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60" w:lineRule="exact"/>
        <w:rPr>
          <w:rFonts w:ascii="Courier New" w:cs="Courier New" w:eastAsia="Courier New" w:hAnsi="Courier New"/>
          <w:sz w:val="16"/>
          <w:szCs w:val="16"/>
          <w:color w:val="auto"/>
        </w:rPr>
      </w:pPr>
    </w:p>
    <w:p>
      <w:pPr>
        <w:ind w:left="220" w:right="2099" w:firstLine="315"/>
        <w:spacing w:after="0" w:line="274"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81" w:lineRule="exact"/>
        <w:rPr>
          <w:rFonts w:ascii="Courier New" w:cs="Courier New" w:eastAsia="Courier New" w:hAnsi="Courier New"/>
          <w:sz w:val="18"/>
          <w:szCs w:val="18"/>
          <w:color w:val="auto"/>
        </w:rPr>
      </w:pPr>
    </w:p>
    <w:p>
      <w:pPr>
        <w:ind w:left="220" w:right="2099" w:firstLine="209"/>
        <w:spacing w:after="0" w:line="260"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86" w:gutter="0" w:footer="0" w:header="0"/>
        </w:sectPr>
      </w:pPr>
    </w:p>
    <w:bookmarkStart w:id="8" w:name="page9"/>
    <w:bookmarkEnd w:id="8"/>
    <w:p>
      <w:pPr>
        <w:ind w:left="220" w:right="2099" w:firstLine="209"/>
        <w:spacing w:after="0" w:line="274"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81" w:lineRule="exact"/>
        <w:rPr>
          <w:rFonts w:ascii="Courier New" w:cs="Courier New" w:eastAsia="Courier New" w:hAnsi="Courier New"/>
          <w:sz w:val="18"/>
          <w:szCs w:val="18"/>
          <w:color w:val="auto"/>
        </w:rPr>
      </w:pPr>
    </w:p>
    <w:p>
      <w:pPr>
        <w:ind w:left="220" w:right="2099" w:firstLine="209"/>
        <w:spacing w:after="0" w:line="260"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92" w:lineRule="exact"/>
        <w:rPr>
          <w:rFonts w:ascii="Courier New" w:cs="Courier New" w:eastAsia="Courier New" w:hAnsi="Courier New"/>
          <w:sz w:val="18"/>
          <w:szCs w:val="18"/>
          <w:color w:val="auto"/>
        </w:rPr>
      </w:pPr>
    </w:p>
    <w:p>
      <w:pPr>
        <w:ind w:left="220" w:right="2099" w:firstLine="209"/>
        <w:spacing w:after="0" w:line="292"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additions to, modifications of or deletions from the terms of such Debt Securities with respect to the Events of Default or covenants set forth in the applicable Indenture;</w:t>
      </w:r>
    </w:p>
    <w:p>
      <w:pPr>
        <w:spacing w:after="0" w:line="66" w:lineRule="exact"/>
        <w:rPr>
          <w:rFonts w:ascii="Courier New" w:cs="Courier New" w:eastAsia="Courier New" w:hAnsi="Courier New"/>
          <w:sz w:val="18"/>
          <w:szCs w:val="18"/>
          <w:color w:val="auto"/>
        </w:rPr>
      </w:pPr>
    </w:p>
    <w:p>
      <w:pPr>
        <w:ind w:left="220" w:right="2099" w:firstLine="209"/>
        <w:spacing w:after="0" w:line="347"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issued in certificated or book-entry form;</w:t>
      </w:r>
    </w:p>
    <w:p>
      <w:pPr>
        <w:spacing w:after="0" w:line="18" w:lineRule="exact"/>
        <w:rPr>
          <w:rFonts w:ascii="Courier New" w:cs="Courier New" w:eastAsia="Courier New" w:hAnsi="Courier New"/>
          <w:sz w:val="18"/>
          <w:szCs w:val="18"/>
          <w:color w:val="auto"/>
        </w:rPr>
      </w:pPr>
    </w:p>
    <w:p>
      <w:pPr>
        <w:ind w:left="220" w:right="2099" w:firstLine="209"/>
        <w:spacing w:after="0" w:line="274"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81" w:lineRule="exact"/>
        <w:rPr>
          <w:rFonts w:ascii="Courier New" w:cs="Courier New" w:eastAsia="Courier New" w:hAnsi="Courier New"/>
          <w:sz w:val="18"/>
          <w:szCs w:val="18"/>
          <w:color w:val="auto"/>
        </w:rPr>
      </w:pPr>
    </w:p>
    <w:p>
      <w:pPr>
        <w:ind w:left="220" w:right="2099" w:firstLine="209"/>
        <w:spacing w:after="0" w:line="347"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applicability, if any, of the defeasance and covenant defeasance provisions of Article XIV of the applicable Indenture;</w:t>
      </w:r>
    </w:p>
    <w:p>
      <w:pPr>
        <w:spacing w:after="0" w:line="1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if any, upon which such Debt Securities may be</w:t>
      </w:r>
    </w:p>
    <w:p>
      <w:pPr>
        <w:spacing w:after="0" w:line="30" w:lineRule="exact"/>
        <w:rPr>
          <w:rFonts w:ascii="Courier New" w:cs="Courier New" w:eastAsia="Courier New" w:hAnsi="Courier New"/>
          <w:sz w:val="18"/>
          <w:szCs w:val="18"/>
          <w:color w:val="auto"/>
        </w:rPr>
      </w:pPr>
    </w:p>
    <w:p>
      <w:pPr>
        <w:ind w:left="220" w:right="209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90" w:lineRule="exact"/>
        <w:rPr>
          <w:rFonts w:ascii="Courier New" w:cs="Courier New" w:eastAsia="Courier New" w:hAnsi="Courier New"/>
          <w:sz w:val="18"/>
          <w:szCs w:val="18"/>
          <w:color w:val="auto"/>
        </w:rPr>
      </w:pPr>
    </w:p>
    <w:p>
      <w:pPr>
        <w:ind w:left="220" w:right="2099" w:firstLine="209"/>
        <w:spacing w:after="0" w:line="265"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89" w:lineRule="exact"/>
        <w:rPr>
          <w:rFonts w:ascii="Courier New" w:cs="Courier New" w:eastAsia="Courier New" w:hAnsi="Courier New"/>
          <w:sz w:val="18"/>
          <w:szCs w:val="18"/>
          <w:color w:val="auto"/>
        </w:rPr>
      </w:pPr>
    </w:p>
    <w:p>
      <w:pPr>
        <w:ind w:left="220" w:right="2419" w:firstLine="209"/>
        <w:spacing w:after="0" w:line="402" w:lineRule="auto"/>
        <w:tabs>
          <w:tab w:leader="none" w:pos="95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such Debt Securities not inconsistent with the provisions of the applicable Indenture (Section 301 of each Indenture).</w:t>
      </w:r>
    </w:p>
    <w:p>
      <w:pPr>
        <w:spacing w:after="0" w:line="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93" w:lineRule="exact"/>
        <w:rPr>
          <w:sz w:val="20"/>
          <w:szCs w:val="20"/>
          <w:color w:val="auto"/>
        </w:rPr>
      </w:pPr>
    </w:p>
    <w:p>
      <w:pPr>
        <w:ind w:right="1999" w:firstLine="211"/>
        <w:spacing w:after="0" w:line="281" w:lineRule="auto"/>
        <w:rPr>
          <w:sz w:val="20"/>
          <w:szCs w:val="20"/>
          <w:color w:val="auto"/>
        </w:rPr>
      </w:pPr>
      <w:r>
        <w:rPr>
          <w:rFonts w:ascii="Courier New" w:cs="Courier New" w:eastAsia="Courier New" w:hAnsi="Courier New"/>
          <w:sz w:val="16"/>
          <w:szCs w:val="16"/>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DENOMINATIONS, INTEREST, REGISTRATION AND TRANSFER</w:t>
      </w:r>
    </w:p>
    <w:p>
      <w:pPr>
        <w:spacing w:after="0" w:line="201"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Unless otherwise described in the applicable Prospectus Supplement, the Debt Securities of any series will be issuable in denominations of $1,000 and integral multiples thereof (Section 302 of each Indenture).</w:t>
      </w:r>
    </w:p>
    <w:p>
      <w:pPr>
        <w:spacing w:after="0" w:line="66"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Unless otherwise specified in the applicable Prospectus Supplement, the principal of (and applicable premium, if any) and interest on any series of Debt Securities will be payable at the corporate trust office of the Trustee, initially located at Signet Trust Company, 7 St. Paul Street, 2nd Floor, Baltimore, Maryland 21202 in the case of the Senior Securities and First Union National Bank of North Carolina, 230 S. Tryon Street, 8th Floor, Charlotte, North Carolina 28288 in the case of the Subordinated Securities, provided that,</w:t>
      </w:r>
    </w:p>
    <w:p>
      <w:pPr>
        <w:sectPr>
          <w:pgSz w:w="11900" w:h="16838" w:orient="portrait"/>
          <w:cols w:equalWidth="0" w:num="1">
            <w:col w:w="10219"/>
          </w:cols>
          <w:pgMar w:left="240" w:top="691" w:right="1440" w:bottom="0" w:gutter="0" w:footer="0" w:header="0"/>
        </w:sectPr>
      </w:pPr>
    </w:p>
    <w:bookmarkStart w:id="9" w:name="page10"/>
    <w:bookmarkEnd w:id="9"/>
    <w:p>
      <w:pPr>
        <w:ind w:left="2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312" w:right="1440" w:bottom="1440" w:gutter="0" w:footer="0" w:header="0"/>
        </w:sectPr>
      </w:pPr>
    </w:p>
    <w:bookmarkStart w:id="10" w:name="page11"/>
    <w:bookmarkEnd w:id="10"/>
    <w:p>
      <w:pPr>
        <w:ind w:right="1999"/>
        <w:spacing w:after="0" w:line="265" w:lineRule="auto"/>
        <w:rPr>
          <w:sz w:val="20"/>
          <w:szCs w:val="20"/>
          <w:color w:val="auto"/>
        </w:rPr>
      </w:pPr>
      <w:r>
        <w:rPr>
          <w:rFonts w:ascii="Courier New" w:cs="Courier New" w:eastAsia="Courier New" w:hAnsi="Courier New"/>
          <w:sz w:val="18"/>
          <w:szCs w:val="18"/>
          <w:color w:val="auto"/>
        </w:rPr>
        <w:t>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90" w:lineRule="exact"/>
        <w:rPr>
          <w:sz w:val="20"/>
          <w:szCs w:val="20"/>
          <w:color w:val="auto"/>
        </w:rPr>
      </w:pPr>
    </w:p>
    <w:p>
      <w:pPr>
        <w:ind w:right="2099" w:firstLine="211"/>
        <w:spacing w:after="0" w:line="285" w:lineRule="auto"/>
        <w:rPr>
          <w:sz w:val="20"/>
          <w:szCs w:val="20"/>
          <w:color w:val="auto"/>
        </w:rPr>
      </w:pPr>
      <w:r>
        <w:rPr>
          <w:rFonts w:ascii="Courier New" w:cs="Courier New" w:eastAsia="Courier New" w:hAnsi="Courier New"/>
          <w:sz w:val="16"/>
          <w:szCs w:val="16"/>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76" w:lineRule="exact"/>
        <w:rPr>
          <w:sz w:val="20"/>
          <w:szCs w:val="20"/>
          <w:color w:val="auto"/>
        </w:rPr>
      </w:pPr>
    </w:p>
    <w:p>
      <w:pPr>
        <w:ind w:right="1999" w:firstLine="211"/>
        <w:spacing w:after="0" w:line="243" w:lineRule="auto"/>
        <w:rPr>
          <w:sz w:val="20"/>
          <w:szCs w:val="20"/>
          <w:color w:val="auto"/>
        </w:rPr>
      </w:pPr>
      <w:r>
        <w:rPr>
          <w:rFonts w:ascii="Courier New" w:cs="Courier New" w:eastAsia="Courier New" w:hAnsi="Courier New"/>
          <w:sz w:val="18"/>
          <w:szCs w:val="18"/>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113"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CONSOLIDATION OR SALE</w:t>
      </w:r>
    </w:p>
    <w:p>
      <w:pPr>
        <w:spacing w:after="0" w:line="201"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 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3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388"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CERTAIN COVENANTS</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98"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104"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90"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104"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 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113" w:lineRule="exact"/>
        <w:rPr>
          <w:sz w:val="20"/>
          <w:szCs w:val="20"/>
          <w:color w:val="auto"/>
        </w:rPr>
      </w:pPr>
    </w:p>
    <w:p>
      <w:pPr>
        <w:jc w:val="both"/>
        <w:ind w:right="2099" w:firstLine="211"/>
        <w:spacing w:after="0" w:line="292" w:lineRule="auto"/>
        <w:rPr>
          <w:sz w:val="20"/>
          <w:szCs w:val="20"/>
          <w:color w:val="auto"/>
        </w:rPr>
      </w:pPr>
      <w:r>
        <w:rPr>
          <w:rFonts w:ascii="Courier New" w:cs="Courier New" w:eastAsia="Courier New" w:hAnsi="Courier New"/>
          <w:sz w:val="18"/>
          <w:szCs w:val="18"/>
          <w:color w:val="auto"/>
        </w:rPr>
        <w:t>Additional Covenants. Any additional covenants of the Trust with respect to any series of Debt Securities will be set forth in the Prospectus Supplement relating thereto.</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1"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w:t>
      </w:r>
    </w:p>
    <w:p>
      <w:pPr>
        <w:spacing w:after="0" w:line="1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591" w:gutter="0" w:footer="0" w:header="0"/>
        </w:sectPr>
      </w:pPr>
    </w:p>
    <w:bookmarkStart w:id="12" w:name="page13"/>
    <w:bookmarkEnd w:id="12"/>
    <w:p>
      <w:pPr>
        <w:ind w:right="1999"/>
        <w:spacing w:after="0" w:line="244" w:lineRule="auto"/>
        <w:rPr>
          <w:sz w:val="20"/>
          <w:szCs w:val="20"/>
          <w:color w:val="auto"/>
        </w:rPr>
      </w:pPr>
      <w:r>
        <w:rPr>
          <w:rFonts w:ascii="Courier New" w:cs="Courier New" w:eastAsia="Courier New" w:hAnsi="Courier New"/>
          <w:sz w:val="18"/>
          <w:szCs w:val="18"/>
          <w:color w:val="auto"/>
        </w:rPr>
        <w:t>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108" w:lineRule="exact"/>
        <w:rPr>
          <w:sz w:val="20"/>
          <w:szCs w:val="20"/>
          <w:color w:val="auto"/>
        </w:rPr>
      </w:pPr>
    </w:p>
    <w:p>
      <w:pPr>
        <w:ind w:right="1999" w:firstLine="211"/>
        <w:spacing w:after="0" w:line="241" w:lineRule="auto"/>
        <w:rPr>
          <w:sz w:val="20"/>
          <w:szCs w:val="20"/>
          <w:color w:val="auto"/>
        </w:rPr>
      </w:pPr>
      <w:r>
        <w:rPr>
          <w:rFonts w:ascii="Courier New" w:cs="Courier New" w:eastAsia="Courier New" w:hAnsi="Courier New"/>
          <w:sz w:val="18"/>
          <w:szCs w:val="18"/>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 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124"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 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104"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86" w:gutter="0" w:footer="0" w:header="0"/>
        </w:sectPr>
      </w:pPr>
    </w:p>
    <w:bookmarkStart w:id="13" w:name="page14"/>
    <w:bookmarkEnd w:id="13"/>
    <w:p>
      <w:pPr>
        <w:ind w:right="1999"/>
        <w:spacing w:after="0" w:line="293" w:lineRule="auto"/>
        <w:rPr>
          <w:sz w:val="20"/>
          <w:szCs w:val="20"/>
          <w:color w:val="auto"/>
        </w:rPr>
      </w:pPr>
      <w:r>
        <w:rPr>
          <w:rFonts w:ascii="Courier New" w:cs="Courier New" w:eastAsia="Courier New" w:hAnsi="Courier New"/>
          <w:sz w:val="16"/>
          <w:szCs w:val="16"/>
          <w:color w:val="auto"/>
        </w:rPr>
        <w:t>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72"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291"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INDENTURES</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6"/>
          <w:szCs w:val="16"/>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 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0" w:lineRule="exact"/>
        <w:rPr>
          <w:sz w:val="20"/>
          <w:szCs w:val="20"/>
          <w:color w:val="auto"/>
        </w:rPr>
      </w:pPr>
    </w:p>
    <w:p>
      <w:pPr>
        <w:spacing w:after="0" w:line="303"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82" w:lineRule="exact"/>
        <w:rPr>
          <w:sz w:val="20"/>
          <w:szCs w:val="20"/>
          <w:color w:val="auto"/>
        </w:rPr>
      </w:pPr>
    </w:p>
    <w:p>
      <w:pPr>
        <w:ind w:right="2319" w:firstLine="211"/>
        <w:spacing w:after="0" w:line="278" w:lineRule="auto"/>
        <w:rPr>
          <w:sz w:val="20"/>
          <w:szCs w:val="20"/>
          <w:color w:val="auto"/>
        </w:rPr>
      </w:pPr>
      <w:r>
        <w:rPr>
          <w:rFonts w:ascii="Courier New" w:cs="Courier New" w:eastAsia="Courier New" w:hAnsi="Courier New"/>
          <w:sz w:val="16"/>
          <w:szCs w:val="16"/>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spacing w:after="0" w:line="3" w:lineRule="exact"/>
        <w:rPr>
          <w:sz w:val="20"/>
          <w:szCs w:val="20"/>
          <w:color w:val="auto"/>
        </w:rPr>
      </w:pPr>
    </w:p>
    <w:p>
      <w:pPr>
        <w:ind w:right="1999" w:firstLine="8"/>
        <w:spacing w:after="0" w:line="262"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to the covenants of the Trust for the benefit of the Holders of all or any series of Debt Securities or to surrender any right or power conferred upon the Trust in such Indenture; (iii) to add Events of Default for the benefit</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591" w:gutter="0" w:footer="0" w:header="0"/>
        </w:sectPr>
      </w:pPr>
    </w:p>
    <w:bookmarkStart w:id="14" w:name="page15"/>
    <w:bookmarkEnd w:id="14"/>
    <w:p>
      <w:pPr>
        <w:ind w:right="1999"/>
        <w:spacing w:after="0" w:line="272" w:lineRule="auto"/>
        <w:rPr>
          <w:sz w:val="20"/>
          <w:szCs w:val="20"/>
          <w:color w:val="auto"/>
        </w:rPr>
      </w:pPr>
      <w:r>
        <w:rPr>
          <w:rFonts w:ascii="Courier New" w:cs="Courier New" w:eastAsia="Courier New" w:hAnsi="Courier New"/>
          <w:sz w:val="16"/>
          <w:szCs w:val="16"/>
          <w:color w:val="auto"/>
        </w:rPr>
        <w:t>of the Holders of all or any series of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spacing w:after="0" w:line="186" w:lineRule="exact"/>
        <w:rPr>
          <w:sz w:val="20"/>
          <w:szCs w:val="20"/>
          <w:color w:val="auto"/>
        </w:rPr>
      </w:pPr>
    </w:p>
    <w:p>
      <w:pPr>
        <w:ind w:right="1999" w:firstLine="8"/>
        <w:spacing w:after="0" w:line="256"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96"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 U.S. dollar equivalent, determined on the issue date for such Debt Security, of the principal amount (or, in the case of an Original Issue Discount Security, the U.S. dollar equivalent on the issue date of such Debt Security of the amount determined as provided in (i) above),</w:t>
      </w:r>
    </w:p>
    <w:p>
      <w:pPr>
        <w:spacing w:after="0" w:line="182" w:lineRule="exact"/>
        <w:rPr>
          <w:sz w:val="20"/>
          <w:szCs w:val="20"/>
          <w:color w:val="auto"/>
        </w:rPr>
      </w:pPr>
    </w:p>
    <w:p>
      <w:pPr>
        <w:ind w:right="2099" w:firstLine="8"/>
        <w:spacing w:after="0" w:line="250" w:lineRule="auto"/>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102" w:lineRule="exact"/>
        <w:rPr>
          <w:sz w:val="20"/>
          <w:szCs w:val="20"/>
          <w:color w:val="auto"/>
        </w:rPr>
      </w:pPr>
    </w:p>
    <w:p>
      <w:pPr>
        <w:ind w:right="1999" w:firstLine="211"/>
        <w:spacing w:after="0" w:line="242" w:lineRule="auto"/>
        <w:rPr>
          <w:sz w:val="20"/>
          <w:szCs w:val="20"/>
          <w:color w:val="auto"/>
        </w:rPr>
      </w:pPr>
      <w:r>
        <w:rPr>
          <w:rFonts w:ascii="Courier New" w:cs="Courier New" w:eastAsia="Courier New" w:hAnsi="Courier New"/>
          <w:sz w:val="18"/>
          <w:szCs w:val="18"/>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w:t>
      </w:r>
    </w:p>
    <w:p>
      <w:pPr>
        <w:spacing w:after="0" w:line="1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86" w:gutter="0" w:footer="0" w:header="0"/>
        </w:sectPr>
      </w:pPr>
    </w:p>
    <w:bookmarkStart w:id="15" w:name="page16"/>
    <w:bookmarkEnd w:id="15"/>
    <w:p>
      <w:pPr>
        <w:ind w:right="2739"/>
        <w:spacing w:after="0" w:line="347" w:lineRule="auto"/>
        <w:rPr>
          <w:sz w:val="20"/>
          <w:szCs w:val="20"/>
          <w:color w:val="auto"/>
        </w:rPr>
      </w:pPr>
      <w:r>
        <w:rPr>
          <w:rFonts w:ascii="Courier New" w:cs="Courier New" w:eastAsia="Courier New" w:hAnsi="Courier New"/>
          <w:sz w:val="18"/>
          <w:szCs w:val="18"/>
          <w:color w:val="auto"/>
        </w:rPr>
        <w:t>principal amount of the Outstanding Debt Securities of such series will constitute a quorum (Section 1504 of each Indenture).</w:t>
      </w:r>
    </w:p>
    <w:p>
      <w:pPr>
        <w:spacing w:after="0" w:line="18" w:lineRule="exact"/>
        <w:rPr>
          <w:sz w:val="20"/>
          <w:szCs w:val="20"/>
          <w:color w:val="auto"/>
        </w:rPr>
      </w:pPr>
    </w:p>
    <w:p>
      <w:pPr>
        <w:ind w:right="1999" w:firstLine="211"/>
        <w:spacing w:after="0" w:line="281" w:lineRule="auto"/>
        <w:rPr>
          <w:sz w:val="20"/>
          <w:szCs w:val="20"/>
          <w:color w:val="auto"/>
        </w:rPr>
      </w:pPr>
      <w:r>
        <w:rPr>
          <w:rFonts w:ascii="Courier New" w:cs="Courier New" w:eastAsia="Courier New" w:hAnsi="Courier New"/>
          <w:sz w:val="16"/>
          <w:szCs w:val="16"/>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1" w:lineRule="exact"/>
        <w:rPr>
          <w:sz w:val="20"/>
          <w:szCs w:val="20"/>
          <w:color w:val="auto"/>
        </w:rPr>
      </w:pPr>
    </w:p>
    <w:p>
      <w:pPr>
        <w:ind w:right="1999" w:firstLine="211"/>
        <w:spacing w:after="0" w:line="276" w:lineRule="auto"/>
        <w:rPr>
          <w:sz w:val="20"/>
          <w:szCs w:val="20"/>
          <w:color w:val="auto"/>
        </w:rPr>
      </w:pPr>
      <w:r>
        <w:rPr>
          <w:rFonts w:ascii="Courier New" w:cs="Courier New" w:eastAsia="Courier New" w:hAnsi="Courier New"/>
          <w:sz w:val="16"/>
          <w:szCs w:val="16"/>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 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300"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 (a) 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 (d) 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spacing w:after="0" w:line="184" w:lineRule="exact"/>
        <w:rPr>
          <w:sz w:val="20"/>
          <w:szCs w:val="20"/>
          <w:color w:val="auto"/>
        </w:rPr>
      </w:pPr>
    </w:p>
    <w:p>
      <w:pPr>
        <w:ind w:right="1999" w:firstLine="8"/>
        <w:spacing w:after="0" w:line="276"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pursuant to which the same is outstanding, it is provided that such indebtedness, obligation or liability is not superior in right of payment to the Subordinated Securities or ranks pari passu with the Subordinated Securities, (2) 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September 30, 1993, Senior Debt aggregated approximately $300 million. There are no restrictions in the Subordinated Indenture upon the creation of additional Senior Debt.</w:t>
      </w: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DEFEASANCE AND COVENANT DEFEASANCE</w:t>
      </w:r>
    </w:p>
    <w:p>
      <w:pPr>
        <w:spacing w:after="0" w:line="201"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Under each Indenture, the Trust may discharge certain obligations to Holders of any series of Debt Securities issued thereunder that have not already been delivered to the applicable Trustee for cancellation</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86" w:gutter="0" w:footer="0" w:header="0"/>
        </w:sectPr>
      </w:pPr>
    </w:p>
    <w:bookmarkStart w:id="16" w:name="page17"/>
    <w:bookmarkEnd w:id="16"/>
    <w:p>
      <w:pPr>
        <w:ind w:right="2199"/>
        <w:spacing w:after="0" w:line="287" w:lineRule="auto"/>
        <w:rPr>
          <w:sz w:val="20"/>
          <w:szCs w:val="20"/>
          <w:color w:val="auto"/>
        </w:rPr>
      </w:pPr>
      <w:r>
        <w:rPr>
          <w:rFonts w:ascii="Courier New" w:cs="Courier New" w:eastAsia="Courier New" w:hAnsi="Courier New"/>
          <w:sz w:val="16"/>
          <w:szCs w:val="16"/>
          <w:color w:val="auto"/>
        </w:rPr>
        <w:t>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75"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6"/>
          <w:szCs w:val="16"/>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 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200" w:lineRule="exact"/>
        <w:rPr>
          <w:sz w:val="20"/>
          <w:szCs w:val="20"/>
          <w:color w:val="auto"/>
        </w:rPr>
      </w:pPr>
    </w:p>
    <w:p>
      <w:pPr>
        <w:spacing w:after="0" w:line="299"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United States federal income tax law occurring after the date of the Indenture (Section 1404 of each Indenture).</w:t>
      </w:r>
    </w:p>
    <w:p>
      <w:pPr>
        <w:spacing w:after="0" w:line="104"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793" w:gutter="0" w:footer="0" w:header="0"/>
        </w:sectPr>
      </w:pPr>
    </w:p>
    <w:bookmarkStart w:id="17" w:name="page18"/>
    <w:bookmarkEnd w:id="17"/>
    <w:p>
      <w:pPr>
        <w:ind w:right="1999" w:firstLine="211"/>
        <w:spacing w:after="0" w:line="271" w:lineRule="auto"/>
        <w:rPr>
          <w:sz w:val="20"/>
          <w:szCs w:val="20"/>
          <w:color w:val="auto"/>
        </w:rPr>
      </w:pPr>
      <w:r>
        <w:rPr>
          <w:rFonts w:ascii="Courier New" w:cs="Courier New" w:eastAsia="Courier New" w:hAnsi="Courier New"/>
          <w:sz w:val="16"/>
          <w:szCs w:val="16"/>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w:t>
      </w:r>
    </w:p>
    <w:p>
      <w:pPr>
        <w:spacing w:after="0" w:line="393" w:lineRule="exact"/>
        <w:rPr>
          <w:sz w:val="20"/>
          <w:szCs w:val="20"/>
          <w:color w:val="auto"/>
        </w:rPr>
      </w:pPr>
    </w:p>
    <w:p>
      <w:pPr>
        <w:ind w:right="1999" w:firstLine="8"/>
        <w:spacing w:after="0" w:line="252" w:lineRule="auto"/>
        <w:tabs>
          <w:tab w:leader="none" w:pos="6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currency unit or composite currency other than the ECU for the purposes for which it was established. Unless otherwise provided in the applicable Prospectus Supplement, all payments of principal of (and premium, if any) and interest on any Debt Security that is payable in a Foreign Currency that ceases to be used by its government of issuance shall be made in U.S. dollars (Section 101 of each Indenture).</w:t>
      </w:r>
    </w:p>
    <w:p>
      <w:pPr>
        <w:spacing w:after="0" w:line="101"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spacing w:after="0" w:line="1" w:lineRule="exact"/>
        <w:rPr>
          <w:sz w:val="20"/>
          <w:szCs w:val="20"/>
          <w:color w:val="auto"/>
        </w:rPr>
      </w:pPr>
    </w:p>
    <w:p>
      <w:pPr>
        <w:ind w:right="1999" w:firstLine="8"/>
        <w:spacing w:after="0" w:line="247"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105"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1" w:lineRule="exact"/>
        <w:rPr>
          <w:sz w:val="20"/>
          <w:szCs w:val="20"/>
          <w:color w:val="auto"/>
        </w:rPr>
      </w:pPr>
    </w:p>
    <w:p>
      <w:pPr>
        <w:ind w:right="2199" w:firstLine="211"/>
        <w:spacing w:after="0" w:line="252" w:lineRule="auto"/>
        <w:rPr>
          <w:sz w:val="20"/>
          <w:szCs w:val="20"/>
          <w:color w:val="auto"/>
        </w:rPr>
      </w:pPr>
      <w:r>
        <w:rPr>
          <w:rFonts w:ascii="Courier New" w:cs="Courier New" w:eastAsia="Courier New" w:hAnsi="Courier New"/>
          <w:sz w:val="18"/>
          <w:szCs w:val="18"/>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 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996" w:gutter="0" w:footer="0" w:header="0"/>
        </w:sectPr>
      </w:pPr>
    </w:p>
    <w:bookmarkStart w:id="18" w:name="page19"/>
    <w:bookmarkEnd w:id="18"/>
    <w:p>
      <w:pPr>
        <w:jc w:val="both"/>
        <w:ind w:right="2099"/>
        <w:spacing w:after="0" w:line="274" w:lineRule="auto"/>
        <w:rPr>
          <w:sz w:val="20"/>
          <w:szCs w:val="20"/>
          <w:color w:val="auto"/>
        </w:rPr>
      </w:pPr>
      <w:r>
        <w:rPr>
          <w:rFonts w:ascii="Courier New" w:cs="Courier New" w:eastAsia="Courier New" w:hAnsi="Courier New"/>
          <w:sz w:val="18"/>
          <w:szCs w:val="18"/>
          <w:color w:val="auto"/>
        </w:rPr>
        <w:t>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8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jc w:val="both"/>
        <w:ind w:right="2419" w:firstLine="211"/>
        <w:spacing w:after="0" w:line="292" w:lineRule="auto"/>
        <w:rPr>
          <w:sz w:val="20"/>
          <w:szCs w:val="20"/>
          <w:color w:val="auto"/>
        </w:rPr>
      </w:pPr>
      <w:r>
        <w:rPr>
          <w:rFonts w:ascii="Courier New" w:cs="Courier New" w:eastAsia="Courier New" w:hAnsi="Courier New"/>
          <w:sz w:val="18"/>
          <w:szCs w:val="18"/>
          <w:color w:val="auto"/>
        </w:rPr>
        <w:t>The Trust is authorized to issue an unlimited number of preferred shares (the "Preferred Shares") of which no Preferred Shares were outstanding at December 13, 1993.</w:t>
      </w:r>
    </w:p>
    <w:p>
      <w:pPr>
        <w:spacing w:after="0" w:line="66"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1"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Subject to the limitations prescribed by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104" w:lineRule="exact"/>
        <w:rPr>
          <w:sz w:val="20"/>
          <w:szCs w:val="20"/>
          <w:color w:val="auto"/>
        </w:rPr>
      </w:pPr>
    </w:p>
    <w:p>
      <w:pPr>
        <w:ind w:right="2419" w:firstLine="211"/>
        <w:spacing w:after="0" w:line="347" w:lineRule="auto"/>
        <w:rPr>
          <w:sz w:val="20"/>
          <w:szCs w:val="20"/>
          <w:color w:val="auto"/>
        </w:rPr>
      </w:pPr>
      <w:r>
        <w:rPr>
          <w:rFonts w:ascii="Courier New" w:cs="Courier New" w:eastAsia="Courier New" w:hAnsi="Courier New"/>
          <w:sz w:val="18"/>
          <w:szCs w:val="18"/>
          <w:color w:val="auto"/>
        </w:rPr>
        <w:t>Reference is made to the Prospectus Supplement relating to the Preferred Shares offered thereby for specific terms, including:</w:t>
      </w:r>
    </w:p>
    <w:p>
      <w:pPr>
        <w:spacing w:after="0" w:line="18" w:lineRule="exact"/>
        <w:rPr>
          <w:sz w:val="20"/>
          <w:szCs w:val="20"/>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and stated value of such Preferred Shares;</w:t>
      </w:r>
    </w:p>
    <w:p>
      <w:pPr>
        <w:spacing w:after="0" w:line="201" w:lineRule="exact"/>
        <w:rPr>
          <w:rFonts w:ascii="Courier New" w:cs="Courier New" w:eastAsia="Courier New" w:hAnsi="Courier New"/>
          <w:sz w:val="18"/>
          <w:szCs w:val="18"/>
          <w:color w:val="auto"/>
        </w:rPr>
      </w:pPr>
    </w:p>
    <w:p>
      <w:pPr>
        <w:ind w:left="220" w:right="2739" w:firstLine="209"/>
        <w:spacing w:after="0" w:line="402" w:lineRule="auto"/>
        <w:tabs>
          <w:tab w:leader="none" w:pos="85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Preferred Shares offered, the liquidation preference per share and the offering price of such Preferred Shares;</w:t>
      </w:r>
    </w:p>
    <w:p>
      <w:pPr>
        <w:ind w:left="220" w:right="2319" w:firstLine="209"/>
        <w:spacing w:after="0" w:line="347"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rate(s), period(s) and/or payment date(s) or method(s) of calculation thereof applicable to such Preferred Shares;</w:t>
      </w:r>
    </w:p>
    <w:p>
      <w:pPr>
        <w:spacing w:after="0" w:line="18" w:lineRule="exact"/>
        <w:rPr>
          <w:rFonts w:ascii="Courier New" w:cs="Courier New" w:eastAsia="Courier New" w:hAnsi="Courier New"/>
          <w:sz w:val="18"/>
          <w:szCs w:val="18"/>
          <w:color w:val="auto"/>
        </w:rPr>
      </w:pPr>
    </w:p>
    <w:p>
      <w:pPr>
        <w:ind w:left="220" w:right="3039" w:firstLine="209"/>
        <w:spacing w:after="0" w:line="347"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from which dividends on such Preferred Shares shall accumulate, if applicable;</w:t>
      </w:r>
    </w:p>
    <w:p>
      <w:pPr>
        <w:spacing w:after="0" w:line="18" w:lineRule="exact"/>
        <w:rPr>
          <w:rFonts w:ascii="Courier New" w:cs="Courier New" w:eastAsia="Courier New" w:hAnsi="Courier New"/>
          <w:sz w:val="18"/>
          <w:szCs w:val="18"/>
          <w:color w:val="auto"/>
        </w:rPr>
      </w:pPr>
    </w:p>
    <w:p>
      <w:pPr>
        <w:ind w:left="220" w:right="2619" w:firstLine="209"/>
        <w:spacing w:after="0" w:line="347"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for any auction and remarketing, if any, for such Preferred Shares;</w:t>
      </w:r>
    </w:p>
    <w:p>
      <w:pPr>
        <w:spacing w:after="0" w:line="1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a sinking fund, if any, for such Preferred Shares;</w:t>
      </w:r>
    </w:p>
    <w:p>
      <w:pPr>
        <w:spacing w:after="0" w:line="201" w:lineRule="exact"/>
        <w:rPr>
          <w:rFonts w:ascii="Courier New" w:cs="Courier New" w:eastAsia="Courier New" w:hAnsi="Courier New"/>
          <w:sz w:val="18"/>
          <w:szCs w:val="18"/>
          <w:color w:val="auto"/>
        </w:rPr>
      </w:pPr>
    </w:p>
    <w:p>
      <w:pPr>
        <w:ind w:left="220" w:right="2839" w:firstLine="209"/>
        <w:spacing w:after="0" w:line="347"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redemption, if applicable, of such Preferred Shares;</w:t>
      </w:r>
    </w:p>
    <w:p>
      <w:pPr>
        <w:spacing w:after="0" w:line="1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listing of such Preferred Shares on any securities exchange;</w:t>
      </w:r>
    </w:p>
    <w:p>
      <w:pPr>
        <w:spacing w:after="0" w:line="201" w:lineRule="exact"/>
        <w:rPr>
          <w:rFonts w:ascii="Courier New" w:cs="Courier New" w:eastAsia="Courier New" w:hAnsi="Courier New"/>
          <w:sz w:val="18"/>
          <w:szCs w:val="18"/>
          <w:color w:val="auto"/>
        </w:rPr>
      </w:pPr>
    </w:p>
    <w:p>
      <w:pPr>
        <w:ind w:left="220" w:right="2319" w:firstLine="209"/>
        <w:spacing w:after="0" w:line="292"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if applicable, upon which such Preferred Shares will be convertible into Common Shares of the Trust, including the conversion price (or manner of calculation thereof);</w:t>
      </w:r>
    </w:p>
    <w:p>
      <w:pPr>
        <w:spacing w:after="0" w:line="66" w:lineRule="exact"/>
        <w:rPr>
          <w:rFonts w:ascii="Courier New" w:cs="Courier New" w:eastAsia="Courier New" w:hAnsi="Courier New"/>
          <w:sz w:val="18"/>
          <w:szCs w:val="18"/>
          <w:color w:val="auto"/>
        </w:rPr>
      </w:pPr>
    </w:p>
    <w:p>
      <w:pPr>
        <w:ind w:left="220" w:right="2839" w:firstLine="209"/>
        <w:spacing w:after="0" w:line="347" w:lineRule="auto"/>
        <w:tabs>
          <w:tab w:leader="none" w:pos="9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specific terms, preferences, rights, limitations or restrictions of such Preferred Shares;</w:t>
      </w:r>
    </w:p>
    <w:p>
      <w:pPr>
        <w:spacing w:after="0" w:line="18" w:lineRule="exact"/>
        <w:rPr>
          <w:rFonts w:ascii="Courier New" w:cs="Courier New" w:eastAsia="Courier New" w:hAnsi="Courier New"/>
          <w:sz w:val="18"/>
          <w:szCs w:val="18"/>
          <w:color w:val="auto"/>
        </w:rPr>
      </w:pPr>
    </w:p>
    <w:p>
      <w:pPr>
        <w:ind w:left="220" w:right="2099" w:firstLine="209"/>
        <w:spacing w:after="0" w:line="347" w:lineRule="auto"/>
        <w:tabs>
          <w:tab w:leader="none" w:pos="9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discussion of federal income tax considerations applicable to such Preferred Shares;</w:t>
      </w:r>
    </w:p>
    <w:p>
      <w:pPr>
        <w:spacing w:after="0" w:line="18" w:lineRule="exact"/>
        <w:rPr>
          <w:rFonts w:ascii="Courier New" w:cs="Courier New" w:eastAsia="Courier New" w:hAnsi="Courier New"/>
          <w:sz w:val="18"/>
          <w:szCs w:val="18"/>
          <w:color w:val="auto"/>
        </w:rPr>
      </w:pPr>
    </w:p>
    <w:p>
      <w:pPr>
        <w:ind w:left="220" w:right="2199" w:firstLine="209"/>
        <w:spacing w:after="0" w:line="292" w:lineRule="auto"/>
        <w:tabs>
          <w:tab w:leader="none" w:pos="9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ranking and preferences of such Preferred Shares as to dividend rights and rights upon liquidation, dissolution or winding up of the affairs of the Trust;</w:t>
      </w:r>
    </w:p>
    <w:p>
      <w:pPr>
        <w:spacing w:after="0" w:line="66"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issuance of any series of Preferred Shares</w:t>
      </w:r>
    </w:p>
    <w:p>
      <w:pPr>
        <w:spacing w:after="0" w:line="30" w:lineRule="exact"/>
        <w:rPr>
          <w:rFonts w:ascii="Courier New" w:cs="Courier New" w:eastAsia="Courier New" w:hAnsi="Courier New"/>
          <w:sz w:val="18"/>
          <w:szCs w:val="18"/>
          <w:color w:val="auto"/>
        </w:rPr>
      </w:pPr>
    </w:p>
    <w:p>
      <w:pPr>
        <w:ind w:left="220" w:right="209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ranking senior to or on a parity with such series of Preferred Shares as to dividend rights and rights upon liquidation, dissolution or winding up of the affairs of the Trust; and</w:t>
      </w:r>
    </w:p>
    <w:p>
      <w:pPr>
        <w:sectPr>
          <w:pgSz w:w="11900" w:h="16838" w:orient="portrait"/>
          <w:cols w:equalWidth="0" w:num="1">
            <w:col w:w="10219"/>
          </w:cols>
          <w:pgMar w:left="240" w:top="691" w:right="1440" w:bottom="0" w:gutter="0" w:footer="0" w:header="0"/>
        </w:sectPr>
      </w:pPr>
    </w:p>
    <w:bookmarkStart w:id="19" w:name="page20"/>
    <w:bookmarkEnd w:id="19"/>
    <w:p>
      <w:pPr>
        <w:jc w:val="both"/>
        <w:ind w:left="-209" w:right="2319" w:firstLine="209"/>
        <w:spacing w:after="0" w:line="292" w:lineRule="auto"/>
        <w:tabs>
          <w:tab w:leader="none" w:pos="52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direct or beneficial ownership and restrictions on transfer, in each case as may be appropriate to preserve the status of the Trust as a REIT.</w:t>
      </w:r>
    </w:p>
    <w:p>
      <w:pPr>
        <w:spacing w:after="0" w:line="66" w:lineRule="exact"/>
        <w:rPr>
          <w:sz w:val="20"/>
          <w:szCs w:val="20"/>
          <w:color w:val="auto"/>
        </w:rPr>
      </w:pPr>
    </w:p>
    <w:p>
      <w:pPr>
        <w:ind w:left="3591"/>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790"/>
          </w:cols>
          <w:pgMar w:left="669" w:top="110"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RANK</w:t>
      </w:r>
    </w:p>
    <w:p>
      <w:pPr>
        <w:spacing w:after="0" w:line="201"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1" w:lineRule="exact"/>
        <w:rPr>
          <w:sz w:val="20"/>
          <w:szCs w:val="20"/>
          <w:color w:val="auto"/>
        </w:rPr>
      </w:pPr>
    </w:p>
    <w:p>
      <w:pPr>
        <w:jc w:val="both"/>
        <w:ind w:right="2099" w:firstLine="211"/>
        <w:spacing w:after="0" w:line="278" w:lineRule="auto"/>
        <w:rPr>
          <w:sz w:val="20"/>
          <w:szCs w:val="20"/>
          <w:color w:val="auto"/>
        </w:rPr>
      </w:pPr>
      <w:r>
        <w:rPr>
          <w:rFonts w:ascii="Courier New" w:cs="Courier New" w:eastAsia="Courier New" w:hAnsi="Courier New"/>
          <w:sz w:val="16"/>
          <w:szCs w:val="16"/>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w:t>
      </w:r>
    </w:p>
    <w:p>
      <w:pPr>
        <w:spacing w:after="0" w:line="3"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8"/>
          <w:szCs w:val="18"/>
          <w:color w:val="auto"/>
        </w:rPr>
        <w:t>Each such dividend shall be payable to holders of record as they appear on the share transfer books of the Trust on such record dates as shall be fixed by the Board of Trustees of the Trust.</w:t>
      </w:r>
    </w:p>
    <w:p>
      <w:pPr>
        <w:spacing w:after="0" w:line="82"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104"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6"/>
          <w:szCs w:val="16"/>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 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00" w:lineRule="exact"/>
        <w:rPr>
          <w:sz w:val="20"/>
          <w:szCs w:val="20"/>
          <w:color w:val="auto"/>
        </w:rPr>
      </w:pPr>
    </w:p>
    <w:p>
      <w:pPr>
        <w:spacing w:after="0" w:line="299" w:lineRule="exact"/>
        <w:rPr>
          <w:sz w:val="20"/>
          <w:szCs w:val="20"/>
          <w:color w:val="auto"/>
        </w:rPr>
      </w:pPr>
    </w:p>
    <w:p>
      <w:pPr>
        <w:ind w:right="2199" w:firstLine="211"/>
        <w:spacing w:after="0" w:line="260" w:lineRule="auto"/>
        <w:rPr>
          <w:sz w:val="20"/>
          <w:szCs w:val="20"/>
          <w:color w:val="auto"/>
        </w:rPr>
      </w:pPr>
      <w:r>
        <w:rPr>
          <w:rFonts w:ascii="Courier New" w:cs="Courier New" w:eastAsia="Courier New" w:hAnsi="Courier New"/>
          <w:sz w:val="18"/>
          <w:szCs w:val="18"/>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996" w:gutter="0" w:footer="0" w:header="0"/>
        </w:sectPr>
      </w:pPr>
    </w:p>
    <w:bookmarkStart w:id="21" w:name="page22"/>
    <w:bookmarkEnd w:id="21"/>
    <w:p>
      <w:pPr>
        <w:ind w:right="1999"/>
        <w:spacing w:after="0" w:line="245" w:lineRule="auto"/>
        <w:rPr>
          <w:sz w:val="20"/>
          <w:szCs w:val="20"/>
          <w:color w:val="auto"/>
        </w:rPr>
      </w:pPr>
      <w:r>
        <w:rPr>
          <w:rFonts w:ascii="Courier New" w:cs="Courier New" w:eastAsia="Courier New" w:hAnsi="Courier New"/>
          <w:sz w:val="18"/>
          <w:szCs w:val="18"/>
          <w:color w:val="auto"/>
        </w:rPr>
        <w:t>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108" w:lineRule="exact"/>
        <w:rPr>
          <w:sz w:val="20"/>
          <w:szCs w:val="20"/>
          <w:color w:val="auto"/>
        </w:rPr>
      </w:pPr>
    </w:p>
    <w:p>
      <w:pPr>
        <w:jc w:val="both"/>
        <w:ind w:right="2319" w:firstLine="211"/>
        <w:spacing w:after="0" w:line="292" w:lineRule="auto"/>
        <w:rPr>
          <w:sz w:val="20"/>
          <w:szCs w:val="20"/>
          <w:color w:val="auto"/>
        </w:rPr>
      </w:pPr>
      <w:r>
        <w:rPr>
          <w:rFonts w:ascii="Courier New" w:cs="Courier New" w:eastAsia="Courier New" w:hAnsi="Courier New"/>
          <w:sz w:val="18"/>
          <w:szCs w:val="18"/>
          <w:color w:val="auto"/>
        </w:rPr>
        <w:t>Any dividend payment made on shares of a series of Preferred Shares shall first be credited against the earliest accrued but unpaid dividend due with respect to shares of such series which remains payable.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82"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108"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6"/>
          <w:szCs w:val="16"/>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 Preferred Shares of such series are simultaneously redeemed;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w:t>
      </w:r>
    </w:p>
    <w:p>
      <w:pPr>
        <w:spacing w:after="0" w:line="200" w:lineRule="exact"/>
        <w:rPr>
          <w:sz w:val="20"/>
          <w:szCs w:val="20"/>
          <w:color w:val="auto"/>
        </w:rPr>
      </w:pPr>
    </w:p>
    <w:p>
      <w:pPr>
        <w:spacing w:after="0" w:line="3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388" w:gutter="0" w:footer="0" w:header="0"/>
        </w:sectPr>
      </w:pPr>
    </w:p>
    <w:bookmarkStart w:id="22" w:name="page23"/>
    <w:bookmarkEnd w:id="22"/>
    <w:p>
      <w:pPr>
        <w:ind w:right="2099"/>
        <w:spacing w:after="0" w:line="260" w:lineRule="auto"/>
        <w:rPr>
          <w:sz w:val="20"/>
          <w:szCs w:val="20"/>
          <w:color w:val="auto"/>
        </w:rPr>
      </w:pPr>
      <w:r>
        <w:rPr>
          <w:rFonts w:ascii="Courier New" w:cs="Courier New" w:eastAsia="Courier New" w:hAnsi="Courier New"/>
          <w:sz w:val="18"/>
          <w:szCs w:val="18"/>
          <w:color w:val="auto"/>
        </w:rPr>
        <w:t>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93" w:lineRule="exact"/>
        <w:rPr>
          <w:sz w:val="20"/>
          <w:szCs w:val="20"/>
          <w:color w:val="auto"/>
        </w:rPr>
      </w:pPr>
    </w:p>
    <w:p>
      <w:pPr>
        <w:ind w:right="2319" w:firstLine="211"/>
        <w:spacing w:after="0" w:line="260" w:lineRule="auto"/>
        <w:rPr>
          <w:sz w:val="20"/>
          <w:szCs w:val="20"/>
          <w:color w:val="auto"/>
        </w:rPr>
      </w:pPr>
      <w:r>
        <w:rPr>
          <w:rFonts w:ascii="Courier New" w:cs="Courier New" w:eastAsia="Courier New" w:hAnsi="Courier New"/>
          <w:sz w:val="18"/>
          <w:szCs w:val="18"/>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93"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6"/>
          <w:szCs w:val="16"/>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spacing w:after="0" w:line="2" w:lineRule="exact"/>
        <w:rPr>
          <w:sz w:val="20"/>
          <w:szCs w:val="20"/>
          <w:color w:val="auto"/>
        </w:rPr>
      </w:pPr>
    </w:p>
    <w:p>
      <w:pPr>
        <w:ind w:right="1999" w:firstLine="8"/>
        <w:spacing w:after="0" w:line="279" w:lineRule="auto"/>
        <w:tabs>
          <w:tab w:leader="none" w:pos="42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w:t>
      </w:r>
    </w:p>
    <w:p>
      <w:pPr>
        <w:spacing w:after="0" w:line="201"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 the Trust 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200" w:lineRule="exact"/>
        <w:rPr>
          <w:sz w:val="20"/>
          <w:szCs w:val="20"/>
          <w:color w:val="auto"/>
        </w:rPr>
      </w:pPr>
    </w:p>
    <w:p>
      <w:pPr>
        <w:spacing w:after="0" w:line="295"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3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0" w:right="1440" w:bottom="793"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VOTING RIGHTS</w:t>
      </w:r>
    </w:p>
    <w:p>
      <w:pPr>
        <w:spacing w:after="0" w:line="201" w:lineRule="exact"/>
        <w:rPr>
          <w:sz w:val="20"/>
          <w:szCs w:val="20"/>
          <w:color w:val="auto"/>
        </w:rPr>
      </w:pPr>
    </w:p>
    <w:p>
      <w:pPr>
        <w:ind w:right="2199" w:firstLine="211"/>
        <w:spacing w:after="0" w:line="292" w:lineRule="auto"/>
        <w:rPr>
          <w:sz w:val="20"/>
          <w:szCs w:val="20"/>
          <w:color w:val="auto"/>
        </w:rPr>
      </w:pPr>
      <w:r>
        <w:rPr>
          <w:rFonts w:ascii="Courier New" w:cs="Courier New" w:eastAsia="Courier New" w:hAnsi="Courier New"/>
          <w:sz w:val="18"/>
          <w:szCs w:val="18"/>
          <w:color w:val="auto"/>
        </w:rPr>
        <w:t>Holders of the Preferred Shares will not have any voting rights, except as set forth below or as otherwise from time to time required by law or as indicated in the applicable Prospectus Supplement.</w:t>
      </w:r>
    </w:p>
    <w:p>
      <w:pPr>
        <w:spacing w:after="0" w:line="66" w:lineRule="exact"/>
        <w:rPr>
          <w:sz w:val="20"/>
          <w:szCs w:val="20"/>
          <w:color w:val="auto"/>
        </w:rPr>
      </w:pPr>
    </w:p>
    <w:p>
      <w:pPr>
        <w:ind w:right="2099" w:firstLine="211"/>
        <w:spacing w:after="0" w:line="280" w:lineRule="auto"/>
        <w:rPr>
          <w:sz w:val="20"/>
          <w:szCs w:val="20"/>
          <w:color w:val="auto"/>
        </w:rPr>
      </w:pPr>
      <w:r>
        <w:rPr>
          <w:rFonts w:ascii="Courier New" w:cs="Courier New" w:eastAsia="Courier New" w:hAnsi="Courier New"/>
          <w:sz w:val="16"/>
          <w:szCs w:val="16"/>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290" w:lineRule="exact"/>
        <w:rPr>
          <w:sz w:val="20"/>
          <w:szCs w:val="20"/>
          <w:color w:val="auto"/>
        </w:rPr>
      </w:pPr>
    </w:p>
    <w:p>
      <w:pPr>
        <w:ind w:right="1999" w:firstLine="211"/>
        <w:spacing w:after="0" w:line="242" w:lineRule="auto"/>
        <w:rPr>
          <w:sz w:val="20"/>
          <w:szCs w:val="20"/>
          <w:color w:val="auto"/>
        </w:rPr>
      </w:pPr>
      <w:r>
        <w:rPr>
          <w:rFonts w:ascii="Courier New" w:cs="Courier New" w:eastAsia="Courier New" w:hAnsi="Courier New"/>
          <w:sz w:val="18"/>
          <w:szCs w:val="18"/>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 (x) 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109"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1"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1" w:lineRule="exact"/>
        <w:rPr>
          <w:sz w:val="20"/>
          <w:szCs w:val="20"/>
          <w:color w:val="auto"/>
        </w:rPr>
      </w:pPr>
    </w:p>
    <w:p>
      <w:pPr>
        <w:ind w:right="2199" w:firstLine="211"/>
        <w:spacing w:after="0" w:line="292" w:lineRule="auto"/>
        <w:rPr>
          <w:sz w:val="20"/>
          <w:szCs w:val="20"/>
          <w:color w:val="auto"/>
        </w:rPr>
      </w:pPr>
      <w:r>
        <w:rPr>
          <w:rFonts w:ascii="Courier New" w:cs="Courier New" w:eastAsia="Courier New" w:hAnsi="Courier New"/>
          <w:sz w:val="18"/>
          <w:szCs w:val="18"/>
          <w:color w:val="auto"/>
        </w:rPr>
        <w:t>As discussed below under "Description of Common Shares--Shareholder Liability," the Declaration of Trust provides that no shareholder, including holders of Preferred Shares, shall be personally liable for the</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0" w:gutter="0" w:footer="0" w:header="0"/>
        </w:sectPr>
      </w:pPr>
    </w:p>
    <w:bookmarkStart w:id="24" w:name="page25"/>
    <w:bookmarkEnd w:id="24"/>
    <w:p>
      <w:pPr>
        <w:ind w:right="1999"/>
        <w:spacing w:after="0" w:line="279" w:lineRule="auto"/>
        <w:rPr>
          <w:sz w:val="20"/>
          <w:szCs w:val="20"/>
          <w:color w:val="auto"/>
        </w:rPr>
      </w:pPr>
      <w:r>
        <w:rPr>
          <w:rFonts w:ascii="Courier New" w:cs="Courier New" w:eastAsia="Courier New" w:hAnsi="Courier New"/>
          <w:sz w:val="16"/>
          <w:szCs w:val="16"/>
          <w:color w:val="auto"/>
        </w:rPr>
        <w:t>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pacing w:after="0" w:line="201" w:lineRule="exact"/>
        <w:rPr>
          <w:sz w:val="20"/>
          <w:szCs w:val="20"/>
          <w:color w:val="auto"/>
        </w:rPr>
      </w:pPr>
    </w:p>
    <w:p>
      <w:pPr>
        <w:ind w:right="1999" w:firstLine="211"/>
        <w:spacing w:after="0" w:line="281" w:lineRule="auto"/>
        <w:rPr>
          <w:sz w:val="20"/>
          <w:szCs w:val="20"/>
          <w:color w:val="auto"/>
        </w:rPr>
      </w:pPr>
      <w:r>
        <w:rPr>
          <w:rFonts w:ascii="Courier New" w:cs="Courier New" w:eastAsia="Courier New" w:hAnsi="Courier New"/>
          <w:sz w:val="16"/>
          <w:szCs w:val="16"/>
          <w:color w:val="auto"/>
        </w:rPr>
        <w:t>As discussed below under "Description of Common Shares--REIT Qualification,"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29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DESCRIPTION OF COMMON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113" w:lineRule="exact"/>
        <w:rPr>
          <w:sz w:val="20"/>
          <w:szCs w:val="20"/>
          <w:color w:val="auto"/>
        </w:rPr>
      </w:pPr>
    </w:p>
    <w:p>
      <w:pPr>
        <w:ind w:right="2199" w:firstLine="211"/>
        <w:spacing w:after="0" w:line="292" w:lineRule="auto"/>
        <w:rPr>
          <w:sz w:val="20"/>
          <w:szCs w:val="20"/>
          <w:color w:val="auto"/>
        </w:rPr>
      </w:pPr>
      <w:r>
        <w:rPr>
          <w:rFonts w:ascii="Courier New" w:cs="Courier New" w:eastAsia="Courier New" w:hAnsi="Courier New"/>
          <w:sz w:val="18"/>
          <w:szCs w:val="18"/>
          <w:color w:val="auto"/>
        </w:rPr>
        <w:t>Without shareholder approval, the Trust may issue an unlimited number of securities, warrants, rights, or other options to purchase Common Shares and other securities convertible into Common Shares.</w:t>
      </w:r>
    </w:p>
    <w:p>
      <w:pPr>
        <w:spacing w:after="0" w:line="66"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w:t>
      </w:r>
    </w:p>
    <w:p>
      <w:pPr>
        <w:spacing w:after="0" w:line="1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1440" w:gutter="0" w:footer="0" w:header="0"/>
        </w:sectPr>
      </w:pPr>
    </w:p>
    <w:bookmarkStart w:id="25" w:name="page26"/>
    <w:bookmarkEnd w:id="25"/>
    <w:p>
      <w:pPr>
        <w:ind w:right="1999"/>
        <w:spacing w:after="0" w:line="260" w:lineRule="auto"/>
        <w:rPr>
          <w:sz w:val="20"/>
          <w:szCs w:val="20"/>
          <w:color w:val="auto"/>
        </w:rPr>
      </w:pPr>
      <w:r>
        <w:rPr>
          <w:rFonts w:ascii="Courier New" w:cs="Courier New" w:eastAsia="Courier New" w:hAnsi="Courier New"/>
          <w:sz w:val="18"/>
          <w:szCs w:val="18"/>
          <w:color w:val="auto"/>
        </w:rPr>
        <w:t>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93" w:lineRule="exact"/>
        <w:rPr>
          <w:sz w:val="20"/>
          <w:szCs w:val="20"/>
          <w:color w:val="auto"/>
        </w:rPr>
      </w:pPr>
    </w:p>
    <w:p>
      <w:pPr>
        <w:ind w:right="2199" w:firstLine="211"/>
        <w:spacing w:after="0" w:line="256" w:lineRule="auto"/>
        <w:rPr>
          <w:sz w:val="20"/>
          <w:szCs w:val="20"/>
          <w:color w:val="auto"/>
        </w:rPr>
      </w:pPr>
      <w:r>
        <w:rPr>
          <w:rFonts w:ascii="Courier New" w:cs="Courier New" w:eastAsia="Courier New" w:hAnsi="Courier New"/>
          <w:sz w:val="18"/>
          <w:szCs w:val="18"/>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98"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REIT QUALIFICATION</w:t>
      </w:r>
    </w:p>
    <w:p>
      <w:pPr>
        <w:spacing w:after="0" w:line="201"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The Trust operates in a manner intended to qualify for treatment as a real estate investment trust ("REIT") under Sections 856 to 860 of the Code. In general, a REIT that distributes to its shareholders at least 95% of its taxable income (other than net capital gain) for a taxable year and that meets certain other conditions will not be taxed on income (including net capital gain) distributed for that year. If the Trust fails to qualify as a REIT in any taxable year, it will be taxed as a corporation for that year on all its income, regardless of whether that income is distributed to shareholders, and its shareholders will be separately taxed on the amount of any such distributions. Under such circumstances, the Trust also will be disqualified from being treated as a REIT for the ensuing four taxable years. Failure to qualify as a REIT could result in the Trust incurring indebtedness and perhaps liquidating investments in order to pay its taxes.</w:t>
      </w:r>
    </w:p>
    <w:p>
      <w:pPr>
        <w:spacing w:after="0" w:line="108" w:lineRule="exact"/>
        <w:rPr>
          <w:sz w:val="20"/>
          <w:szCs w:val="20"/>
          <w:color w:val="auto"/>
        </w:rPr>
      </w:pPr>
    </w:p>
    <w:p>
      <w:pPr>
        <w:ind w:right="1999" w:firstLine="211"/>
        <w:spacing w:after="0" w:line="276" w:lineRule="auto"/>
        <w:rPr>
          <w:sz w:val="20"/>
          <w:szCs w:val="20"/>
          <w:color w:val="auto"/>
        </w:rPr>
      </w:pPr>
      <w:r>
        <w:rPr>
          <w:rFonts w:ascii="Courier New" w:cs="Courier New" w:eastAsia="Courier New" w:hAnsi="Courier New"/>
          <w:sz w:val="16"/>
          <w:szCs w:val="16"/>
          <w:color w:val="auto"/>
        </w:rPr>
        <w:t>Among the requirements which must be met in order for the Trust to qualify as a REIT is that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 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1"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w:t>
      </w:r>
    </w:p>
    <w:p>
      <w:pPr>
        <w:spacing w:after="0" w:line="9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691" w:right="1440" w:bottom="591" w:gutter="0" w:footer="0" w:header="0"/>
        </w:sectPr>
      </w:pPr>
    </w:p>
    <w:bookmarkStart w:id="26" w:name="page27"/>
    <w:bookmarkEnd w:id="26"/>
    <w:p>
      <w:pPr>
        <w:ind w:right="1999"/>
        <w:spacing w:after="0" w:line="293" w:lineRule="auto"/>
        <w:rPr>
          <w:sz w:val="20"/>
          <w:szCs w:val="20"/>
          <w:color w:val="auto"/>
        </w:rPr>
      </w:pPr>
      <w:r>
        <w:rPr>
          <w:rFonts w:ascii="Courier New" w:cs="Courier New" w:eastAsia="Courier New" w:hAnsi="Courier New"/>
          <w:sz w:val="16"/>
          <w:szCs w:val="16"/>
          <w:color w:val="auto"/>
        </w:rPr>
        <w:t>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1" w:lineRule="exact"/>
        <w:rPr>
          <w:sz w:val="20"/>
          <w:szCs w:val="20"/>
          <w:color w:val="auto"/>
        </w:rPr>
      </w:pPr>
    </w:p>
    <w:p>
      <w:pPr>
        <w:ind w:right="2419" w:firstLine="211"/>
        <w:spacing w:after="0" w:line="347" w:lineRule="auto"/>
        <w:rPr>
          <w:sz w:val="20"/>
          <w:szCs w:val="20"/>
          <w:color w:val="auto"/>
        </w:rPr>
      </w:pPr>
      <w:r>
        <w:rPr>
          <w:rFonts w:ascii="Courier New" w:cs="Courier New" w:eastAsia="Courier New" w:hAnsi="Courier New"/>
          <w:sz w:val="18"/>
          <w:szCs w:val="18"/>
          <w:color w:val="auto"/>
        </w:rPr>
        <w:t>The Registrar and Transfer Agent for the Common Shares is American Stock Transfer &amp; Trust Company, New York, New York.</w:t>
      </w:r>
    </w:p>
    <w:p>
      <w:pPr>
        <w:spacing w:after="0" w:line="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1" w:lineRule="exact"/>
        <w:rPr>
          <w:sz w:val="20"/>
          <w:szCs w:val="20"/>
          <w:color w:val="auto"/>
        </w:rPr>
      </w:pPr>
    </w:p>
    <w:p>
      <w:pPr>
        <w:ind w:right="2099" w:firstLine="211"/>
        <w:spacing w:after="0" w:line="347" w:lineRule="auto"/>
        <w:rPr>
          <w:sz w:val="20"/>
          <w:szCs w:val="20"/>
          <w:color w:val="auto"/>
        </w:rPr>
      </w:pPr>
      <w:r>
        <w:rPr>
          <w:rFonts w:ascii="Courier New" w:cs="Courier New" w:eastAsia="Courier New" w:hAnsi="Courier New"/>
          <w:sz w:val="18"/>
          <w:szCs w:val="18"/>
          <w:color w:val="auto"/>
        </w:rPr>
        <w:t>The Trust may sell Securities to or through underwriters, and also may sell Securities directly to other purchasers or through agents.</w:t>
      </w:r>
    </w:p>
    <w:p>
      <w:pPr>
        <w:spacing w:after="0" w:line="18"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82"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108"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 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104"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82"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Underwriters, dealers and agents may engage in transactions with, or perform services for, or be customers of, the Trust in the ordinary course of business.</w:t>
      </w:r>
    </w:p>
    <w:p>
      <w:pPr>
        <w:spacing w:after="0" w:line="66"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w:t>
      </w:r>
    </w:p>
    <w:p>
      <w:pPr>
        <w:spacing w:after="0" w:line="9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691" w:right="1440" w:bottom="1440" w:gutter="0" w:footer="0" w:header="0"/>
        </w:sectPr>
      </w:pPr>
    </w:p>
    <w:bookmarkStart w:id="27" w:name="page28"/>
    <w:bookmarkEnd w:id="27"/>
    <w:p>
      <w:pPr>
        <w:ind w:right="1999"/>
        <w:spacing w:after="0" w:line="318" w:lineRule="auto"/>
        <w:rPr>
          <w:sz w:val="20"/>
          <w:szCs w:val="20"/>
          <w:color w:val="auto"/>
        </w:rPr>
      </w:pPr>
      <w:r>
        <w:rPr>
          <w:rFonts w:ascii="Courier New" w:cs="Courier New" w:eastAsia="Courier New" w:hAnsi="Courier New"/>
          <w:sz w:val="16"/>
          <w:szCs w:val="16"/>
          <w:color w:val="auto"/>
        </w:rPr>
        <w:t>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5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1"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The legality of the Securities offered hereby is being passed upon for the Trust by Kirkpatrick &amp; Lockhart, 1800 M Street, N.W., Washington, D.C. 20036. Certain REIT tax matters relating to the Trust are being passed upon by Goodwin, Procter &amp; Hoar, Exchange Place, Boston, Massachusetts 02109. Brown &amp; Wood, One World Trade Center, New York, New York 10048-0557 will act as counsel to any underwriters, dealers or agents.</w:t>
      </w:r>
    </w:p>
    <w:p>
      <w:pPr>
        <w:spacing w:after="0" w:line="9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1992 and 1991 and for each of the years in the three year period ended December 31, 1992 incorporated herein by reference have been incorporated herein in reliance on the reports dated February 18, 1993, of Grant Thornton, independent certified public accountants, also incorporated by reference herein, and upon the authority of said firm as experts in accounting and auditing. The statement of revenue and certain expenses of Crossroads Shopping Center, included in the Trust's Current Report on Form 8-K, dated September 24, 1993, incorporated by reference herein, has been incorporated herein in reliance on the report dated August 27, 1993, of Coopers &amp; Lybrand, independent certified public accountants, also incorporated by reference herein, and upon the authority of said firm as experts in accounting and auditing. The historical summaries of gross income and direct operating expenses of certain properties included in the Trust's Current Report on Form 8-K, dated September 24, 1993, incorporated by reference herein, have been incorporated herein in reliance on the reports dated September 9, 1993, of Stoy, Malone &amp; Company, P.C., independent certified public accountants, also incorporated by reference herein, and upon the authority of said firm as experts in accounting and auditing.</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right="1879" w:firstLine="105"/>
        <w:spacing w:after="0" w:line="281"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REPRESEN-TATIONS OTHER THAN THOSE CONTAINED IN THIS PROSPECTUS SUPPLEMENT OR THE PRO-SPECTUS AND, IF GIVEN OR MADE, SUCH INFORMATION OR REPRESENTATIONS MUST NOT BE RELIED UPON AS HAVING BEEN AUTHORIZED. THIS PROSPECTUS SUPPLEMENT AND THE PRO-SPECTUS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NEI-THER THE DELIVERY OF THIS PROSPECTUS SUPPLEMENT OR THE PROSPECTUS NOR ANY SALE MADE HEREUNDER OR THEREUNDER SHALL, UNDER ANY CIRCUMSTANCES, CREATE ANY IMPLI-CATION THAT THERE HAS BEEN NO CHANGE IN THE AFFAIRS OF THE TRUST SINCE THE DATE HEREOF OR THEREOF OR THAT THE INFORMATION CONTAINED HEREIN OR THEREIN IS COR-RECT AS OF ANY TIME SUBSEQUENT TO THE DATE OF SUCH INFORMATION.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960" w:type="dxa"/>
            <w:vAlign w:val="bottom"/>
          </w:tcPr>
          <w:p>
            <w:pPr>
              <w:jc w:val="right"/>
              <w:ind w:right="313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r>
      <w:tr>
        <w:trPr>
          <w:trHeight w:val="405"/>
        </w:trPr>
        <w:tc>
          <w:tcPr>
            <w:tcW w:w="796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24"/>
                <w:szCs w:val="24"/>
                <w:color w:val="auto"/>
              </w:rPr>
            </w:pPr>
          </w:p>
        </w:tc>
      </w:tr>
      <w:tr>
        <w:trPr>
          <w:trHeight w:val="405"/>
        </w:trPr>
        <w:tc>
          <w:tcPr>
            <w:tcW w:w="7960" w:type="dxa"/>
            <w:vAlign w:val="bottom"/>
          </w:tcPr>
          <w:p>
            <w:pPr>
              <w:ind w:left="3060"/>
              <w:spacing w:after="0"/>
              <w:rPr>
                <w:sz w:val="20"/>
                <w:szCs w:val="20"/>
                <w:color w:val="auto"/>
              </w:rPr>
            </w:pPr>
            <w:r>
              <w:rPr>
                <w:rFonts w:ascii="Courier New" w:cs="Courier New" w:eastAsia="Courier New" w:hAnsi="Courier New"/>
                <w:sz w:val="18"/>
                <w:szCs w:val="18"/>
                <w:color w:val="auto"/>
              </w:rPr>
              <w:t>PROSPECTUS SUPPLEMENT</w:t>
            </w:r>
          </w:p>
        </w:tc>
        <w:tc>
          <w:tcPr>
            <w:tcW w:w="480" w:type="dxa"/>
            <w:vAlign w:val="bottom"/>
          </w:tcPr>
          <w:p>
            <w:pPr>
              <w:spacing w:after="0"/>
              <w:rPr>
                <w:sz w:val="24"/>
                <w:szCs w:val="24"/>
                <w:color w:val="auto"/>
              </w:rPr>
            </w:pPr>
          </w:p>
        </w:tc>
      </w:tr>
      <w:tr>
        <w:trPr>
          <w:trHeight w:val="514"/>
        </w:trPr>
        <w:tc>
          <w:tcPr>
            <w:tcW w:w="796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PAGE</w:t>
            </w:r>
          </w:p>
        </w:tc>
      </w:tr>
      <w:tr>
        <w:trPr>
          <w:trHeight w:val="296"/>
        </w:trPr>
        <w:tc>
          <w:tcPr>
            <w:tcW w:w="796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w:t>
            </w:r>
          </w:p>
        </w:tc>
      </w:tr>
      <w:tr>
        <w:trPr>
          <w:trHeight w:val="311"/>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The Trust..................................................................</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S-2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Recent Developments........................................................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Price Range of the Shares and Distributions................................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Determination of Offering Price............................................</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S-3</w:t>
            </w:r>
          </w:p>
        </w:tc>
      </w:tr>
      <w:tr>
        <w:trPr>
          <w:trHeight w:val="296"/>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Plan of Distribution.......................................................</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S-3</w:t>
            </w:r>
          </w:p>
        </w:tc>
      </w:tr>
      <w:tr>
        <w:trPr>
          <w:trHeight w:val="405"/>
        </w:trPr>
        <w:tc>
          <w:tcPr>
            <w:tcW w:w="7960" w:type="dxa"/>
            <w:vAlign w:val="bottom"/>
          </w:tcPr>
          <w:p>
            <w:pPr>
              <w:jc w:val="right"/>
              <w:ind w:right="3132"/>
              <w:spacing w:after="0"/>
              <w:rPr>
                <w:sz w:val="20"/>
                <w:szCs w:val="20"/>
                <w:color w:val="auto"/>
              </w:rPr>
            </w:pPr>
            <w:r>
              <w:rPr>
                <w:rFonts w:ascii="Courier New" w:cs="Courier New" w:eastAsia="Courier New" w:hAnsi="Courier New"/>
                <w:sz w:val="18"/>
                <w:szCs w:val="18"/>
                <w:color w:val="auto"/>
              </w:rPr>
              <w:t>PROSPECTUS</w:t>
            </w:r>
          </w:p>
        </w:tc>
        <w:tc>
          <w:tcPr>
            <w:tcW w:w="480" w:type="dxa"/>
            <w:vAlign w:val="bottom"/>
          </w:tcPr>
          <w:p>
            <w:pPr>
              <w:spacing w:after="0"/>
              <w:rPr>
                <w:sz w:val="24"/>
                <w:szCs w:val="24"/>
                <w:color w:val="auto"/>
              </w:rPr>
            </w:pPr>
          </w:p>
        </w:tc>
      </w:tr>
      <w:tr>
        <w:trPr>
          <w:trHeight w:val="311"/>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Available Information......................................................</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Incorporation of Certain Documents by Reference............................</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Trust..................................................................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Ratios of Earnings to Fixed Charges........................................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Debt Securities.............................................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Preferred Shares............................................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Common Shares...............................................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Opinions.............................................................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96"/>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Experts....................................................................</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w:t>
            </w: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380,000 SHARES</w:t>
      </w:r>
    </w:p>
    <w:p>
      <w:pPr>
        <w:spacing w:after="0" w:line="200" w:lineRule="exact"/>
        <w:rPr>
          <w:sz w:val="20"/>
          <w:szCs w:val="20"/>
          <w:color w:val="auto"/>
        </w:rPr>
      </w:pP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SHARES</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PROSPECTUS SUPPLEMENT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September 1, 1995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691" w:right="1440" w:bottom="17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2"/>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1"/>
    </w:lvl>
  </w:abstractNum>
  <w:abstractNum w:abstractNumId="4">
    <w:nsid w:val="5BD062C2"/>
    <w:multiLevelType w:val="hybridMultilevel"/>
    <w:lvl w:ilvl="0">
      <w:lvlJc w:val="left"/>
      <w:lvlText w:val="(%1)"/>
      <w:numFmt w:val="lowerRoman"/>
      <w:start w:val="2"/>
    </w:lvl>
  </w:abstractNum>
  <w:abstractNum w:abstractNumId="5">
    <w:nsid w:val="12200854"/>
    <w:multiLevelType w:val="hybridMultilevel"/>
    <w:lvl w:ilvl="0">
      <w:lvlJc w:val="left"/>
      <w:lvlText w:val="(%1)"/>
      <w:numFmt w:val="lowerRoman"/>
      <w:start w:val="10"/>
    </w:lvl>
  </w:abstractNum>
  <w:abstractNum w:abstractNumId="6">
    <w:nsid w:val="4DB127F8"/>
    <w:multiLevelType w:val="hybridMultilevel"/>
    <w:lvl w:ilvl="0">
      <w:lvlJc w:val="left"/>
      <w:lvlText w:val="(%1)"/>
      <w:numFmt w:val="lowerRoman"/>
      <w:start w:val="3"/>
    </w:lvl>
  </w:abstractNum>
  <w:abstractNum w:abstractNumId="7">
    <w:nsid w:val="216231B"/>
    <w:multiLevelType w:val="hybridMultilevel"/>
    <w:lvl w:ilvl="0">
      <w:lvlJc w:val="left"/>
      <w:lvlText w:val="(%1)"/>
      <w:numFmt w:val="lowerLetter"/>
      <w:start w:val="6"/>
    </w:lvl>
  </w:abstractNum>
  <w:abstractNum w:abstractNumId="8">
    <w:nsid w:val="1F16E9E8"/>
    <w:multiLevelType w:val="hybridMultilevel"/>
    <w:lvl w:ilvl="0">
      <w:lvlJc w:val="left"/>
      <w:lvlText w:val="(%1)"/>
      <w:numFmt w:val="lowerRoman"/>
      <w:start w:val="3"/>
    </w:lvl>
  </w:abstractNum>
  <w:abstractNum w:abstractNumId="9">
    <w:nsid w:val="1190CDE7"/>
    <w:multiLevelType w:val="hybridMultilevel"/>
    <w:lvl w:ilvl="0">
      <w:lvlJc w:val="left"/>
      <w:lvlText w:val="(%1)"/>
      <w:numFmt w:val="lowerLetter"/>
      <w:start w:val="7"/>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4"/>
    </w:lvl>
  </w:abstractNum>
  <w:abstractNum w:abstractNumId="12">
    <w:nsid w:val="3352255A"/>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2019-12-13T00:55:39Z</dcterms:created>
  <dcterms:modified xsi:type="dcterms:W3CDTF">2019-12-13T00:55:39Z</dcterms:modified>
</cp:coreProperties>
</file>