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460" w:right="280" w:hanging="452"/>
        <w:spacing w:after="0" w:line="256" w:lineRule="auto"/>
        <w:tabs>
          <w:tab w:leader="none" w:pos="46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THE SECTION 13 OR 15(D) OF THE SECURITIES EXCHANGE ACT OF 1934</w:t>
      </w:r>
    </w:p>
    <w:p>
      <w:pPr>
        <w:spacing w:after="0" w:line="122"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quarterly period ended June 30, 2009</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20" w:hanging="452"/>
        <w:spacing w:after="0" w:line="256" w:lineRule="auto"/>
        <w:tabs>
          <w:tab w:leader="none" w:pos="46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460"/>
        <w:spacing w:after="0"/>
        <w:tabs>
          <w:tab w:leader="none" w:pos="33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1-07533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FEDERAL REALTY INVESTMENT TRUST</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Declaration of Trust)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tbl>
      <w:tblPr>
        <w:tblLayout w:type="fixed"/>
        <w:tblInd w:w="1080" w:type="dxa"/>
        <w:tblCellMar>
          <w:top w:w="0" w:type="dxa"/>
          <w:left w:w="0" w:type="dxa"/>
          <w:bottom w:w="0" w:type="dxa"/>
          <w:right w:w="0" w:type="dxa"/>
        </w:tblCellMar>
      </w:tblPr>
      <w:tr>
        <w:trPr>
          <w:trHeight w:val="218"/>
        </w:trPr>
        <w:tc>
          <w:tcPr>
            <w:tcW w:w="6660" w:type="dxa"/>
            <w:vAlign w:val="bottom"/>
          </w:tcPr>
          <w:p>
            <w:pPr>
              <w:jc w:val="center"/>
              <w:ind w:right="3022"/>
              <w:spacing w:after="0"/>
              <w:rPr>
                <w:sz w:val="20"/>
                <w:szCs w:val="20"/>
                <w:color w:val="auto"/>
              </w:rPr>
            </w:pPr>
            <w:r>
              <w:rPr>
                <w:rFonts w:ascii="Arial" w:cs="Arial" w:eastAsia="Arial" w:hAnsi="Arial"/>
                <w:sz w:val="18"/>
                <w:szCs w:val="18"/>
                <w:b w:val="1"/>
                <w:bCs w:val="1"/>
                <w:color w:val="auto"/>
                <w:w w:val="96"/>
              </w:rPr>
              <w:t>Maryland</w:t>
            </w:r>
          </w:p>
        </w:tc>
        <w:tc>
          <w:tcPr>
            <w:tcW w:w="1480" w:type="dxa"/>
            <w:vAlign w:val="bottom"/>
          </w:tcPr>
          <w:p>
            <w:pPr>
              <w:jc w:val="right"/>
              <w:ind w:right="44"/>
              <w:spacing w:after="0"/>
              <w:rPr>
                <w:sz w:val="20"/>
                <w:szCs w:val="20"/>
                <w:color w:val="auto"/>
              </w:rPr>
            </w:pPr>
            <w:r>
              <w:rPr>
                <w:rFonts w:ascii="Arial" w:cs="Arial" w:eastAsia="Arial" w:hAnsi="Arial"/>
                <w:sz w:val="18"/>
                <w:szCs w:val="18"/>
                <w:b w:val="1"/>
                <w:bCs w:val="1"/>
                <w:color w:val="auto"/>
              </w:rPr>
              <w:t>52-0782497</w:t>
            </w:r>
          </w:p>
        </w:tc>
      </w:tr>
      <w:tr>
        <w:trPr>
          <w:trHeight w:val="149"/>
        </w:trPr>
        <w:tc>
          <w:tcPr>
            <w:tcW w:w="6660" w:type="dxa"/>
            <w:vAlign w:val="bottom"/>
          </w:tcPr>
          <w:p>
            <w:pPr>
              <w:jc w:val="center"/>
              <w:ind w:right="3022"/>
              <w:spacing w:after="0" w:line="149" w:lineRule="exact"/>
              <w:rPr>
                <w:sz w:val="20"/>
                <w:szCs w:val="20"/>
                <w:color w:val="auto"/>
              </w:rPr>
            </w:pPr>
            <w:r>
              <w:rPr>
                <w:rFonts w:ascii="Arial" w:cs="Arial" w:eastAsia="Arial" w:hAnsi="Arial"/>
                <w:sz w:val="14"/>
                <w:szCs w:val="14"/>
                <w:b w:val="1"/>
                <w:bCs w:val="1"/>
                <w:color w:val="auto"/>
                <w:w w:val="87"/>
              </w:rPr>
              <w:t>(State of Organization)</w:t>
            </w:r>
          </w:p>
        </w:tc>
        <w:tc>
          <w:tcPr>
            <w:tcW w:w="1480" w:type="dxa"/>
            <w:vAlign w:val="bottom"/>
          </w:tcPr>
          <w:p>
            <w:pPr>
              <w:jc w:val="center"/>
              <w:ind w:left="32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660" w:type="dxa"/>
            <w:vAlign w:val="bottom"/>
          </w:tcPr>
          <w:p>
            <w:pPr>
              <w:spacing w:after="0"/>
              <w:rPr>
                <w:sz w:val="15"/>
                <w:szCs w:val="15"/>
                <w:color w:val="auto"/>
              </w:rPr>
            </w:pPr>
          </w:p>
        </w:tc>
        <w:tc>
          <w:tcPr>
            <w:tcW w:w="1480" w:type="dxa"/>
            <w:vAlign w:val="bottom"/>
          </w:tcPr>
          <w:p>
            <w:pPr>
              <w:jc w:val="center"/>
              <w:ind w:left="344"/>
              <w:spacing w:after="0"/>
              <w:rPr>
                <w:sz w:val="20"/>
                <w:szCs w:val="20"/>
                <w:color w:val="auto"/>
              </w:rPr>
            </w:pPr>
            <w:r>
              <w:rPr>
                <w:rFonts w:ascii="Arial" w:cs="Arial" w:eastAsia="Arial" w:hAnsi="Arial"/>
                <w:sz w:val="14"/>
                <w:szCs w:val="14"/>
                <w:b w:val="1"/>
                <w:bCs w:val="1"/>
                <w:color w:val="auto"/>
                <w:w w:val="89"/>
              </w:rPr>
              <w:t>Identification No.)</w:t>
            </w:r>
          </w:p>
        </w:tc>
      </w:tr>
      <w:tr>
        <w:trPr>
          <w:trHeight w:val="406"/>
        </w:trPr>
        <w:tc>
          <w:tcPr>
            <w:tcW w:w="6660" w:type="dxa"/>
            <w:vAlign w:val="bottom"/>
          </w:tcPr>
          <w:p>
            <w:pPr>
              <w:jc w:val="center"/>
              <w:ind w:right="3002"/>
              <w:spacing w:after="0"/>
              <w:rPr>
                <w:sz w:val="20"/>
                <w:szCs w:val="20"/>
                <w:color w:val="auto"/>
              </w:rPr>
            </w:pPr>
            <w:r>
              <w:rPr>
                <w:rFonts w:ascii="Arial" w:cs="Arial" w:eastAsia="Arial" w:hAnsi="Arial"/>
                <w:sz w:val="18"/>
                <w:szCs w:val="18"/>
                <w:b w:val="1"/>
                <w:bCs w:val="1"/>
                <w:color w:val="auto"/>
                <w:w w:val="88"/>
              </w:rPr>
              <w:t>1626 East Jefferson Street, Rockville, Maryland</w:t>
            </w:r>
          </w:p>
        </w:tc>
        <w:tc>
          <w:tcPr>
            <w:tcW w:w="1480" w:type="dxa"/>
            <w:vAlign w:val="bottom"/>
          </w:tcPr>
          <w:p>
            <w:pPr>
              <w:jc w:val="right"/>
              <w:ind w:right="244"/>
              <w:spacing w:after="0"/>
              <w:rPr>
                <w:sz w:val="20"/>
                <w:szCs w:val="20"/>
                <w:color w:val="auto"/>
              </w:rPr>
            </w:pPr>
            <w:r>
              <w:rPr>
                <w:rFonts w:ascii="Arial" w:cs="Arial" w:eastAsia="Arial" w:hAnsi="Arial"/>
                <w:sz w:val="18"/>
                <w:szCs w:val="18"/>
                <w:b w:val="1"/>
                <w:bCs w:val="1"/>
                <w:color w:val="auto"/>
              </w:rPr>
              <w:t>20852</w:t>
            </w:r>
          </w:p>
        </w:tc>
      </w:tr>
      <w:tr>
        <w:trPr>
          <w:trHeight w:val="174"/>
        </w:trPr>
        <w:tc>
          <w:tcPr>
            <w:tcW w:w="6660" w:type="dxa"/>
            <w:vAlign w:val="bottom"/>
          </w:tcPr>
          <w:p>
            <w:pPr>
              <w:jc w:val="center"/>
              <w:ind w:right="3002"/>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1480" w:type="dxa"/>
            <w:vAlign w:val="bottom"/>
          </w:tcPr>
          <w:p>
            <w:pPr>
              <w:jc w:val="center"/>
              <w:ind w:left="34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6660" w:type="dxa"/>
            <w:vAlign w:val="bottom"/>
          </w:tcPr>
          <w:p>
            <w:pPr>
              <w:jc w:val="right"/>
              <w:ind w:right="1402"/>
              <w:spacing w:after="0"/>
              <w:rPr>
                <w:sz w:val="20"/>
                <w:szCs w:val="20"/>
                <w:color w:val="auto"/>
              </w:rPr>
            </w:pPr>
            <w:r>
              <w:rPr>
                <w:rFonts w:ascii="Arial" w:cs="Arial" w:eastAsia="Arial" w:hAnsi="Arial"/>
                <w:sz w:val="18"/>
                <w:szCs w:val="18"/>
                <w:b w:val="1"/>
                <w:bCs w:val="1"/>
                <w:color w:val="auto"/>
              </w:rPr>
              <w:t>(301) 998-8100</w:t>
            </w:r>
          </w:p>
        </w:tc>
        <w:tc>
          <w:tcPr>
            <w:tcW w:w="1480" w:type="dxa"/>
            <w:vAlign w:val="bottom"/>
          </w:tcPr>
          <w:p>
            <w:pPr>
              <w:spacing w:after="0"/>
              <w:rPr>
                <w:sz w:val="24"/>
                <w:szCs w:val="24"/>
                <w:color w:val="auto"/>
              </w:rPr>
            </w:pPr>
          </w:p>
        </w:tc>
      </w:tr>
      <w:tr>
        <w:trPr>
          <w:trHeight w:val="174"/>
        </w:trPr>
        <w:tc>
          <w:tcPr>
            <w:tcW w:w="6660" w:type="dxa"/>
            <w:vAlign w:val="bottom"/>
          </w:tcPr>
          <w:p>
            <w:pPr>
              <w:jc w:val="center"/>
              <w:ind w:left="2522"/>
              <w:spacing w:after="0"/>
              <w:rPr>
                <w:sz w:val="20"/>
                <w:szCs w:val="20"/>
                <w:color w:val="auto"/>
              </w:rPr>
            </w:pPr>
            <w:r>
              <w:rPr>
                <w:rFonts w:ascii="Arial" w:cs="Arial" w:eastAsia="Arial" w:hAnsi="Arial"/>
                <w:sz w:val="14"/>
                <w:szCs w:val="14"/>
                <w:b w:val="1"/>
                <w:bCs w:val="1"/>
                <w:color w:val="auto"/>
                <w:w w:val="87"/>
              </w:rPr>
              <w:t>(Registrant’s Telephone Number, Including Area Code)</w:t>
            </w:r>
          </w:p>
        </w:tc>
        <w:tc>
          <w:tcPr>
            <w:tcW w:w="148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jc w:val="both"/>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8" w:lineRule="exact"/>
        <w:rPr>
          <w:sz w:val="24"/>
          <w:szCs w:val="24"/>
          <w:color w:val="auto"/>
        </w:rPr>
      </w:pPr>
    </w:p>
    <w:p>
      <w:pPr>
        <w:jc w:val="both"/>
        <w:ind w:right="2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8" w:lineRule="exact"/>
        <w:rPr>
          <w:sz w:val="24"/>
          <w:szCs w:val="24"/>
          <w:color w:val="auto"/>
        </w:rPr>
      </w:pPr>
    </w:p>
    <w:p>
      <w:pPr>
        <w:ind w:right="64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84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628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2900" w:type="dxa"/>
            <w:vAlign w:val="bottom"/>
          </w:tcPr>
          <w:p>
            <w:pPr>
              <w:ind w:left="74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40" w:type="dxa"/>
            <w:vAlign w:val="bottom"/>
          </w:tcPr>
          <w:p>
            <w:pPr>
              <w:spacing w:after="0"/>
              <w:rPr>
                <w:sz w:val="20"/>
                <w:szCs w:val="20"/>
                <w:color w:val="auto"/>
              </w:rPr>
            </w:pPr>
            <w:r>
              <w:rPr>
                <w:rFonts w:ascii="Arial" w:cs="Arial" w:eastAsia="Arial" w:hAnsi="Arial"/>
                <w:sz w:val="18"/>
                <w:szCs w:val="18"/>
                <w:color w:val="auto"/>
              </w:rPr>
              <w:t>Non-Accelerated Filer</w:t>
            </w:r>
          </w:p>
        </w:tc>
        <w:tc>
          <w:tcPr>
            <w:tcW w:w="6280" w:type="dxa"/>
            <w:vAlign w:val="bottom"/>
          </w:tcPr>
          <w:p>
            <w:pPr>
              <w:ind w:left="2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900" w:type="dxa"/>
            <w:vAlign w:val="bottom"/>
          </w:tcPr>
          <w:p>
            <w:pPr>
              <w:ind w:left="74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120" w:type="dxa"/>
            <w:vAlign w:val="bottom"/>
            <w:gridSpan w:val="2"/>
          </w:tcPr>
          <w:p>
            <w:pPr>
              <w:spacing w:after="0"/>
              <w:rPr>
                <w:sz w:val="20"/>
                <w:szCs w:val="20"/>
                <w:color w:val="auto"/>
              </w:rPr>
            </w:pPr>
            <w:r>
              <w:rPr>
                <w:rFonts w:ascii="Arial" w:cs="Arial" w:eastAsia="Arial" w:hAnsi="Arial"/>
                <w:sz w:val="18"/>
                <w:szCs w:val="18"/>
                <w:color w:val="auto"/>
                <w:w w:val="89"/>
              </w:rPr>
              <w:t>Indicate by check mark whether the Registrant is a shell company (as defined in Rule 12b-2 of the Exchange Act).</w:t>
            </w:r>
          </w:p>
        </w:tc>
        <w:tc>
          <w:tcPr>
            <w:tcW w:w="2900" w:type="dxa"/>
            <w:vAlign w:val="bottom"/>
          </w:tcPr>
          <w:p>
            <w:pPr>
              <w:ind w:left="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tc>
        <w:tc>
          <w:tcPr>
            <w:tcW w:w="400" w:type="dxa"/>
            <w:vAlign w:val="bottom"/>
          </w:tcPr>
          <w:p>
            <w:pPr>
              <w:spacing w:after="0"/>
              <w:rPr>
                <w:sz w:val="24"/>
                <w:szCs w:val="24"/>
                <w:color w:val="auto"/>
              </w:rPr>
            </w:pPr>
          </w:p>
        </w:tc>
      </w:tr>
      <w:tr>
        <w:trPr>
          <w:trHeight w:val="358"/>
        </w:trPr>
        <w:tc>
          <w:tcPr>
            <w:tcW w:w="8120" w:type="dxa"/>
            <w:vAlign w:val="bottom"/>
            <w:gridSpan w:val="2"/>
          </w:tcPr>
          <w:p>
            <w:pPr>
              <w:spacing w:after="0"/>
              <w:rPr>
                <w:sz w:val="20"/>
                <w:szCs w:val="20"/>
                <w:color w:val="auto"/>
              </w:rPr>
            </w:pPr>
            <w:r>
              <w:rPr>
                <w:rFonts w:ascii="Arial" w:cs="Arial" w:eastAsia="Arial" w:hAnsi="Arial"/>
                <w:sz w:val="18"/>
                <w:szCs w:val="18"/>
                <w:color w:val="auto"/>
              </w:rPr>
              <w:t>The number of Registrant’s common shares outstanding on July 31, 2009 was 59,176,537.</w:t>
            </w:r>
          </w:p>
        </w:tc>
        <w:tc>
          <w:tcPr>
            <w:tcW w:w="29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24"/>
        </w:trPr>
        <w:tc>
          <w:tcPr>
            <w:tcW w:w="1840" w:type="dxa"/>
            <w:vAlign w:val="bottom"/>
            <w:tcBorders>
              <w:bottom w:val="single" w:sz="8" w:color="auto"/>
            </w:tcBorders>
          </w:tcPr>
          <w:p>
            <w:pPr>
              <w:spacing w:after="0"/>
              <w:rPr>
                <w:sz w:val="10"/>
                <w:szCs w:val="10"/>
                <w:color w:val="auto"/>
              </w:rPr>
            </w:pPr>
          </w:p>
        </w:tc>
        <w:tc>
          <w:tcPr>
            <w:tcW w:w="6280" w:type="dxa"/>
            <w:vAlign w:val="bottom"/>
            <w:tcBorders>
              <w:bottom w:val="single" w:sz="8" w:color="auto"/>
            </w:tcBorders>
          </w:tcPr>
          <w:p>
            <w:pPr>
              <w:spacing w:after="0"/>
              <w:rPr>
                <w:sz w:val="10"/>
                <w:szCs w:val="10"/>
                <w:color w:val="auto"/>
              </w:rPr>
            </w:pPr>
          </w:p>
        </w:tc>
        <w:tc>
          <w:tcPr>
            <w:tcW w:w="29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r>
      <w:tr>
        <w:trPr>
          <w:trHeight w:val="21"/>
        </w:trPr>
        <w:tc>
          <w:tcPr>
            <w:tcW w:w="1840" w:type="dxa"/>
            <w:vAlign w:val="bottom"/>
            <w:tcBorders>
              <w:bottom w:val="single" w:sz="8" w:color="auto"/>
            </w:tcBorders>
          </w:tcPr>
          <w:p>
            <w:pPr>
              <w:spacing w:after="0" w:line="20" w:lineRule="exact"/>
              <w:rPr>
                <w:sz w:val="1"/>
                <w:szCs w:val="1"/>
                <w:color w:val="auto"/>
              </w:rPr>
            </w:pPr>
          </w:p>
        </w:tc>
        <w:tc>
          <w:tcPr>
            <w:tcW w:w="6280" w:type="dxa"/>
            <w:vAlign w:val="bottom"/>
            <w:tcBorders>
              <w:bottom w:val="single" w:sz="8" w:color="auto"/>
            </w:tcBorders>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520" w:type="dxa"/>
            <w:vAlign w:val="bottom"/>
            <w:gridSpan w:val="10"/>
          </w:tcPr>
          <w:p>
            <w:pPr>
              <w:jc w:val="center"/>
              <w:ind w:right="1980"/>
              <w:spacing w:after="0"/>
              <w:rPr>
                <w:sz w:val="20"/>
                <w:szCs w:val="20"/>
                <w:color w:val="auto"/>
              </w:rPr>
            </w:pPr>
            <w:r>
              <w:rPr>
                <w:rFonts w:ascii="Arial" w:cs="Arial" w:eastAsia="Arial" w:hAnsi="Arial"/>
                <w:sz w:val="18"/>
                <w:szCs w:val="18"/>
                <w:b w:val="1"/>
                <w:bCs w:val="1"/>
                <w:color w:val="auto"/>
                <w:w w:val="99"/>
              </w:rPr>
              <w:t>FEDERAL REALTY INVESTMENT TRUST</w:t>
            </w:r>
          </w:p>
        </w:tc>
        <w:tc>
          <w:tcPr>
            <w:tcW w:w="1960" w:type="dxa"/>
            <w:vAlign w:val="bottom"/>
          </w:tcPr>
          <w:p>
            <w:pPr>
              <w:spacing w:after="0"/>
              <w:rPr>
                <w:sz w:val="19"/>
                <w:szCs w:val="19"/>
                <w:color w:val="auto"/>
              </w:rPr>
            </w:pPr>
          </w:p>
        </w:tc>
      </w:tr>
      <w:tr>
        <w:trPr>
          <w:trHeight w:val="366"/>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520" w:type="dxa"/>
            <w:vAlign w:val="bottom"/>
            <w:gridSpan w:val="10"/>
          </w:tcPr>
          <w:p>
            <w:pPr>
              <w:jc w:val="center"/>
              <w:ind w:right="1980"/>
              <w:spacing w:after="0"/>
              <w:rPr>
                <w:sz w:val="20"/>
                <w:szCs w:val="20"/>
                <w:color w:val="auto"/>
              </w:rPr>
            </w:pPr>
            <w:r>
              <w:rPr>
                <w:rFonts w:ascii="Arial" w:cs="Arial" w:eastAsia="Arial" w:hAnsi="Arial"/>
                <w:sz w:val="18"/>
                <w:szCs w:val="18"/>
                <w:b w:val="1"/>
                <w:bCs w:val="1"/>
                <w:color w:val="auto"/>
                <w:w w:val="97"/>
              </w:rPr>
              <w:t>QUARTERLY REPORT ON FORM 10-Q</w:t>
            </w:r>
          </w:p>
        </w:tc>
        <w:tc>
          <w:tcPr>
            <w:tcW w:w="1960" w:type="dxa"/>
            <w:vAlign w:val="bottom"/>
          </w:tcPr>
          <w:p>
            <w:pPr>
              <w:spacing w:after="0"/>
              <w:rPr>
                <w:sz w:val="24"/>
                <w:szCs w:val="24"/>
                <w:color w:val="auto"/>
              </w:rPr>
            </w:pPr>
          </w:p>
        </w:tc>
      </w:tr>
      <w:tr>
        <w:trPr>
          <w:trHeight w:val="228"/>
        </w:trPr>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40" w:type="dxa"/>
            <w:vAlign w:val="bottom"/>
            <w:gridSpan w:val="9"/>
          </w:tcPr>
          <w:p>
            <w:pPr>
              <w:jc w:val="center"/>
              <w:ind w:right="2260"/>
              <w:spacing w:after="0"/>
              <w:rPr>
                <w:sz w:val="20"/>
                <w:szCs w:val="20"/>
                <w:color w:val="auto"/>
              </w:rPr>
            </w:pPr>
            <w:r>
              <w:rPr>
                <w:rFonts w:ascii="Arial" w:cs="Arial" w:eastAsia="Arial" w:hAnsi="Arial"/>
                <w:sz w:val="18"/>
                <w:szCs w:val="18"/>
                <w:b w:val="1"/>
                <w:bCs w:val="1"/>
                <w:color w:val="auto"/>
                <w:w w:val="94"/>
              </w:rPr>
              <w:t>QUARTER ENDED JUNE 30, 2009</w:t>
            </w:r>
          </w:p>
        </w:tc>
        <w:tc>
          <w:tcPr>
            <w:tcW w:w="1960" w:type="dxa"/>
            <w:vAlign w:val="bottom"/>
          </w:tcPr>
          <w:p>
            <w:pPr>
              <w:spacing w:after="0"/>
              <w:rPr>
                <w:sz w:val="19"/>
                <w:szCs w:val="19"/>
                <w:color w:val="auto"/>
              </w:rPr>
            </w:pPr>
          </w:p>
        </w:tc>
      </w:tr>
      <w:tr>
        <w:trPr>
          <w:trHeight w:val="378"/>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700" w:type="dxa"/>
            <w:vAlign w:val="bottom"/>
            <w:gridSpan w:val="8"/>
          </w:tcPr>
          <w:p>
            <w:pPr>
              <w:jc w:val="center"/>
              <w:ind w:right="2780"/>
              <w:spacing w:after="0"/>
              <w:rPr>
                <w:sz w:val="20"/>
                <w:szCs w:val="20"/>
                <w:color w:val="auto"/>
              </w:rPr>
            </w:pPr>
            <w:r>
              <w:rPr>
                <w:rFonts w:ascii="Arial" w:cs="Arial" w:eastAsia="Arial" w:hAnsi="Arial"/>
                <w:sz w:val="18"/>
                <w:szCs w:val="18"/>
                <w:b w:val="1"/>
                <w:bCs w:val="1"/>
                <w:color w:val="auto"/>
                <w:w w:val="96"/>
              </w:rPr>
              <w:t>TABLE OF CONTENTS</w:t>
            </w:r>
          </w:p>
        </w:tc>
        <w:tc>
          <w:tcPr>
            <w:tcW w:w="1960" w:type="dxa"/>
            <w:vAlign w:val="bottom"/>
          </w:tcPr>
          <w:p>
            <w:pPr>
              <w:spacing w:after="0"/>
              <w:rPr>
                <w:sz w:val="24"/>
                <w:szCs w:val="24"/>
                <w:color w:val="auto"/>
              </w:rPr>
            </w:pPr>
          </w:p>
        </w:tc>
      </w:tr>
      <w:tr>
        <w:trPr>
          <w:trHeight w:val="380"/>
        </w:trPr>
        <w:tc>
          <w:tcPr>
            <w:tcW w:w="2840" w:type="dxa"/>
            <w:vAlign w:val="bottom"/>
            <w:tcBorders>
              <w:bottom w:val="single" w:sz="8" w:color="0000EE"/>
            </w:tcBorders>
            <w:gridSpan w:val="12"/>
          </w:tcPr>
          <w:p>
            <w:pPr>
              <w:spacing w:after="0"/>
              <w:rPr>
                <w:rFonts w:ascii="Arial" w:cs="Arial" w:eastAsia="Arial" w:hAnsi="Arial"/>
                <w:sz w:val="18"/>
                <w:szCs w:val="18"/>
                <w:color w:val="0000EE"/>
                <w:w w:val="96"/>
              </w:rPr>
            </w:pPr>
            <w:hyperlink w:anchor="page3">
              <w:r>
                <w:rPr>
                  <w:rFonts w:ascii="Arial" w:cs="Arial" w:eastAsia="Arial" w:hAnsi="Arial"/>
                  <w:sz w:val="18"/>
                  <w:szCs w:val="18"/>
                  <w:color w:val="0000EE"/>
                  <w:w w:val="96"/>
                </w:rPr>
                <w:t>PART I. FINANCIAL INFORMATION</w:t>
              </w:r>
            </w:hyperlink>
          </w:p>
        </w:tc>
        <w:tc>
          <w:tcPr>
            <w:tcW w:w="6620" w:type="dxa"/>
            <w:vAlign w:val="bottom"/>
            <w:gridSpan w:val="11"/>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202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3">
              <w:r>
                <w:rPr>
                  <w:rFonts w:ascii="Arial" w:cs="Arial" w:eastAsia="Arial" w:hAnsi="Arial"/>
                  <w:sz w:val="18"/>
                  <w:szCs w:val="18"/>
                  <w:color w:val="0000EE"/>
                  <w:w w:val="87"/>
                </w:rPr>
                <w:t>Item 1. Financial Statements</w:t>
              </w:r>
            </w:hyperlink>
          </w:p>
        </w:tc>
        <w:tc>
          <w:tcPr>
            <w:tcW w:w="7440" w:type="dxa"/>
            <w:vAlign w:val="bottom"/>
            <w:gridSpan w:val="15"/>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440" w:type="dxa"/>
            <w:vAlign w:val="bottom"/>
          </w:tcPr>
          <w:p>
            <w:pPr>
              <w:spacing w:after="0"/>
              <w:rPr>
                <w:sz w:val="17"/>
                <w:szCs w:val="17"/>
                <w:color w:val="auto"/>
              </w:rPr>
            </w:pPr>
          </w:p>
        </w:tc>
        <w:tc>
          <w:tcPr>
            <w:tcW w:w="6020" w:type="dxa"/>
            <w:vAlign w:val="bottom"/>
            <w:tcBorders>
              <w:bottom w:val="single" w:sz="8" w:color="0000EE"/>
            </w:tcBorders>
            <w:gridSpan w:val="16"/>
          </w:tcPr>
          <w:p>
            <w:pPr>
              <w:spacing w:after="0" w:line="196" w:lineRule="exact"/>
              <w:rPr>
                <w:rFonts w:ascii="Arial" w:cs="Arial" w:eastAsia="Arial" w:hAnsi="Arial"/>
                <w:sz w:val="18"/>
                <w:szCs w:val="18"/>
                <w:color w:val="0000EE"/>
                <w:w w:val="86"/>
              </w:rPr>
            </w:pPr>
            <w:hyperlink w:anchor="page4">
              <w:r>
                <w:rPr>
                  <w:rFonts w:ascii="Arial" w:cs="Arial" w:eastAsia="Arial" w:hAnsi="Arial"/>
                  <w:sz w:val="18"/>
                  <w:szCs w:val="18"/>
                  <w:color w:val="0000EE"/>
                  <w:w w:val="86"/>
                </w:rPr>
                <w:t>Consolidated Balance Sheets as of June 30, 2009 (unaudited) and December 31, 2008</w:t>
              </w:r>
            </w:hyperlink>
          </w:p>
        </w:tc>
        <w:tc>
          <w:tcPr>
            <w:tcW w:w="3000" w:type="dxa"/>
            <w:vAlign w:val="bottom"/>
            <w:gridSpan w:val="6"/>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440" w:type="dxa"/>
            <w:vAlign w:val="bottom"/>
          </w:tcPr>
          <w:p>
            <w:pPr>
              <w:spacing w:after="0"/>
              <w:rPr>
                <w:sz w:val="17"/>
                <w:szCs w:val="17"/>
                <w:color w:val="auto"/>
              </w:rPr>
            </w:pPr>
          </w:p>
        </w:tc>
        <w:tc>
          <w:tcPr>
            <w:tcW w:w="9020" w:type="dxa"/>
            <w:vAlign w:val="bottom"/>
            <w:gridSpan w:val="22"/>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Statements of Operations (unaudited) for the three months ended June 30, 2009 and 2008</w:t>
              </w:r>
            </w:hyperlink>
          </w:p>
        </w:tc>
        <w:tc>
          <w:tcPr>
            <w:tcW w:w="19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440" w:type="dxa"/>
            <w:vAlign w:val="bottom"/>
          </w:tcPr>
          <w:p>
            <w:pPr>
              <w:spacing w:after="0"/>
              <w:rPr>
                <w:sz w:val="17"/>
                <w:szCs w:val="17"/>
                <w:color w:val="auto"/>
              </w:rPr>
            </w:pPr>
          </w:p>
        </w:tc>
        <w:tc>
          <w:tcPr>
            <w:tcW w:w="710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Consolidated Statements of Operations (unaudited) for the six months ended June 30, 2009 and 2008</w:t>
              </w:r>
            </w:hyperlink>
          </w:p>
        </w:tc>
        <w:tc>
          <w:tcPr>
            <w:tcW w:w="140" w:type="dxa"/>
            <w:vAlign w:val="bottom"/>
            <w:tcBorders>
              <w:top w:val="single" w:sz="8" w:color="0000EE"/>
            </w:tcBorders>
            <w:gridSpan w:val="2"/>
          </w:tcPr>
          <w:p>
            <w:pPr>
              <w:spacing w:after="0"/>
              <w:rPr>
                <w:sz w:val="17"/>
                <w:szCs w:val="17"/>
                <w:color w:val="auto"/>
              </w:rPr>
            </w:pPr>
          </w:p>
        </w:tc>
        <w:tc>
          <w:tcPr>
            <w:tcW w:w="1780" w:type="dxa"/>
            <w:vAlign w:val="bottom"/>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440" w:type="dxa"/>
            <w:vAlign w:val="bottom"/>
          </w:tcPr>
          <w:p>
            <w:pPr>
              <w:spacing w:after="0"/>
              <w:rPr>
                <w:sz w:val="17"/>
                <w:szCs w:val="17"/>
                <w:color w:val="auto"/>
              </w:rPr>
            </w:pPr>
          </w:p>
        </w:tc>
        <w:tc>
          <w:tcPr>
            <w:tcW w:w="7060" w:type="dxa"/>
            <w:vAlign w:val="bottom"/>
            <w:tcBorders>
              <w:bottom w:val="single" w:sz="8" w:color="0000EE"/>
            </w:tcBorders>
            <w:gridSpan w:val="18"/>
          </w:tcPr>
          <w:p>
            <w:pPr>
              <w:spacing w:after="0" w:line="19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Consolidated Statement of Shareholders’ Equity (unaudited) for the six months ended June 30, 2009</w:t>
              </w:r>
            </w:hyperlink>
          </w:p>
        </w:tc>
        <w:tc>
          <w:tcPr>
            <w:tcW w:w="1960" w:type="dxa"/>
            <w:vAlign w:val="bottom"/>
            <w:gridSpan w:val="4"/>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440" w:type="dxa"/>
            <w:vAlign w:val="bottom"/>
          </w:tcPr>
          <w:p>
            <w:pPr>
              <w:spacing w:after="0"/>
              <w:rPr>
                <w:sz w:val="17"/>
                <w:szCs w:val="17"/>
                <w:color w:val="auto"/>
              </w:rPr>
            </w:pPr>
          </w:p>
        </w:tc>
        <w:tc>
          <w:tcPr>
            <w:tcW w:w="9020" w:type="dxa"/>
            <w:vAlign w:val="bottom"/>
            <w:gridSpan w:val="22"/>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Consolidated Statements of Cash Flows (unaudited) for the six months ended June 30, 2009 and 2008</w:t>
              </w:r>
            </w:hyperlink>
          </w:p>
        </w:tc>
        <w:tc>
          <w:tcPr>
            <w:tcW w:w="196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20"/>
        </w:trPr>
        <w:tc>
          <w:tcPr>
            <w:tcW w:w="460" w:type="dxa"/>
            <w:vAlign w:val="bottom"/>
            <w:gridSpan w:val="2"/>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96"/>
        </w:trPr>
        <w:tc>
          <w:tcPr>
            <w:tcW w:w="3940" w:type="dxa"/>
            <w:vAlign w:val="bottom"/>
            <w:tcBorders>
              <w:bottom w:val="single" w:sz="8" w:color="0000EE"/>
            </w:tcBorders>
            <w:gridSpan w:val="13"/>
          </w:tcPr>
          <w:p>
            <w:pPr>
              <w:spacing w:after="0" w:line="196" w:lineRule="exact"/>
              <w:rPr>
                <w:rFonts w:ascii="Arial" w:cs="Arial" w:eastAsia="Arial" w:hAnsi="Arial"/>
                <w:sz w:val="18"/>
                <w:szCs w:val="18"/>
                <w:color w:val="0000EE"/>
                <w:w w:val="87"/>
              </w:rPr>
            </w:pPr>
            <w:hyperlink w:anchor="page9">
              <w:r>
                <w:rPr>
                  <w:rFonts w:ascii="Arial" w:cs="Arial" w:eastAsia="Arial" w:hAnsi="Arial"/>
                  <w:sz w:val="18"/>
                  <w:szCs w:val="18"/>
                  <w:color w:val="0000EE"/>
                  <w:w w:val="87"/>
                </w:rPr>
                <w:t>Notes to Consolidated Financial Statements (unaudited)</w:t>
              </w:r>
            </w:hyperlink>
          </w:p>
        </w:tc>
        <w:tc>
          <w:tcPr>
            <w:tcW w:w="5520" w:type="dxa"/>
            <w:vAlign w:val="bottom"/>
            <w:gridSpan w:val="10"/>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9460" w:type="dxa"/>
            <w:vAlign w:val="bottom"/>
            <w:gridSpan w:val="23"/>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Item 2. Management’s Discussion and Analysis of Financial Condition and Results of Operations</w:t>
              </w:r>
            </w:hyperlink>
          </w:p>
        </w:tc>
        <w:tc>
          <w:tcPr>
            <w:tcW w:w="196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476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89"/>
              </w:rPr>
            </w:pPr>
            <w:hyperlink w:anchor="page32">
              <w:r>
                <w:rPr>
                  <w:rFonts w:ascii="Arial" w:cs="Arial" w:eastAsia="Arial" w:hAnsi="Arial"/>
                  <w:sz w:val="18"/>
                  <w:szCs w:val="18"/>
                  <w:color w:val="0000EE"/>
                  <w:w w:val="89"/>
                </w:rPr>
                <w:t>Item 3. Quantitative and Qualitative Disclosures about Market Risk</w:t>
              </w:r>
            </w:hyperlink>
          </w:p>
        </w:tc>
        <w:tc>
          <w:tcPr>
            <w:tcW w:w="2080" w:type="dxa"/>
            <w:vAlign w:val="bottom"/>
            <w:tcBorders>
              <w:top w:val="single" w:sz="8" w:color="0000EE"/>
            </w:tcBorders>
            <w:gridSpan w:val="3"/>
          </w:tcPr>
          <w:p>
            <w:pPr>
              <w:spacing w:after="0"/>
              <w:rPr>
                <w:sz w:val="17"/>
                <w:szCs w:val="17"/>
                <w:color w:val="auto"/>
              </w:rPr>
            </w:pPr>
          </w:p>
        </w:tc>
        <w:tc>
          <w:tcPr>
            <w:tcW w:w="2620" w:type="dxa"/>
            <w:vAlign w:val="bottom"/>
            <w:gridSpan w:val="5"/>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2280" w:type="dxa"/>
            <w:vAlign w:val="bottom"/>
            <w:tcBorders>
              <w:bottom w:val="single" w:sz="8" w:color="0000EE"/>
            </w:tcBorders>
            <w:gridSpan w:val="9"/>
          </w:tcPr>
          <w:p>
            <w:pPr>
              <w:spacing w:after="0" w:line="196" w:lineRule="exact"/>
              <w:rPr>
                <w:rFonts w:ascii="Arial" w:cs="Arial" w:eastAsia="Arial" w:hAnsi="Arial"/>
                <w:sz w:val="18"/>
                <w:szCs w:val="18"/>
                <w:color w:val="0000EE"/>
                <w:w w:val="87"/>
              </w:rPr>
            </w:pPr>
            <w:hyperlink w:anchor="page33">
              <w:r>
                <w:rPr>
                  <w:rFonts w:ascii="Arial" w:cs="Arial" w:eastAsia="Arial" w:hAnsi="Arial"/>
                  <w:sz w:val="18"/>
                  <w:szCs w:val="18"/>
                  <w:color w:val="0000EE"/>
                  <w:w w:val="87"/>
                </w:rPr>
                <w:t>Item 4. Controls and Procedures</w:t>
              </w:r>
            </w:hyperlink>
          </w:p>
        </w:tc>
        <w:tc>
          <w:tcPr>
            <w:tcW w:w="7180" w:type="dxa"/>
            <w:vAlign w:val="bottom"/>
            <w:gridSpan w:val="14"/>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304"/>
        </w:trPr>
        <w:tc>
          <w:tcPr>
            <w:tcW w:w="2520" w:type="dxa"/>
            <w:vAlign w:val="bottom"/>
            <w:tcBorders>
              <w:bottom w:val="single" w:sz="8" w:color="0000EE"/>
            </w:tcBorders>
            <w:gridSpan w:val="10"/>
          </w:tcPr>
          <w:p>
            <w:pPr>
              <w:spacing w:after="0"/>
              <w:rPr>
                <w:rFonts w:ascii="Arial" w:cs="Arial" w:eastAsia="Arial" w:hAnsi="Arial"/>
                <w:sz w:val="18"/>
                <w:szCs w:val="18"/>
                <w:color w:val="0000EE"/>
                <w:w w:val="93"/>
              </w:rPr>
            </w:pPr>
            <w:hyperlink w:anchor="page33">
              <w:r>
                <w:rPr>
                  <w:rFonts w:ascii="Arial" w:cs="Arial" w:eastAsia="Arial" w:hAnsi="Arial"/>
                  <w:sz w:val="18"/>
                  <w:szCs w:val="18"/>
                  <w:color w:val="0000EE"/>
                  <w:w w:val="93"/>
                </w:rPr>
                <w:t>PART II. OTHER INFORMATION</w:t>
              </w:r>
            </w:hyperlink>
          </w:p>
        </w:tc>
        <w:tc>
          <w:tcPr>
            <w:tcW w:w="6940" w:type="dxa"/>
            <w:vAlign w:val="bottom"/>
            <w:gridSpan w:val="13"/>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196"/>
        </w:trPr>
        <w:tc>
          <w:tcPr>
            <w:tcW w:w="186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33">
              <w:r>
                <w:rPr>
                  <w:rFonts w:ascii="Arial" w:cs="Arial" w:eastAsia="Arial" w:hAnsi="Arial"/>
                  <w:sz w:val="18"/>
                  <w:szCs w:val="18"/>
                  <w:color w:val="0000EE"/>
                  <w:w w:val="87"/>
                </w:rPr>
                <w:t>Item 1. Legal Proceedings</w:t>
              </w:r>
            </w:hyperlink>
          </w:p>
        </w:tc>
        <w:tc>
          <w:tcPr>
            <w:tcW w:w="7600" w:type="dxa"/>
            <w:vAlign w:val="bottom"/>
            <w:gridSpan w:val="16"/>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156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Item 1A. Risk Factors</w:t>
              </w:r>
            </w:hyperlink>
          </w:p>
        </w:tc>
        <w:tc>
          <w:tcPr>
            <w:tcW w:w="7900" w:type="dxa"/>
            <w:vAlign w:val="bottom"/>
            <w:gridSpan w:val="18"/>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4800" w:type="dxa"/>
            <w:vAlign w:val="bottom"/>
            <w:tcBorders>
              <w:bottom w:val="single" w:sz="8" w:color="0000EE"/>
            </w:tcBorders>
            <w:gridSpan w:val="16"/>
          </w:tcPr>
          <w:p>
            <w:pPr>
              <w:spacing w:after="0" w:line="196" w:lineRule="exact"/>
              <w:rPr>
                <w:rFonts w:ascii="Arial" w:cs="Arial" w:eastAsia="Arial" w:hAnsi="Arial"/>
                <w:sz w:val="18"/>
                <w:szCs w:val="18"/>
                <w:color w:val="0000EE"/>
                <w:w w:val="87"/>
              </w:rPr>
            </w:pPr>
            <w:hyperlink w:anchor="page34">
              <w:r>
                <w:rPr>
                  <w:rFonts w:ascii="Arial" w:cs="Arial" w:eastAsia="Arial" w:hAnsi="Arial"/>
                  <w:sz w:val="18"/>
                  <w:szCs w:val="18"/>
                  <w:color w:val="0000EE"/>
                  <w:w w:val="87"/>
                </w:rPr>
                <w:t>Item 2. Unregistered Sales of Equity Securities and Use of Proceeds</w:t>
              </w:r>
            </w:hyperlink>
          </w:p>
        </w:tc>
        <w:tc>
          <w:tcPr>
            <w:tcW w:w="4660" w:type="dxa"/>
            <w:vAlign w:val="bottom"/>
            <w:gridSpan w:val="7"/>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282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34">
              <w:r>
                <w:rPr>
                  <w:rFonts w:ascii="Arial" w:cs="Arial" w:eastAsia="Arial" w:hAnsi="Arial"/>
                  <w:sz w:val="18"/>
                  <w:szCs w:val="18"/>
                  <w:color w:val="0000EE"/>
                  <w:w w:val="88"/>
                </w:rPr>
                <w:t>Item 3. Defaults Upon Senior Securities</w:t>
              </w:r>
            </w:hyperlink>
          </w:p>
        </w:tc>
        <w:tc>
          <w:tcPr>
            <w:tcW w:w="6640" w:type="dxa"/>
            <w:vAlign w:val="bottom"/>
            <w:gridSpan w:val="12"/>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9460" w:type="dxa"/>
            <w:vAlign w:val="bottom"/>
            <w:gridSpan w:val="23"/>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Item 4. Submission of Matters to a Vote of Security Holders</w:t>
              </w:r>
            </w:hyperlink>
          </w:p>
        </w:tc>
        <w:tc>
          <w:tcPr>
            <w:tcW w:w="196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18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w:anchor="page35">
              <w:r>
                <w:rPr>
                  <w:rFonts w:ascii="Arial" w:cs="Arial" w:eastAsia="Arial" w:hAnsi="Arial"/>
                  <w:sz w:val="18"/>
                  <w:szCs w:val="18"/>
                  <w:color w:val="0000EE"/>
                  <w:w w:val="90"/>
                </w:rPr>
                <w:t>Item 5. Other Information</w:t>
              </w:r>
            </w:hyperlink>
          </w:p>
        </w:tc>
        <w:tc>
          <w:tcPr>
            <w:tcW w:w="2380" w:type="dxa"/>
            <w:vAlign w:val="bottom"/>
            <w:tcBorders>
              <w:top w:val="single" w:sz="8" w:color="0000EE"/>
            </w:tcBorders>
            <w:gridSpan w:val="8"/>
          </w:tcPr>
          <w:p>
            <w:pPr>
              <w:spacing w:after="0"/>
              <w:rPr>
                <w:sz w:val="17"/>
                <w:szCs w:val="17"/>
                <w:color w:val="auto"/>
              </w:rPr>
            </w:pPr>
          </w:p>
        </w:tc>
        <w:tc>
          <w:tcPr>
            <w:tcW w:w="5240" w:type="dxa"/>
            <w:vAlign w:val="bottom"/>
            <w:gridSpan w:val="9"/>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114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35">
              <w:r>
                <w:rPr>
                  <w:rFonts w:ascii="Arial" w:cs="Arial" w:eastAsia="Arial" w:hAnsi="Arial"/>
                  <w:sz w:val="18"/>
                  <w:szCs w:val="18"/>
                  <w:color w:val="0000EE"/>
                  <w:w w:val="90"/>
                </w:rPr>
                <w:t>Item 6. Exhibits</w:t>
              </w:r>
            </w:hyperlink>
          </w:p>
        </w:tc>
        <w:tc>
          <w:tcPr>
            <w:tcW w:w="8320" w:type="dxa"/>
            <w:vAlign w:val="bottom"/>
            <w:gridSpan w:val="19"/>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304"/>
        </w:trPr>
        <w:tc>
          <w:tcPr>
            <w:tcW w:w="9460" w:type="dxa"/>
            <w:vAlign w:val="bottom"/>
            <w:gridSpan w:val="23"/>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SIGNATURES</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83"/>
        </w:trPr>
        <w:tc>
          <w:tcPr>
            <w:tcW w:w="1080" w:type="dxa"/>
            <w:vAlign w:val="bottom"/>
            <w:tcBorders>
              <w:top w:val="single" w:sz="8" w:color="0000EE"/>
            </w:tcBorders>
            <w:gridSpan w:val="3"/>
          </w:tcPr>
          <w:p>
            <w:pPr>
              <w:spacing w:after="0"/>
              <w:rPr>
                <w:sz w:val="24"/>
                <w:szCs w:val="24"/>
                <w:color w:val="auto"/>
              </w:rPr>
            </w:pPr>
          </w:p>
        </w:tc>
        <w:tc>
          <w:tcPr>
            <w:tcW w:w="5380" w:type="dxa"/>
            <w:vAlign w:val="bottom"/>
            <w:gridSpan w:val="14"/>
          </w:tcPr>
          <w:p>
            <w:pPr>
              <w:jc w:val="center"/>
              <w:ind w:left="3812"/>
              <w:spacing w:after="0"/>
              <w:rPr>
                <w:sz w:val="20"/>
                <w:szCs w:val="20"/>
                <w:color w:val="auto"/>
              </w:rPr>
            </w:pPr>
            <w:r>
              <w:rPr>
                <w:rFonts w:ascii="Arial" w:cs="Arial" w:eastAsia="Arial" w:hAnsi="Arial"/>
                <w:sz w:val="18"/>
                <w:szCs w:val="18"/>
                <w:color w:val="auto"/>
                <w:w w:val="79"/>
              </w:rPr>
              <w:t>2</w:t>
            </w: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9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I—FINANCIAL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following balance sheet as of December 31, 2008, which has been derived from audited financial statements, and the unaudited interim financial statements have been prepared pursuant to the rules and regulations of the Securities and Exchange Commission. Certain information and note disclosures normally included in annual financial statements prepared in accordance with generally accepted accounting principles (GAAP) have been omitted pursuant to those rules and regulations, although the company believes that the disclosures made are adequate to make the information not misleading. It is suggested that these financial statements be read in conjunction with the financial statements and notes thereto included in the company’s latest Annual Report on Form 10-K (as amended). In the opinion of management, all adjustments (consisting of normal, recurring adjustments) necessary for a fair presentation for the periods presented have been included. The results of operations for the three and six months ended June 30, 2009 are not necessarily indicative of the results that may be expected for the full year.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304"/>
              <w:spacing w:after="0"/>
              <w:rPr>
                <w:sz w:val="20"/>
                <w:szCs w:val="20"/>
                <w:color w:val="auto"/>
              </w:rPr>
            </w:pPr>
            <w:r>
              <w:rPr>
                <w:rFonts w:ascii="Arial" w:cs="Arial" w:eastAsia="Arial" w:hAnsi="Arial"/>
                <w:sz w:val="14"/>
                <w:szCs w:val="14"/>
                <w:b w:val="1"/>
                <w:bCs w:val="1"/>
                <w:color w:val="auto"/>
                <w:w w:val="85"/>
              </w:rPr>
              <w:t>June 30,</w:t>
            </w:r>
          </w:p>
        </w:tc>
        <w:tc>
          <w:tcPr>
            <w:tcW w:w="180" w:type="dxa"/>
            <w:vAlign w:val="bottom"/>
          </w:tcPr>
          <w:p>
            <w:pPr>
              <w:spacing w:after="0"/>
              <w:rPr>
                <w:sz w:val="14"/>
                <w:szCs w:val="14"/>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2009</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9"/>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77"/>
              </w:rPr>
              <w:t>(In thousands,</w:t>
            </w:r>
          </w:p>
        </w:tc>
        <w:tc>
          <w:tcPr>
            <w:tcW w:w="420" w:type="dxa"/>
            <w:vAlign w:val="bottom"/>
            <w:gridSpan w:val="2"/>
          </w:tcPr>
          <w:p>
            <w:pPr>
              <w:ind w:left="140"/>
              <w:spacing w:after="0"/>
              <w:rPr>
                <w:sz w:val="20"/>
                <w:szCs w:val="20"/>
                <w:color w:val="auto"/>
              </w:rPr>
            </w:pPr>
            <w:r>
              <w:rPr>
                <w:rFonts w:ascii="Arial" w:cs="Arial" w:eastAsia="Arial" w:hAnsi="Arial"/>
                <w:sz w:val="11"/>
                <w:szCs w:val="11"/>
                <w:b w:val="1"/>
                <w:bCs w:val="1"/>
                <w:color w:val="auto"/>
                <w:w w:val="74"/>
              </w:rPr>
              <w:t>except</w:t>
            </w:r>
          </w:p>
        </w:tc>
        <w:tc>
          <w:tcPr>
            <w:tcW w:w="9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share data)</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1100" w:type="dxa"/>
            <w:vAlign w:val="bottom"/>
            <w:gridSpan w:val="3"/>
          </w:tcPr>
          <w:p>
            <w:pPr>
              <w:jc w:val="center"/>
              <w:ind w:right="184"/>
              <w:spacing w:after="0"/>
              <w:rPr>
                <w:sz w:val="20"/>
                <w:szCs w:val="20"/>
                <w:color w:val="auto"/>
              </w:rPr>
            </w:pPr>
            <w:r>
              <w:rPr>
                <w:rFonts w:ascii="Arial" w:cs="Arial" w:eastAsia="Arial" w:hAnsi="Arial"/>
                <w:sz w:val="14"/>
                <w:szCs w:val="14"/>
                <w:b w:val="1"/>
                <w:bCs w:val="1"/>
                <w:color w:val="auto"/>
                <w:w w:val="89"/>
              </w:rPr>
              <w:t>(Unaudited)</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Real estate, at cost</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Operating</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3,576,472</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3,567,035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rPr>
              <w:t>Construction-in-progress</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131,506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3,707,978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3,673,685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rPr>
              <w:t>Less accumulated depreciation and amortization</w:t>
            </w:r>
          </w:p>
        </w:tc>
        <w:tc>
          <w:tcPr>
            <w:tcW w:w="100" w:type="dxa"/>
            <w:vAlign w:val="bottom"/>
          </w:tcPr>
          <w:p>
            <w:pPr>
              <w:spacing w:after="0"/>
              <w:rPr>
                <w:sz w:val="19"/>
                <w:szCs w:val="19"/>
                <w:color w:val="auto"/>
              </w:rPr>
            </w:pPr>
          </w:p>
        </w:tc>
        <w:tc>
          <w:tcPr>
            <w:tcW w:w="1000" w:type="dxa"/>
            <w:vAlign w:val="bottom"/>
            <w:gridSpan w:val="2"/>
          </w:tcPr>
          <w:p>
            <w:pPr>
              <w:jc w:val="right"/>
              <w:ind w:right="124"/>
              <w:spacing w:after="0"/>
              <w:rPr>
                <w:sz w:val="20"/>
                <w:szCs w:val="20"/>
                <w:color w:val="auto"/>
              </w:rPr>
            </w:pPr>
            <w:r>
              <w:rPr>
                <w:rFonts w:ascii="Arial" w:cs="Arial" w:eastAsia="Arial" w:hAnsi="Arial"/>
                <w:sz w:val="18"/>
                <w:szCs w:val="18"/>
                <w:color w:val="auto"/>
              </w:rPr>
              <w:t>(889,316)</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(846,258)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real estate</w:t>
            </w: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2,818,662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2,827,427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170,059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and notes receivable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68,726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Mortgage notes receivable</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48,464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45,780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in real estate partnership</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28,801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87,174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95,344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Debt issuance costs, net of accumulated amortization of $7,020 and $6,484, respectively</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1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3,234,956</w:t>
            </w:r>
          </w:p>
        </w:tc>
        <w:tc>
          <w:tcPr>
            <w:tcW w:w="24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3,092,776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9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SHAREHOLDERS’ EQUITY</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Liabilities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Mortgages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544,397</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rPr>
              <w:t>Capital lease obligations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62,894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63,492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Notes payable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383,828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rPr>
              <w:t>Senior notes and debentures</w:t>
            </w:r>
          </w:p>
        </w:tc>
        <w:tc>
          <w:tcPr>
            <w:tcW w:w="100" w:type="dxa"/>
            <w:vAlign w:val="bottom"/>
          </w:tcPr>
          <w:p>
            <w:pPr>
              <w:spacing w:after="0"/>
              <w:rPr>
                <w:sz w:val="18"/>
                <w:szCs w:val="18"/>
                <w:color w:val="auto"/>
              </w:rPr>
            </w:pPr>
          </w:p>
        </w:tc>
        <w:tc>
          <w:tcPr>
            <w:tcW w:w="1000" w:type="dxa"/>
            <w:vAlign w:val="bottom"/>
            <w:gridSpan w:val="2"/>
          </w:tcPr>
          <w:p>
            <w:pPr>
              <w:jc w:val="right"/>
              <w:ind w:right="184"/>
              <w:spacing w:after="0"/>
              <w:rPr>
                <w:sz w:val="20"/>
                <w:szCs w:val="20"/>
                <w:color w:val="auto"/>
              </w:rPr>
            </w:pPr>
            <w:r>
              <w:rPr>
                <w:rFonts w:ascii="Arial" w:cs="Arial" w:eastAsia="Arial" w:hAnsi="Arial"/>
                <w:sz w:val="18"/>
                <w:szCs w:val="18"/>
                <w:color w:val="auto"/>
              </w:rPr>
              <w:t>905,114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956,584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109,820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rPr>
              <w:t>Dividends payable</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38,829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38,719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Security deposits payable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4"/>
              <w:spacing w:after="0"/>
              <w:rPr>
                <w:sz w:val="20"/>
                <w:szCs w:val="20"/>
                <w:color w:val="auto"/>
              </w:rPr>
            </w:pPr>
            <w:r>
              <w:rPr>
                <w:rFonts w:ascii="Arial" w:cs="Arial" w:eastAsia="Arial" w:hAnsi="Arial"/>
                <w:sz w:val="18"/>
                <w:szCs w:val="18"/>
                <w:color w:val="auto"/>
              </w:rPr>
              <w:t>11,344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rPr>
              <w:t>Other liabilities and deferred credits</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64,001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2,120,227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1,945,822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Commitments and contingencies (Note F)</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Shareholders’ equity</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w w:val="94"/>
              </w:rPr>
              <w:t>Preferred shares, authorized 15,000,000 shares, $.01 par: 5.417% Series 1 Cumulative Convertible Preferred</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1060"/>
              <w:spacing w:after="0"/>
              <w:rPr>
                <w:sz w:val="20"/>
                <w:szCs w:val="20"/>
                <w:color w:val="auto"/>
              </w:rPr>
            </w:pPr>
            <w:r>
              <w:rPr>
                <w:rFonts w:ascii="Arial" w:cs="Arial" w:eastAsia="Arial" w:hAnsi="Arial"/>
                <w:sz w:val="18"/>
                <w:szCs w:val="18"/>
                <w:color w:val="auto"/>
              </w:rPr>
              <w:t>Shares, (stated at liquidation preference $25 per share), 399,896 shares issued and outstanding</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9,997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9,997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5"/>
              </w:rPr>
              <w:t>Common shares of beneficial interest, $.01 par, 100,000,000 shares authorized, 59,156,620 and 58,985,678</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1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shares issued and outstanding, respectively</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000" w:type="dxa"/>
            <w:vAlign w:val="bottom"/>
            <w:gridSpan w:val="2"/>
          </w:tcPr>
          <w:p>
            <w:pPr>
              <w:jc w:val="right"/>
              <w:ind w:right="184"/>
              <w:spacing w:after="0"/>
              <w:rPr>
                <w:sz w:val="20"/>
                <w:szCs w:val="20"/>
                <w:color w:val="auto"/>
              </w:rPr>
            </w:pPr>
            <w:r>
              <w:rPr>
                <w:rFonts w:ascii="Arial" w:cs="Arial" w:eastAsia="Arial" w:hAnsi="Arial"/>
                <w:sz w:val="18"/>
                <w:szCs w:val="18"/>
                <w:color w:val="auto"/>
                <w:w w:val="92"/>
              </w:rPr>
              <w:t>1,537,119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1,530,589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Accumulated dividends in excess of net income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4"/>
              <w:spacing w:after="0"/>
              <w:rPr>
                <w:sz w:val="20"/>
                <w:szCs w:val="20"/>
                <w:color w:val="auto"/>
              </w:rPr>
            </w:pPr>
            <w:r>
              <w:rPr>
                <w:rFonts w:ascii="Arial" w:cs="Arial" w:eastAsia="Arial" w:hAnsi="Arial"/>
                <w:sz w:val="18"/>
                <w:szCs w:val="18"/>
                <w:color w:val="auto"/>
              </w:rPr>
              <w:t>(464,792)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(426,574)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Total shareholders’ equity of the Trust</w:t>
            </w: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1,082,916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1,114,602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Noncontrolling interests</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31,813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Total shareholders’ equity</w:t>
            </w: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1,114,729</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1,146,954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3,234,956</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3,092,776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integral part of these consolidated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Federal Realty Investment Trust</w:t>
      </w:r>
    </w:p>
    <w:p>
      <w:pPr>
        <w:spacing w:after="0" w:line="17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8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ind w:right="42"/>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00" w:type="dxa"/>
            <w:vAlign w:val="bottom"/>
          </w:tcPr>
          <w:p>
            <w:pPr>
              <w:spacing w:after="0"/>
              <w:rPr>
                <w:sz w:val="12"/>
                <w:szCs w:val="12"/>
                <w:color w:val="auto"/>
              </w:rPr>
            </w:pP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3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76"/>
              </w:rPr>
              <w:t>except</w:t>
            </w:r>
          </w:p>
        </w:tc>
        <w:tc>
          <w:tcPr>
            <w:tcW w:w="10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per share data)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Rental income</w:t>
            </w:r>
          </w:p>
        </w:tc>
        <w:tc>
          <w:tcPr>
            <w:tcW w:w="220" w:type="dxa"/>
            <w:vAlign w:val="bottom"/>
          </w:tcPr>
          <w:p>
            <w:pPr>
              <w:jc w:val="right"/>
              <w:ind w:right="35"/>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126,090</w:t>
            </w:r>
          </w:p>
        </w:tc>
        <w:tc>
          <w:tcPr>
            <w:tcW w:w="200" w:type="dxa"/>
            <w:vAlign w:val="bottom"/>
          </w:tcPr>
          <w:p>
            <w:pPr>
              <w:spacing w:after="0"/>
              <w:rPr>
                <w:sz w:val="18"/>
                <w:szCs w:val="18"/>
                <w:color w:val="auto"/>
              </w:rPr>
            </w:pPr>
          </w:p>
        </w:tc>
        <w:tc>
          <w:tcPr>
            <w:tcW w:w="360" w:type="dxa"/>
            <w:vAlign w:val="bottom"/>
            <w:gridSpan w:val="2"/>
          </w:tcPr>
          <w:p>
            <w:pPr>
              <w:jc w:val="right"/>
              <w:ind w:right="42"/>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122,970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property income</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Mortgage interest income</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130,338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128,712</w:t>
            </w:r>
          </w:p>
        </w:tc>
        <w:tc>
          <w:tcPr>
            <w:tcW w:w="0" w:type="dxa"/>
            <w:vAlign w:val="bottom"/>
          </w:tcPr>
          <w:p>
            <w:pPr>
              <w:spacing w:after="0"/>
              <w:rPr>
                <w:sz w:val="1"/>
                <w:szCs w:val="1"/>
                <w:color w:val="auto"/>
              </w:rPr>
            </w:pPr>
          </w:p>
        </w:tc>
      </w:tr>
      <w:tr>
        <w:trPr>
          <w:trHeight w:val="330"/>
        </w:trPr>
        <w:tc>
          <w:tcPr>
            <w:tcW w:w="902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2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Rental expenses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25,080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Real estate taxes</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14,821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Litigation provision</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29,633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74,935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75,197</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0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55,403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Other interest income</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(25,830)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Early extinguishment of senior notes</w:t>
            </w:r>
          </w:p>
        </w:tc>
        <w:tc>
          <w:tcPr>
            <w:tcW w:w="220" w:type="dxa"/>
            <w:vAlign w:val="bottom"/>
          </w:tcPr>
          <w:p>
            <w:pPr>
              <w:spacing w:after="0"/>
              <w:rPr>
                <w:sz w:val="18"/>
                <w:szCs w:val="18"/>
                <w:color w:val="auto"/>
              </w:rPr>
            </w:pPr>
          </w:p>
        </w:tc>
        <w:tc>
          <w:tcPr>
            <w:tcW w:w="940" w:type="dxa"/>
            <w:vAlign w:val="bottom"/>
            <w:gridSpan w:val="2"/>
          </w:tcPr>
          <w:p>
            <w:pPr>
              <w:jc w:val="right"/>
              <w:ind w:right="72"/>
              <w:spacing w:after="0"/>
              <w:rPr>
                <w:sz w:val="20"/>
                <w:szCs w:val="20"/>
                <w:color w:val="auto"/>
              </w:rPr>
            </w:pPr>
            <w:r>
              <w:rPr>
                <w:rFonts w:ascii="Arial" w:cs="Arial" w:eastAsia="Arial" w:hAnsi="Arial"/>
                <w:sz w:val="18"/>
                <w:szCs w:val="18"/>
                <w:color w:val="auto"/>
              </w:rPr>
              <w:t>(982)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real estate partnership</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02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29,250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29,689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Income from discontinued operations</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sale of real estate from discontinued operations</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0" w:type="dxa"/>
            <w:vAlign w:val="bottom"/>
          </w:tcPr>
          <w:p>
            <w:pPr>
              <w:ind w:left="860"/>
              <w:spacing w:after="0"/>
              <w:rPr>
                <w:sz w:val="20"/>
                <w:szCs w:val="20"/>
                <w:color w:val="auto"/>
              </w:rPr>
            </w:pPr>
            <w:r>
              <w:rPr>
                <w:rFonts w:ascii="Arial" w:cs="Arial" w:eastAsia="Arial" w:hAnsi="Arial"/>
                <w:sz w:val="18"/>
                <w:szCs w:val="18"/>
                <w:color w:val="auto"/>
              </w:rPr>
              <w:t>Results from discontinued operations</w:t>
            </w: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29,794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Net income attributable to noncontrolling interests</w:t>
            </w:r>
          </w:p>
        </w:tc>
        <w:tc>
          <w:tcPr>
            <w:tcW w:w="220" w:type="dxa"/>
            <w:vAlign w:val="bottom"/>
          </w:tcPr>
          <w:p>
            <w:pPr>
              <w:spacing w:after="0"/>
              <w:rPr>
                <w:sz w:val="19"/>
                <w:szCs w:val="19"/>
                <w:color w:val="auto"/>
              </w:rPr>
            </w:pPr>
          </w:p>
        </w:tc>
        <w:tc>
          <w:tcPr>
            <w:tcW w:w="940" w:type="dxa"/>
            <w:vAlign w:val="bottom"/>
            <w:gridSpan w:val="2"/>
          </w:tcPr>
          <w:p>
            <w:pPr>
              <w:jc w:val="right"/>
              <w:ind w:right="72"/>
              <w:spacing w:after="0"/>
              <w:rPr>
                <w:sz w:val="20"/>
                <w:szCs w:val="20"/>
                <w:color w:val="auto"/>
              </w:rPr>
            </w:pPr>
            <w:r>
              <w:rPr>
                <w:rFonts w:ascii="Arial" w:cs="Arial" w:eastAsia="Arial" w:hAnsi="Arial"/>
                <w:sz w:val="18"/>
                <w:szCs w:val="18"/>
                <w:color w:val="auto"/>
              </w:rPr>
              <w:t>(1,377)</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THE TRUST</w:t>
            </w: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28,417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Dividends on preferred stock</w:t>
            </w:r>
          </w:p>
        </w:tc>
        <w:tc>
          <w:tcPr>
            <w:tcW w:w="220" w:type="dxa"/>
            <w:vAlign w:val="bottom"/>
          </w:tcPr>
          <w:p>
            <w:pPr>
              <w:spacing w:after="0"/>
              <w:rPr>
                <w:sz w:val="19"/>
                <w:szCs w:val="19"/>
                <w:color w:val="auto"/>
              </w:rPr>
            </w:pPr>
          </w:p>
        </w:tc>
        <w:tc>
          <w:tcPr>
            <w:tcW w:w="940" w:type="dxa"/>
            <w:vAlign w:val="bottom"/>
            <w:gridSpan w:val="2"/>
          </w:tcPr>
          <w:p>
            <w:pPr>
              <w:jc w:val="right"/>
              <w:ind w:right="72"/>
              <w:spacing w:after="0"/>
              <w:rPr>
                <w:sz w:val="20"/>
                <w:szCs w:val="20"/>
                <w:color w:val="auto"/>
              </w:rPr>
            </w:pPr>
            <w:r>
              <w:rPr>
                <w:rFonts w:ascii="Arial" w:cs="Arial" w:eastAsia="Arial" w:hAnsi="Arial"/>
                <w:sz w:val="18"/>
                <w:szCs w:val="18"/>
                <w:color w:val="auto"/>
              </w:rPr>
              <w:t>(135)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COMMON SHAREHOLDERS</w:t>
            </w:r>
          </w:p>
        </w:tc>
        <w:tc>
          <w:tcPr>
            <w:tcW w:w="2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28,282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20" w:type="dxa"/>
            <w:vAlign w:val="bottom"/>
            <w:gridSpan w:val="2"/>
            <w:vMerge w:val="restart"/>
          </w:tcPr>
          <w:p>
            <w:pPr>
              <w:spacing w:after="0"/>
              <w:rPr>
                <w:sz w:val="20"/>
                <w:szCs w:val="20"/>
                <w:color w:val="auto"/>
              </w:rPr>
            </w:pPr>
            <w:r>
              <w:rPr>
                <w:rFonts w:ascii="Arial" w:cs="Arial" w:eastAsia="Arial" w:hAnsi="Arial"/>
                <w:sz w:val="18"/>
                <w:szCs w:val="18"/>
                <w:color w:val="auto"/>
              </w:rPr>
              <w:t>EARNINGS PER COMMON SHARE, BASIC</w:t>
            </w: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Continuing operations</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Discontinued operations</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0"/>
        </w:trPr>
        <w:tc>
          <w:tcPr>
            <w:tcW w:w="9020" w:type="dxa"/>
            <w:vAlign w:val="bottom"/>
            <w:gridSpan w:val="2"/>
            <w:vMerge w:val="restart"/>
          </w:tcPr>
          <w:p>
            <w:pPr>
              <w:spacing w:after="0"/>
              <w:rPr>
                <w:sz w:val="20"/>
                <w:szCs w:val="20"/>
                <w:color w:val="auto"/>
              </w:rPr>
            </w:pPr>
            <w:r>
              <w:rPr>
                <w:rFonts w:ascii="Arial" w:cs="Arial" w:eastAsia="Arial" w:hAnsi="Arial"/>
                <w:sz w:val="18"/>
                <w:szCs w:val="18"/>
                <w:color w:val="auto"/>
              </w:rPr>
              <w:t>EARNINGS PER COMMON SHARE, DILUTED</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902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Continuing operations</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Discontinued operations</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Federal Realty Investment Trust</w:t>
      </w:r>
    </w:p>
    <w:p>
      <w:pPr>
        <w:spacing w:after="0" w:line="17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8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ind w:right="42"/>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00" w:type="dxa"/>
            <w:vAlign w:val="bottom"/>
          </w:tcPr>
          <w:p>
            <w:pPr>
              <w:spacing w:after="0"/>
              <w:rPr>
                <w:sz w:val="12"/>
                <w:szCs w:val="12"/>
                <w:color w:val="auto"/>
              </w:rPr>
            </w:pP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3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76"/>
              </w:rPr>
              <w:t>except</w:t>
            </w:r>
          </w:p>
        </w:tc>
        <w:tc>
          <w:tcPr>
            <w:tcW w:w="10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per share data)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Rental income</w:t>
            </w:r>
          </w:p>
        </w:tc>
        <w:tc>
          <w:tcPr>
            <w:tcW w:w="220" w:type="dxa"/>
            <w:vAlign w:val="bottom"/>
          </w:tcPr>
          <w:p>
            <w:pPr>
              <w:jc w:val="right"/>
              <w:ind w:right="35"/>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253,296</w:t>
            </w:r>
          </w:p>
        </w:tc>
        <w:tc>
          <w:tcPr>
            <w:tcW w:w="200" w:type="dxa"/>
            <w:vAlign w:val="bottom"/>
          </w:tcPr>
          <w:p>
            <w:pPr>
              <w:spacing w:after="0"/>
              <w:rPr>
                <w:sz w:val="18"/>
                <w:szCs w:val="18"/>
                <w:color w:val="auto"/>
              </w:rPr>
            </w:pPr>
          </w:p>
        </w:tc>
        <w:tc>
          <w:tcPr>
            <w:tcW w:w="360" w:type="dxa"/>
            <w:vAlign w:val="bottom"/>
            <w:gridSpan w:val="2"/>
          </w:tcPr>
          <w:p>
            <w:pPr>
              <w:jc w:val="right"/>
              <w:ind w:right="42"/>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244,710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property income</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Mortgage interest income</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261,414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254,954</w:t>
            </w:r>
          </w:p>
        </w:tc>
        <w:tc>
          <w:tcPr>
            <w:tcW w:w="0" w:type="dxa"/>
            <w:vAlign w:val="bottom"/>
          </w:tcPr>
          <w:p>
            <w:pPr>
              <w:spacing w:after="0"/>
              <w:rPr>
                <w:sz w:val="1"/>
                <w:szCs w:val="1"/>
                <w:color w:val="auto"/>
              </w:rPr>
            </w:pPr>
          </w:p>
        </w:tc>
      </w:tr>
      <w:tr>
        <w:trPr>
          <w:trHeight w:val="330"/>
        </w:trPr>
        <w:tc>
          <w:tcPr>
            <w:tcW w:w="902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2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Rental expenses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53,777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Real estate taxes</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28,653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26,440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Litigation provision</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20,757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58,225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171,833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147,120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89,581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Other interest income</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(49,413)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Early extinguishment of senior notes</w:t>
            </w:r>
          </w:p>
        </w:tc>
        <w:tc>
          <w:tcPr>
            <w:tcW w:w="220" w:type="dxa"/>
            <w:vAlign w:val="bottom"/>
          </w:tcPr>
          <w:p>
            <w:pPr>
              <w:spacing w:after="0"/>
              <w:rPr>
                <w:sz w:val="18"/>
                <w:szCs w:val="18"/>
                <w:color w:val="auto"/>
              </w:rPr>
            </w:pPr>
          </w:p>
        </w:tc>
        <w:tc>
          <w:tcPr>
            <w:tcW w:w="940" w:type="dxa"/>
            <w:vAlign w:val="bottom"/>
            <w:gridSpan w:val="2"/>
          </w:tcPr>
          <w:p>
            <w:pPr>
              <w:jc w:val="right"/>
              <w:ind w:right="72"/>
              <w:spacing w:after="0"/>
              <w:rPr>
                <w:sz w:val="20"/>
                <w:szCs w:val="20"/>
                <w:color w:val="auto"/>
              </w:rPr>
            </w:pPr>
            <w:r>
              <w:rPr>
                <w:rFonts w:ascii="Arial" w:cs="Arial" w:eastAsia="Arial" w:hAnsi="Arial"/>
                <w:sz w:val="18"/>
                <w:szCs w:val="18"/>
                <w:color w:val="auto"/>
              </w:rPr>
              <w:t>(968)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real estate partnership</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02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40,151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60,325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Income from discontinued operations</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sale of real estate from discontinued operations</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0" w:type="dxa"/>
            <w:vAlign w:val="bottom"/>
          </w:tcPr>
          <w:p>
            <w:pPr>
              <w:ind w:left="860"/>
              <w:spacing w:after="0"/>
              <w:rPr>
                <w:sz w:val="20"/>
                <w:szCs w:val="20"/>
                <w:color w:val="auto"/>
              </w:rPr>
            </w:pPr>
            <w:r>
              <w:rPr>
                <w:rFonts w:ascii="Arial" w:cs="Arial" w:eastAsia="Arial" w:hAnsi="Arial"/>
                <w:sz w:val="18"/>
                <w:szCs w:val="18"/>
                <w:color w:val="auto"/>
              </w:rPr>
              <w:t>Results from discontinued operations</w:t>
            </w: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1,516</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41,667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Net income attributable to noncontrolling interests</w:t>
            </w:r>
          </w:p>
        </w:tc>
        <w:tc>
          <w:tcPr>
            <w:tcW w:w="220" w:type="dxa"/>
            <w:vAlign w:val="bottom"/>
          </w:tcPr>
          <w:p>
            <w:pPr>
              <w:spacing w:after="0"/>
              <w:rPr>
                <w:sz w:val="19"/>
                <w:szCs w:val="19"/>
                <w:color w:val="auto"/>
              </w:rPr>
            </w:pPr>
          </w:p>
        </w:tc>
        <w:tc>
          <w:tcPr>
            <w:tcW w:w="940" w:type="dxa"/>
            <w:vAlign w:val="bottom"/>
            <w:gridSpan w:val="2"/>
          </w:tcPr>
          <w:p>
            <w:pPr>
              <w:jc w:val="right"/>
              <w:ind w:right="72"/>
              <w:spacing w:after="0"/>
              <w:rPr>
                <w:sz w:val="20"/>
                <w:szCs w:val="20"/>
                <w:color w:val="auto"/>
              </w:rPr>
            </w:pPr>
            <w:r>
              <w:rPr>
                <w:rFonts w:ascii="Arial" w:cs="Arial" w:eastAsia="Arial" w:hAnsi="Arial"/>
                <w:sz w:val="18"/>
                <w:szCs w:val="18"/>
                <w:color w:val="auto"/>
              </w:rPr>
              <w:t>(2,766)</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THE TRUST</w:t>
            </w: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38,901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Dividends on preferred stock</w:t>
            </w:r>
          </w:p>
        </w:tc>
        <w:tc>
          <w:tcPr>
            <w:tcW w:w="220" w:type="dxa"/>
            <w:vAlign w:val="bottom"/>
          </w:tcPr>
          <w:p>
            <w:pPr>
              <w:spacing w:after="0"/>
              <w:rPr>
                <w:sz w:val="19"/>
                <w:szCs w:val="19"/>
                <w:color w:val="auto"/>
              </w:rPr>
            </w:pPr>
          </w:p>
        </w:tc>
        <w:tc>
          <w:tcPr>
            <w:tcW w:w="940" w:type="dxa"/>
            <w:vAlign w:val="bottom"/>
            <w:gridSpan w:val="2"/>
          </w:tcPr>
          <w:p>
            <w:pPr>
              <w:jc w:val="right"/>
              <w:ind w:right="72"/>
              <w:spacing w:after="0"/>
              <w:rPr>
                <w:sz w:val="20"/>
                <w:szCs w:val="20"/>
                <w:color w:val="auto"/>
              </w:rPr>
            </w:pPr>
            <w:r>
              <w:rPr>
                <w:rFonts w:ascii="Arial" w:cs="Arial" w:eastAsia="Arial" w:hAnsi="Arial"/>
                <w:sz w:val="18"/>
                <w:szCs w:val="18"/>
                <w:color w:val="auto"/>
              </w:rPr>
              <w:t>(271)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COMMON SHAREHOLDERS</w:t>
            </w:r>
          </w:p>
        </w:tc>
        <w:tc>
          <w:tcPr>
            <w:tcW w:w="2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38,630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20" w:type="dxa"/>
            <w:vAlign w:val="bottom"/>
            <w:gridSpan w:val="2"/>
            <w:vMerge w:val="restart"/>
          </w:tcPr>
          <w:p>
            <w:pPr>
              <w:spacing w:after="0"/>
              <w:rPr>
                <w:sz w:val="20"/>
                <w:szCs w:val="20"/>
                <w:color w:val="auto"/>
              </w:rPr>
            </w:pPr>
            <w:r>
              <w:rPr>
                <w:rFonts w:ascii="Arial" w:cs="Arial" w:eastAsia="Arial" w:hAnsi="Arial"/>
                <w:sz w:val="18"/>
                <w:szCs w:val="18"/>
                <w:color w:val="auto"/>
              </w:rPr>
              <w:t>EARNINGS PER COMMON SHARE, BASIC</w:t>
            </w: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Continuing operations</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Discontinued operations</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9020" w:type="dxa"/>
            <w:vAlign w:val="bottom"/>
            <w:gridSpan w:val="2"/>
            <w:vMerge w:val="restart"/>
          </w:tcPr>
          <w:p>
            <w:pPr>
              <w:spacing w:after="0"/>
              <w:rPr>
                <w:sz w:val="20"/>
                <w:szCs w:val="20"/>
                <w:color w:val="auto"/>
              </w:rPr>
            </w:pPr>
            <w:r>
              <w:rPr>
                <w:rFonts w:ascii="Arial" w:cs="Arial" w:eastAsia="Arial" w:hAnsi="Arial"/>
                <w:sz w:val="18"/>
                <w:szCs w:val="18"/>
                <w:color w:val="auto"/>
              </w:rPr>
              <w:t>EARNINGS PER COMMON SHARE, DILUTED</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902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Continuing operations</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Discontinued operations</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8"/>
          </w:tcPr>
          <w:p>
            <w:pPr>
              <w:jc w:val="right"/>
              <w:ind w:right="652"/>
              <w:spacing w:after="0"/>
              <w:rPr>
                <w:sz w:val="20"/>
                <w:szCs w:val="20"/>
                <w:color w:val="auto"/>
              </w:rPr>
            </w:pPr>
            <w:r>
              <w:rPr>
                <w:rFonts w:ascii="Arial" w:cs="Arial" w:eastAsia="Arial" w:hAnsi="Arial"/>
                <w:sz w:val="14"/>
                <w:szCs w:val="14"/>
                <w:b w:val="1"/>
                <w:bCs w:val="1"/>
                <w:color w:val="auto"/>
                <w:w w:val="88"/>
              </w:rPr>
              <w:t>Shareholders’ Equity of the Trust</w:t>
            </w:r>
          </w:p>
        </w:tc>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1440" w:type="dxa"/>
            <w:vAlign w:val="bottom"/>
            <w:gridSpan w:val="4"/>
            <w:vMerge w:val="restart"/>
          </w:tcPr>
          <w:p>
            <w:pPr>
              <w:ind w:left="180"/>
              <w:spacing w:after="0"/>
              <w:rPr>
                <w:sz w:val="20"/>
                <w:szCs w:val="20"/>
                <w:color w:val="auto"/>
              </w:rPr>
            </w:pPr>
            <w:r>
              <w:rPr>
                <w:rFonts w:ascii="Arial" w:cs="Arial" w:eastAsia="Arial" w:hAnsi="Arial"/>
                <w:sz w:val="14"/>
                <w:szCs w:val="14"/>
                <w:b w:val="1"/>
                <w:bCs w:val="1"/>
                <w:color w:val="auto"/>
              </w:rPr>
              <w:t>Preferred Stock</w:t>
            </w:r>
          </w:p>
        </w:tc>
        <w:tc>
          <w:tcPr>
            <w:tcW w:w="1460" w:type="dxa"/>
            <w:vAlign w:val="bottom"/>
            <w:gridSpan w:val="5"/>
            <w:vMerge w:val="restart"/>
          </w:tcPr>
          <w:p>
            <w:pPr>
              <w:ind w:left="240"/>
              <w:spacing w:after="0"/>
              <w:rPr>
                <w:sz w:val="20"/>
                <w:szCs w:val="20"/>
                <w:color w:val="auto"/>
              </w:rPr>
            </w:pPr>
            <w:r>
              <w:rPr>
                <w:rFonts w:ascii="Arial" w:cs="Arial" w:eastAsia="Arial" w:hAnsi="Arial"/>
                <w:sz w:val="14"/>
                <w:szCs w:val="14"/>
                <w:b w:val="1"/>
                <w:bCs w:val="1"/>
                <w:color w:val="auto"/>
              </w:rPr>
              <w:t>Common Shares</w:t>
            </w: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Accumulated</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440" w:type="dxa"/>
            <w:vAlign w:val="bottom"/>
            <w:gridSpan w:val="4"/>
            <w:vMerge w:val="continue"/>
          </w:tcPr>
          <w:p>
            <w:pPr>
              <w:spacing w:after="0"/>
              <w:rPr>
                <w:sz w:val="12"/>
                <w:szCs w:val="12"/>
                <w:color w:val="auto"/>
              </w:rPr>
            </w:pPr>
          </w:p>
        </w:tc>
        <w:tc>
          <w:tcPr>
            <w:tcW w:w="146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292"/>
              <w:spacing w:after="0" w:line="148" w:lineRule="exact"/>
              <w:rPr>
                <w:sz w:val="20"/>
                <w:szCs w:val="20"/>
                <w:color w:val="auto"/>
              </w:rPr>
            </w:pPr>
            <w:r>
              <w:rPr>
                <w:rFonts w:ascii="Arial" w:cs="Arial" w:eastAsia="Arial" w:hAnsi="Arial"/>
                <w:sz w:val="14"/>
                <w:szCs w:val="14"/>
                <w:b w:val="1"/>
                <w:bCs w:val="1"/>
                <w:color w:val="auto"/>
              </w:rPr>
              <w:t>Additional</w:t>
            </w:r>
          </w:p>
        </w:tc>
        <w:tc>
          <w:tcPr>
            <w:tcW w:w="920" w:type="dxa"/>
            <w:vAlign w:val="bottom"/>
            <w:gridSpan w:val="2"/>
          </w:tcPr>
          <w:p>
            <w:pPr>
              <w:jc w:val="center"/>
              <w:ind w:right="160"/>
              <w:spacing w:after="0" w:line="148" w:lineRule="exact"/>
              <w:rPr>
                <w:sz w:val="20"/>
                <w:szCs w:val="20"/>
                <w:color w:val="auto"/>
              </w:rPr>
            </w:pPr>
            <w:r>
              <w:rPr>
                <w:rFonts w:ascii="Arial" w:cs="Arial" w:eastAsia="Arial" w:hAnsi="Arial"/>
                <w:sz w:val="14"/>
                <w:szCs w:val="14"/>
                <w:b w:val="1"/>
                <w:bCs w:val="1"/>
                <w:color w:val="auto"/>
                <w:w w:val="86"/>
              </w:rPr>
              <w:t>Dividends in</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right"/>
              <w:ind w:right="392"/>
              <w:spacing w:after="0" w:line="129" w:lineRule="exact"/>
              <w:rPr>
                <w:sz w:val="20"/>
                <w:szCs w:val="20"/>
                <w:color w:val="auto"/>
              </w:rPr>
            </w:pPr>
            <w:r>
              <w:rPr>
                <w:rFonts w:ascii="Arial" w:cs="Arial" w:eastAsia="Arial" w:hAnsi="Arial"/>
                <w:sz w:val="14"/>
                <w:szCs w:val="14"/>
                <w:b w:val="1"/>
                <w:bCs w:val="1"/>
                <w:color w:val="auto"/>
              </w:rPr>
              <w:t>Paid-in</w:t>
            </w:r>
          </w:p>
        </w:tc>
        <w:tc>
          <w:tcPr>
            <w:tcW w:w="92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82"/>
              </w:rPr>
              <w:t>Excess of Net</w:t>
            </w:r>
          </w:p>
        </w:tc>
        <w:tc>
          <w:tcPr>
            <w:tcW w:w="120" w:type="dxa"/>
            <w:vAlign w:val="bottom"/>
          </w:tcPr>
          <w:p>
            <w:pPr>
              <w:spacing w:after="0"/>
              <w:rPr>
                <w:sz w:val="11"/>
                <w:szCs w:val="11"/>
                <w:color w:val="auto"/>
              </w:rPr>
            </w:pPr>
          </w:p>
        </w:tc>
        <w:tc>
          <w:tcPr>
            <w:tcW w:w="10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Noncontrolling</w:t>
            </w:r>
          </w:p>
        </w:tc>
        <w:tc>
          <w:tcPr>
            <w:tcW w:w="100" w:type="dxa"/>
            <w:vAlign w:val="bottom"/>
          </w:tcPr>
          <w:p>
            <w:pPr>
              <w:spacing w:after="0"/>
              <w:rPr>
                <w:sz w:val="11"/>
                <w:szCs w:val="11"/>
                <w:color w:val="auto"/>
              </w:rPr>
            </w:pPr>
          </w:p>
        </w:tc>
        <w:tc>
          <w:tcPr>
            <w:tcW w:w="92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7"/>
              </w:rPr>
              <w:t>Shareholders’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5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w w:val="98"/>
              </w:rPr>
              <w:t>Shares</w:t>
            </w:r>
          </w:p>
        </w:tc>
        <w:tc>
          <w:tcPr>
            <w:tcW w:w="180" w:type="dxa"/>
            <w:vAlign w:val="bottom"/>
          </w:tcPr>
          <w:p>
            <w:pPr>
              <w:spacing w:after="0"/>
              <w:rPr>
                <w:sz w:val="14"/>
                <w:szCs w:val="14"/>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6"/>
              </w:rPr>
              <w:t>Amount</w:t>
            </w:r>
          </w:p>
        </w:tc>
        <w:tc>
          <w:tcPr>
            <w:tcW w:w="180" w:type="dxa"/>
            <w:vAlign w:val="bottom"/>
          </w:tcPr>
          <w:p>
            <w:pPr>
              <w:spacing w:after="0"/>
              <w:rPr>
                <w:sz w:val="14"/>
                <w:szCs w:val="14"/>
                <w:color w:val="auto"/>
              </w:rPr>
            </w:pPr>
          </w:p>
        </w:tc>
        <w:tc>
          <w:tcPr>
            <w:tcW w:w="7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6"/>
              </w:rPr>
              <w:t>Amount</w:t>
            </w:r>
          </w:p>
        </w:tc>
        <w:tc>
          <w:tcPr>
            <w:tcW w:w="160" w:type="dxa"/>
            <w:vAlign w:val="bottom"/>
          </w:tcPr>
          <w:p>
            <w:pPr>
              <w:spacing w:after="0"/>
              <w:rPr>
                <w:sz w:val="14"/>
                <w:szCs w:val="14"/>
                <w:color w:val="auto"/>
              </w:rPr>
            </w:pPr>
          </w:p>
        </w:tc>
        <w:tc>
          <w:tcPr>
            <w:tcW w:w="80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Capital</w:t>
            </w:r>
          </w:p>
        </w:tc>
        <w:tc>
          <w:tcPr>
            <w:tcW w:w="28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Income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89"/>
              </w:rPr>
              <w:t>Interests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87"/>
              </w:rPr>
              <w:t>(In thousands, except</w:t>
            </w:r>
          </w:p>
        </w:tc>
        <w:tc>
          <w:tcPr>
            <w:tcW w:w="1200" w:type="dxa"/>
            <w:vAlign w:val="bottom"/>
            <w:gridSpan w:val="3"/>
          </w:tcPr>
          <w:p>
            <w:pPr>
              <w:jc w:val="right"/>
              <w:ind w:right="540"/>
              <w:spacing w:after="0" w:line="142" w:lineRule="exact"/>
              <w:rPr>
                <w:sz w:val="20"/>
                <w:szCs w:val="20"/>
                <w:color w:val="auto"/>
              </w:rPr>
            </w:pPr>
            <w:r>
              <w:rPr>
                <w:rFonts w:ascii="Arial" w:cs="Arial" w:eastAsia="Arial" w:hAnsi="Arial"/>
                <w:sz w:val="14"/>
                <w:szCs w:val="14"/>
                <w:b w:val="1"/>
                <w:bCs w:val="1"/>
                <w:color w:val="auto"/>
                <w:w w:val="85"/>
              </w:rPr>
              <w:t>share data)</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2008</w:t>
            </w: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w w:val="82"/>
              </w:rPr>
              <w:t>399,896</w:t>
            </w:r>
          </w:p>
        </w:tc>
        <w:tc>
          <w:tcPr>
            <w:tcW w:w="8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$9,997</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58,985,678</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590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$1,530,589</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(426,574)</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32,352</w:t>
            </w: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4"/>
              </w:rPr>
              <w:t>$ 1,146,954</w:t>
            </w:r>
          </w:p>
        </w:tc>
        <w:tc>
          <w:tcPr>
            <w:tcW w:w="0" w:type="dxa"/>
            <w:vAlign w:val="bottom"/>
          </w:tcPr>
          <w:p>
            <w:pPr>
              <w:spacing w:after="0"/>
              <w:rPr>
                <w:sz w:val="1"/>
                <w:szCs w:val="1"/>
                <w:color w:val="auto"/>
              </w:rPr>
            </w:pPr>
          </w:p>
        </w:tc>
      </w:tr>
      <w:tr>
        <w:trPr>
          <w:trHeight w:val="322"/>
        </w:trPr>
        <w:tc>
          <w:tcPr>
            <w:tcW w:w="4180" w:type="dxa"/>
            <w:vAlign w:val="bottom"/>
            <w:gridSpan w:val="2"/>
          </w:tcPr>
          <w:p>
            <w:pPr>
              <w:spacing w:after="0"/>
              <w:rPr>
                <w:sz w:val="20"/>
                <w:szCs w:val="20"/>
                <w:color w:val="auto"/>
              </w:rPr>
            </w:pPr>
            <w:r>
              <w:rPr>
                <w:rFonts w:ascii="Arial" w:cs="Arial" w:eastAsia="Arial" w:hAnsi="Arial"/>
                <w:sz w:val="18"/>
                <w:szCs w:val="18"/>
                <w:color w:val="auto"/>
              </w:rPr>
              <w:t>Net income/ Comprehensive income</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080" w:type="dxa"/>
            <w:vAlign w:val="bottom"/>
            <w:gridSpan w:val="2"/>
          </w:tcPr>
          <w:p>
            <w:pPr>
              <w:jc w:val="right"/>
              <w:ind w:right="292"/>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38,901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2,766</w:t>
            </w:r>
          </w:p>
        </w:tc>
        <w:tc>
          <w:tcPr>
            <w:tcW w:w="160" w:type="dxa"/>
            <w:vAlign w:val="bottom"/>
          </w:tcPr>
          <w:p>
            <w:pPr>
              <w:spacing w:after="0"/>
              <w:rPr>
                <w:sz w:val="24"/>
                <w:szCs w:val="24"/>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41,667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to common shareholders</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(76,848)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(76,848)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Dividends declared to preferred shareholders</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292"/>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Dividends paid to noncontrolling interests</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(3,250)</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Common shares issued</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186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Shares issued under dividend reinvestment plan</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26,193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1,357</w:t>
            </w:r>
          </w:p>
        </w:tc>
        <w:tc>
          <w:tcPr>
            <w:tcW w:w="2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1,357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 net</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77,563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3,767</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Conversion and redemption of OP units</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52"/>
              <w:spacing w:after="0"/>
              <w:rPr>
                <w:sz w:val="20"/>
                <w:szCs w:val="20"/>
                <w:color w:val="auto"/>
              </w:rPr>
            </w:pPr>
            <w:r>
              <w:rPr>
                <w:rFonts w:ascii="Arial" w:cs="Arial" w:eastAsia="Arial" w:hAnsi="Arial"/>
                <w:sz w:val="18"/>
                <w:szCs w:val="18"/>
                <w:color w:val="auto"/>
              </w:rPr>
              <w:t>(31)</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2009</w:t>
            </w: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w w:val="82"/>
              </w:rPr>
              <w:t>399,896</w:t>
            </w:r>
          </w:p>
        </w:tc>
        <w:tc>
          <w:tcPr>
            <w:tcW w:w="860" w:type="dxa"/>
            <w:vAlign w:val="bottom"/>
            <w:gridSpan w:val="3"/>
            <w:shd w:val="clear" w:color="auto" w:fill="CCEEFF"/>
          </w:tcPr>
          <w:p>
            <w:pPr>
              <w:ind w:lef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9,997</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59,156,620</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592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1,537,119</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(464,792)</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31,813</w:t>
            </w: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4"/>
              </w:rPr>
              <w:t>$ 1,114,729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Federal Realty Investment Trust</w:t>
      </w:r>
    </w:p>
    <w:p>
      <w:pPr>
        <w:spacing w:after="0" w:line="17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9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2009</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1160" w:type="dxa"/>
            <w:vAlign w:val="bottom"/>
            <w:gridSpan w:val="4"/>
          </w:tcPr>
          <w:p>
            <w:pPr>
              <w:jc w:val="right"/>
              <w:ind w:right="453"/>
              <w:spacing w:after="0" w:line="142" w:lineRule="exact"/>
              <w:rPr>
                <w:sz w:val="20"/>
                <w:szCs w:val="20"/>
                <w:color w:val="auto"/>
              </w:rPr>
            </w:pPr>
            <w:r>
              <w:rPr>
                <w:rFonts w:ascii="Arial" w:cs="Arial" w:eastAsia="Arial" w:hAnsi="Arial"/>
                <w:sz w:val="14"/>
                <w:szCs w:val="14"/>
                <w:b w:val="1"/>
                <w:bCs w:val="1"/>
                <w:color w:val="auto"/>
                <w:w w:val="79"/>
              </w:rPr>
              <w:t>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41,667</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61,701</w:t>
            </w: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tcPr>
          <w:p>
            <w:pPr>
              <w:ind w:left="880"/>
              <w:spacing w:after="0"/>
              <w:rPr>
                <w:sz w:val="20"/>
                <w:szCs w:val="20"/>
                <w:color w:val="auto"/>
              </w:rPr>
            </w:pPr>
            <w:r>
              <w:rPr>
                <w:rFonts w:ascii="Arial" w:cs="Arial" w:eastAsia="Arial" w:hAnsi="Arial"/>
                <w:sz w:val="18"/>
                <w:szCs w:val="18"/>
                <w:color w:val="auto"/>
              </w:rPr>
              <w:t>Depreciation and amortization, including discontinued operations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58,225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53,195</w:t>
            </w: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Litigation provision</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420" w:type="dxa"/>
            <w:vAlign w:val="bottom"/>
          </w:tcPr>
          <w:p>
            <w:pPr>
              <w:ind w:left="880"/>
              <w:spacing w:after="0"/>
              <w:rPr>
                <w:sz w:val="20"/>
                <w:szCs w:val="20"/>
                <w:color w:val="auto"/>
              </w:rPr>
            </w:pPr>
            <w:r>
              <w:rPr>
                <w:rFonts w:ascii="Arial" w:cs="Arial" w:eastAsia="Arial" w:hAnsi="Arial"/>
                <w:sz w:val="18"/>
                <w:szCs w:val="18"/>
                <w:color w:val="auto"/>
              </w:rPr>
              <w:t>Gain on sale of real estate</w:t>
            </w:r>
          </w:p>
        </w:tc>
        <w:tc>
          <w:tcPr>
            <w:tcW w:w="100" w:type="dxa"/>
            <w:vAlign w:val="bottom"/>
          </w:tcPr>
          <w:p>
            <w:pPr>
              <w:spacing w:after="0"/>
              <w:rPr>
                <w:sz w:val="18"/>
                <w:szCs w:val="18"/>
                <w:color w:val="auto"/>
              </w:rPr>
            </w:pPr>
          </w:p>
        </w:tc>
        <w:tc>
          <w:tcPr>
            <w:tcW w:w="880" w:type="dxa"/>
            <w:vAlign w:val="bottom"/>
            <w:gridSpan w:val="2"/>
          </w:tcPr>
          <w:p>
            <w:pPr>
              <w:jc w:val="right"/>
              <w:ind w:right="132"/>
              <w:spacing w:after="0"/>
              <w:rPr>
                <w:sz w:val="20"/>
                <w:szCs w:val="20"/>
                <w:color w:val="auto"/>
              </w:rPr>
            </w:pPr>
            <w:r>
              <w:rPr>
                <w:rFonts w:ascii="Arial" w:cs="Arial" w:eastAsia="Arial" w:hAnsi="Arial"/>
                <w:sz w:val="18"/>
                <w:szCs w:val="18"/>
                <w:color w:val="auto"/>
              </w:rPr>
              <w:t>(1,298)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Early extinguishment of senior notes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420" w:type="dxa"/>
            <w:vAlign w:val="bottom"/>
          </w:tcPr>
          <w:p>
            <w:pPr>
              <w:ind w:left="880"/>
              <w:spacing w:after="0"/>
              <w:rPr>
                <w:sz w:val="20"/>
                <w:szCs w:val="20"/>
                <w:color w:val="auto"/>
              </w:rPr>
            </w:pPr>
            <w:r>
              <w:rPr>
                <w:rFonts w:ascii="Arial" w:cs="Arial" w:eastAsia="Arial" w:hAnsi="Arial"/>
                <w:sz w:val="18"/>
                <w:szCs w:val="18"/>
                <w:color w:val="auto"/>
              </w:rPr>
              <w:t>Income from real estate partnership</w:t>
            </w:r>
          </w:p>
        </w:tc>
        <w:tc>
          <w:tcPr>
            <w:tcW w:w="100" w:type="dxa"/>
            <w:vAlign w:val="bottom"/>
          </w:tcPr>
          <w:p>
            <w:pPr>
              <w:spacing w:after="0"/>
              <w:rPr>
                <w:sz w:val="18"/>
                <w:szCs w:val="18"/>
                <w:color w:val="auto"/>
              </w:rPr>
            </w:pPr>
          </w:p>
        </w:tc>
        <w:tc>
          <w:tcPr>
            <w:tcW w:w="880" w:type="dxa"/>
            <w:vAlign w:val="bottom"/>
            <w:gridSpan w:val="2"/>
          </w:tcPr>
          <w:p>
            <w:pPr>
              <w:jc w:val="right"/>
              <w:ind w:right="132"/>
              <w:spacing w:after="0"/>
              <w:rPr>
                <w:sz w:val="20"/>
                <w:szCs w:val="20"/>
                <w:color w:val="auto"/>
              </w:rPr>
            </w:pPr>
            <w:r>
              <w:rPr>
                <w:rFonts w:ascii="Arial" w:cs="Arial" w:eastAsia="Arial" w:hAnsi="Arial"/>
                <w:sz w:val="18"/>
                <w:szCs w:val="18"/>
                <w:color w:val="auto"/>
              </w:rPr>
              <w:t>(601)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Other, net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16"/>
        </w:trPr>
        <w:tc>
          <w:tcPr>
            <w:tcW w:w="9420" w:type="dxa"/>
            <w:vAlign w:val="bottom"/>
          </w:tcPr>
          <w:p>
            <w:pPr>
              <w:ind w:left="440"/>
              <w:spacing w:after="0"/>
              <w:rPr>
                <w:sz w:val="20"/>
                <w:szCs w:val="20"/>
                <w:color w:val="auto"/>
              </w:rPr>
            </w:pPr>
            <w:r>
              <w:rPr>
                <w:rFonts w:ascii="Arial" w:cs="Arial" w:eastAsia="Arial" w:hAnsi="Arial"/>
                <w:sz w:val="18"/>
                <w:szCs w:val="18"/>
                <w:color w:val="auto"/>
              </w:rPr>
              <w:t>Changes in assets and liabilities, net of effects of acquisitions and dispositions: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Decrease (increase) in accounts receivable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(1,809)</w:t>
            </w:r>
          </w:p>
        </w:tc>
        <w:tc>
          <w:tcPr>
            <w:tcW w:w="0" w:type="dxa"/>
            <w:vAlign w:val="bottom"/>
          </w:tcPr>
          <w:p>
            <w:pPr>
              <w:spacing w:after="0"/>
              <w:rPr>
                <w:sz w:val="1"/>
                <w:szCs w:val="1"/>
                <w:color w:val="auto"/>
              </w:rPr>
            </w:pPr>
          </w:p>
        </w:tc>
      </w:tr>
      <w:tr>
        <w:trPr>
          <w:trHeight w:val="216"/>
        </w:trPr>
        <w:tc>
          <w:tcPr>
            <w:tcW w:w="9420" w:type="dxa"/>
            <w:vAlign w:val="bottom"/>
          </w:tcPr>
          <w:p>
            <w:pPr>
              <w:ind w:left="880"/>
              <w:spacing w:after="0"/>
              <w:rPr>
                <w:sz w:val="20"/>
                <w:szCs w:val="20"/>
                <w:color w:val="auto"/>
              </w:rPr>
            </w:pPr>
            <w:r>
              <w:rPr>
                <w:rFonts w:ascii="Arial" w:cs="Arial" w:eastAsia="Arial" w:hAnsi="Arial"/>
                <w:sz w:val="18"/>
                <w:szCs w:val="18"/>
                <w:color w:val="auto"/>
              </w:rPr>
              <w:t>Decrease in prepaid expenses and other assets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6,797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6,088</w:t>
            </w: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Increase (decrease) in accounts payable and accrued expenses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(3,583)</w:t>
            </w:r>
          </w:p>
        </w:tc>
        <w:tc>
          <w:tcPr>
            <w:tcW w:w="0" w:type="dxa"/>
            <w:vAlign w:val="bottom"/>
          </w:tcPr>
          <w:p>
            <w:pPr>
              <w:spacing w:after="0"/>
              <w:rPr>
                <w:sz w:val="1"/>
                <w:szCs w:val="1"/>
                <w:color w:val="auto"/>
              </w:rPr>
            </w:pPr>
          </w:p>
        </w:tc>
      </w:tr>
      <w:tr>
        <w:trPr>
          <w:trHeight w:val="223"/>
        </w:trPr>
        <w:tc>
          <w:tcPr>
            <w:tcW w:w="9420" w:type="dxa"/>
            <w:vAlign w:val="bottom"/>
          </w:tcPr>
          <w:p>
            <w:pPr>
              <w:ind w:left="880"/>
              <w:spacing w:after="0"/>
              <w:rPr>
                <w:sz w:val="20"/>
                <w:szCs w:val="20"/>
                <w:color w:val="auto"/>
              </w:rPr>
            </w:pPr>
            <w:r>
              <w:rPr>
                <w:rFonts w:ascii="Arial" w:cs="Arial" w:eastAsia="Arial" w:hAnsi="Arial"/>
                <w:sz w:val="18"/>
                <w:szCs w:val="18"/>
                <w:color w:val="auto"/>
              </w:rPr>
              <w:t>Increase in security deposits and other liabilities</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146,209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122,983</w:t>
            </w:r>
          </w:p>
        </w:tc>
        <w:tc>
          <w:tcPr>
            <w:tcW w:w="0" w:type="dxa"/>
            <w:vAlign w:val="bottom"/>
          </w:tcPr>
          <w:p>
            <w:pPr>
              <w:spacing w:after="0"/>
              <w:rPr>
                <w:sz w:val="1"/>
                <w:szCs w:val="1"/>
                <w:color w:val="auto"/>
              </w:rPr>
            </w:pP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INVESTING ACTIVITIES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Acquisition of real estate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(42,630)</w:t>
            </w:r>
          </w:p>
        </w:tc>
        <w:tc>
          <w:tcPr>
            <w:tcW w:w="0" w:type="dxa"/>
            <w:vAlign w:val="bottom"/>
          </w:tcPr>
          <w:p>
            <w:pPr>
              <w:spacing w:after="0"/>
              <w:rPr>
                <w:sz w:val="1"/>
                <w:szCs w:val="1"/>
                <w:color w:val="auto"/>
              </w:rPr>
            </w:pPr>
          </w:p>
        </w:tc>
      </w:tr>
      <w:tr>
        <w:trPr>
          <w:trHeight w:val="216"/>
        </w:trPr>
        <w:tc>
          <w:tcPr>
            <w:tcW w:w="9420" w:type="dxa"/>
            <w:vAlign w:val="bottom"/>
          </w:tcPr>
          <w:p>
            <w:pPr>
              <w:ind w:left="440"/>
              <w:spacing w:after="0"/>
              <w:rPr>
                <w:sz w:val="20"/>
                <w:szCs w:val="20"/>
                <w:color w:val="auto"/>
              </w:rPr>
            </w:pPr>
            <w:r>
              <w:rPr>
                <w:rFonts w:ascii="Arial" w:cs="Arial" w:eastAsia="Arial" w:hAnsi="Arial"/>
                <w:sz w:val="18"/>
                <w:szCs w:val="18"/>
                <w:color w:val="auto"/>
              </w:rPr>
              <w:t>Capital expenditures—development and redevelopment</w:t>
            </w:r>
          </w:p>
        </w:tc>
        <w:tc>
          <w:tcPr>
            <w:tcW w:w="100" w:type="dxa"/>
            <w:vAlign w:val="bottom"/>
          </w:tcPr>
          <w:p>
            <w:pPr>
              <w:spacing w:after="0"/>
              <w:rPr>
                <w:sz w:val="18"/>
                <w:szCs w:val="18"/>
                <w:color w:val="auto"/>
              </w:rPr>
            </w:pPr>
          </w:p>
        </w:tc>
        <w:tc>
          <w:tcPr>
            <w:tcW w:w="880" w:type="dxa"/>
            <w:vAlign w:val="bottom"/>
            <w:gridSpan w:val="2"/>
          </w:tcPr>
          <w:p>
            <w:pPr>
              <w:jc w:val="right"/>
              <w:ind w:right="132"/>
              <w:spacing w:after="0"/>
              <w:rPr>
                <w:sz w:val="20"/>
                <w:szCs w:val="20"/>
                <w:color w:val="auto"/>
              </w:rPr>
            </w:pPr>
            <w:r>
              <w:rPr>
                <w:rFonts w:ascii="Arial" w:cs="Arial" w:eastAsia="Arial" w:hAnsi="Arial"/>
                <w:sz w:val="18"/>
                <w:szCs w:val="18"/>
                <w:color w:val="auto"/>
                <w:w w:val="98"/>
              </w:rPr>
              <w:t>(40,981)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(48,828)</w:t>
            </w: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Capital expenditures—other</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w w:val="98"/>
              </w:rPr>
              <w:t>(10,292)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(12,569)</w:t>
            </w:r>
          </w:p>
        </w:tc>
        <w:tc>
          <w:tcPr>
            <w:tcW w:w="0" w:type="dxa"/>
            <w:vAlign w:val="bottom"/>
          </w:tcPr>
          <w:p>
            <w:pPr>
              <w:spacing w:after="0"/>
              <w:rPr>
                <w:sz w:val="1"/>
                <w:szCs w:val="1"/>
                <w:color w:val="auto"/>
              </w:rPr>
            </w:pPr>
          </w:p>
        </w:tc>
      </w:tr>
      <w:tr>
        <w:trPr>
          <w:trHeight w:val="216"/>
        </w:trPr>
        <w:tc>
          <w:tcPr>
            <w:tcW w:w="9420" w:type="dxa"/>
            <w:vAlign w:val="bottom"/>
          </w:tcPr>
          <w:p>
            <w:pPr>
              <w:ind w:left="440"/>
              <w:spacing w:after="0"/>
              <w:rPr>
                <w:sz w:val="20"/>
                <w:szCs w:val="20"/>
                <w:color w:val="auto"/>
              </w:rPr>
            </w:pPr>
            <w:r>
              <w:rPr>
                <w:rFonts w:ascii="Arial" w:cs="Arial" w:eastAsia="Arial" w:hAnsi="Arial"/>
                <w:sz w:val="18"/>
                <w:szCs w:val="18"/>
                <w:color w:val="auto"/>
              </w:rPr>
              <w:t>Proceeds from sale of real estate</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2,122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Distribution from real estate partnership in excess of earnings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9420" w:type="dxa"/>
            <w:vAlign w:val="bottom"/>
          </w:tcPr>
          <w:p>
            <w:pPr>
              <w:ind w:left="440"/>
              <w:spacing w:after="0"/>
              <w:rPr>
                <w:sz w:val="20"/>
                <w:szCs w:val="20"/>
                <w:color w:val="auto"/>
              </w:rPr>
            </w:pPr>
            <w:r>
              <w:rPr>
                <w:rFonts w:ascii="Arial" w:cs="Arial" w:eastAsia="Arial" w:hAnsi="Arial"/>
                <w:sz w:val="18"/>
                <w:szCs w:val="18"/>
                <w:color w:val="auto"/>
              </w:rPr>
              <w:t>Leasing costs</w:t>
            </w:r>
          </w:p>
        </w:tc>
        <w:tc>
          <w:tcPr>
            <w:tcW w:w="100" w:type="dxa"/>
            <w:vAlign w:val="bottom"/>
          </w:tcPr>
          <w:p>
            <w:pPr>
              <w:spacing w:after="0"/>
              <w:rPr>
                <w:sz w:val="18"/>
                <w:szCs w:val="18"/>
                <w:color w:val="auto"/>
              </w:rPr>
            </w:pPr>
          </w:p>
        </w:tc>
        <w:tc>
          <w:tcPr>
            <w:tcW w:w="880" w:type="dxa"/>
            <w:vAlign w:val="bottom"/>
            <w:gridSpan w:val="2"/>
          </w:tcPr>
          <w:p>
            <w:pPr>
              <w:jc w:val="right"/>
              <w:ind w:right="132"/>
              <w:spacing w:after="0"/>
              <w:rPr>
                <w:sz w:val="20"/>
                <w:szCs w:val="20"/>
                <w:color w:val="auto"/>
              </w:rPr>
            </w:pPr>
            <w:r>
              <w:rPr>
                <w:rFonts w:ascii="Arial" w:cs="Arial" w:eastAsia="Arial" w:hAnsi="Arial"/>
                <w:sz w:val="18"/>
                <w:szCs w:val="18"/>
                <w:color w:val="auto"/>
              </w:rPr>
              <w:t>(4,293)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(5,484)</w:t>
            </w: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Issuance of mortgage and other notes receivable, net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(1,978)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0"/>
        </w:trPr>
        <w:tc>
          <w:tcPr>
            <w:tcW w:w="9420" w:type="dxa"/>
            <w:vAlign w:val="bottom"/>
            <w:vMerge w:val="restart"/>
          </w:tcPr>
          <w:p>
            <w:pPr>
              <w:ind w:left="44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4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32"/>
              <w:spacing w:after="0"/>
              <w:rPr>
                <w:sz w:val="20"/>
                <w:szCs w:val="20"/>
                <w:color w:val="auto"/>
              </w:rPr>
            </w:pPr>
            <w:r>
              <w:rPr>
                <w:rFonts w:ascii="Arial" w:cs="Arial" w:eastAsia="Arial" w:hAnsi="Arial"/>
                <w:sz w:val="18"/>
                <w:szCs w:val="18"/>
                <w:color w:val="auto"/>
                <w:w w:val="98"/>
              </w:rPr>
              <w:t>(54,988)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(109,657)</w:t>
            </w:r>
          </w:p>
        </w:tc>
        <w:tc>
          <w:tcPr>
            <w:tcW w:w="0" w:type="dxa"/>
            <w:vAlign w:val="bottom"/>
          </w:tcPr>
          <w:p>
            <w:pPr>
              <w:spacing w:after="0"/>
              <w:rPr>
                <w:sz w:val="1"/>
                <w:szCs w:val="1"/>
                <w:color w:val="auto"/>
              </w:rPr>
            </w:pPr>
          </w:p>
        </w:tc>
      </w:tr>
      <w:tr>
        <w:trPr>
          <w:trHeight w:val="218"/>
        </w:trPr>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tcPr>
          <w:p>
            <w:pPr>
              <w:ind w:left="440"/>
              <w:spacing w:after="0"/>
              <w:rPr>
                <w:sz w:val="20"/>
                <w:szCs w:val="20"/>
                <w:color w:val="auto"/>
              </w:rPr>
            </w:pPr>
            <w:r>
              <w:rPr>
                <w:rFonts w:ascii="Arial" w:cs="Arial" w:eastAsia="Arial" w:hAnsi="Arial"/>
                <w:sz w:val="18"/>
                <w:szCs w:val="18"/>
                <w:color w:val="auto"/>
              </w:rPr>
              <w:t>Net (repayment) borrowings under revolving credit facility, net of costs</w:t>
            </w:r>
          </w:p>
        </w:tc>
        <w:tc>
          <w:tcPr>
            <w:tcW w:w="100" w:type="dxa"/>
            <w:vAlign w:val="bottom"/>
          </w:tcPr>
          <w:p>
            <w:pPr>
              <w:spacing w:after="0"/>
              <w:rPr>
                <w:sz w:val="18"/>
                <w:szCs w:val="18"/>
                <w:color w:val="auto"/>
              </w:rPr>
            </w:pPr>
          </w:p>
        </w:tc>
        <w:tc>
          <w:tcPr>
            <w:tcW w:w="880" w:type="dxa"/>
            <w:vAlign w:val="bottom"/>
            <w:gridSpan w:val="2"/>
          </w:tcPr>
          <w:p>
            <w:pPr>
              <w:jc w:val="right"/>
              <w:ind w:right="132"/>
              <w:spacing w:after="0"/>
              <w:rPr>
                <w:sz w:val="20"/>
                <w:szCs w:val="20"/>
                <w:color w:val="auto"/>
              </w:rPr>
            </w:pPr>
            <w:r>
              <w:rPr>
                <w:rFonts w:ascii="Arial" w:cs="Arial" w:eastAsia="Arial" w:hAnsi="Arial"/>
                <w:sz w:val="18"/>
                <w:szCs w:val="18"/>
                <w:color w:val="auto"/>
                <w:w w:val="85"/>
              </w:rPr>
              <w:t>(123,500)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29,000</w:t>
            </w: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Purchase and retirement of senior notes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w w:val="98"/>
              </w:rPr>
              <w:t>(52,278)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420" w:type="dxa"/>
            <w:vAlign w:val="bottom"/>
          </w:tcPr>
          <w:p>
            <w:pPr>
              <w:ind w:left="440"/>
              <w:spacing w:after="0"/>
              <w:rPr>
                <w:sz w:val="20"/>
                <w:szCs w:val="20"/>
                <w:color w:val="auto"/>
              </w:rPr>
            </w:pPr>
            <w:r>
              <w:rPr>
                <w:rFonts w:ascii="Arial" w:cs="Arial" w:eastAsia="Arial" w:hAnsi="Arial"/>
                <w:sz w:val="18"/>
                <w:szCs w:val="18"/>
                <w:color w:val="auto"/>
              </w:rPr>
              <w:t>Issuance of mortgages, capital leases and notes payable, net of costs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526,625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Repayment of mortgages, capital leases and notes payable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w w:val="85"/>
              </w:rPr>
              <w:t>(209,682)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(3,758)</w:t>
            </w:r>
          </w:p>
        </w:tc>
        <w:tc>
          <w:tcPr>
            <w:tcW w:w="0" w:type="dxa"/>
            <w:vAlign w:val="bottom"/>
          </w:tcPr>
          <w:p>
            <w:pPr>
              <w:spacing w:after="0"/>
              <w:rPr>
                <w:sz w:val="1"/>
                <w:szCs w:val="1"/>
                <w:color w:val="auto"/>
              </w:rPr>
            </w:pPr>
          </w:p>
        </w:tc>
      </w:tr>
      <w:tr>
        <w:trPr>
          <w:trHeight w:val="216"/>
        </w:trPr>
        <w:tc>
          <w:tcPr>
            <w:tcW w:w="9420" w:type="dxa"/>
            <w:vAlign w:val="bottom"/>
          </w:tcPr>
          <w:p>
            <w:pPr>
              <w:ind w:left="440"/>
              <w:spacing w:after="0"/>
              <w:rPr>
                <w:sz w:val="20"/>
                <w:szCs w:val="20"/>
                <w:color w:val="auto"/>
              </w:rPr>
            </w:pPr>
            <w:r>
              <w:rPr>
                <w:rFonts w:ascii="Arial" w:cs="Arial" w:eastAsia="Arial" w:hAnsi="Arial"/>
                <w:sz w:val="18"/>
                <w:szCs w:val="18"/>
                <w:color w:val="auto"/>
              </w:rPr>
              <w:t>Issuance of common shares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2,795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5,634</w:t>
            </w: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Dividends paid to common and preferred shareholders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w w:val="98"/>
              </w:rPr>
              <w:t>(77,008)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(71,896)</w:t>
            </w:r>
          </w:p>
        </w:tc>
        <w:tc>
          <w:tcPr>
            <w:tcW w:w="0" w:type="dxa"/>
            <w:vAlign w:val="bottom"/>
          </w:tcPr>
          <w:p>
            <w:pPr>
              <w:spacing w:after="0"/>
              <w:rPr>
                <w:sz w:val="1"/>
                <w:szCs w:val="1"/>
                <w:color w:val="auto"/>
              </w:rPr>
            </w:pPr>
          </w:p>
        </w:tc>
      </w:tr>
      <w:tr>
        <w:trPr>
          <w:trHeight w:val="216"/>
        </w:trPr>
        <w:tc>
          <w:tcPr>
            <w:tcW w:w="9420" w:type="dxa"/>
            <w:vAlign w:val="bottom"/>
          </w:tcPr>
          <w:p>
            <w:pPr>
              <w:ind w:left="440"/>
              <w:spacing w:after="0"/>
              <w:rPr>
                <w:sz w:val="20"/>
                <w:szCs w:val="20"/>
                <w:color w:val="auto"/>
              </w:rPr>
            </w:pPr>
            <w:r>
              <w:rPr>
                <w:rFonts w:ascii="Arial" w:cs="Arial" w:eastAsia="Arial" w:hAnsi="Arial"/>
                <w:sz w:val="18"/>
                <w:szCs w:val="18"/>
                <w:color w:val="auto"/>
              </w:rPr>
              <w:t>Distributions to noncontrolling interests</w:t>
            </w:r>
          </w:p>
        </w:tc>
        <w:tc>
          <w:tcPr>
            <w:tcW w:w="100" w:type="dxa"/>
            <w:vAlign w:val="bottom"/>
          </w:tcPr>
          <w:p>
            <w:pPr>
              <w:spacing w:after="0"/>
              <w:rPr>
                <w:sz w:val="18"/>
                <w:szCs w:val="18"/>
                <w:color w:val="auto"/>
              </w:rPr>
            </w:pPr>
          </w:p>
        </w:tc>
        <w:tc>
          <w:tcPr>
            <w:tcW w:w="880" w:type="dxa"/>
            <w:vAlign w:val="bottom"/>
            <w:gridSpan w:val="2"/>
          </w:tcPr>
          <w:p>
            <w:pPr>
              <w:jc w:val="right"/>
              <w:ind w:right="132"/>
              <w:spacing w:after="0"/>
              <w:rPr>
                <w:sz w:val="20"/>
                <w:szCs w:val="20"/>
                <w:color w:val="auto"/>
              </w:rPr>
            </w:pPr>
            <w:r>
              <w:rPr>
                <w:rFonts w:ascii="Arial" w:cs="Arial" w:eastAsia="Arial" w:hAnsi="Arial"/>
                <w:sz w:val="18"/>
                <w:szCs w:val="18"/>
                <w:color w:val="auto"/>
              </w:rPr>
              <w:t>(3,337)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(2,716)</w:t>
            </w:r>
          </w:p>
        </w:tc>
        <w:tc>
          <w:tcPr>
            <w:tcW w:w="0" w:type="dxa"/>
            <w:vAlign w:val="bottom"/>
          </w:tcPr>
          <w:p>
            <w:pPr>
              <w:spacing w:after="0"/>
              <w:rPr>
                <w:sz w:val="1"/>
                <w:szCs w:val="1"/>
                <w:color w:val="auto"/>
              </w:rPr>
            </w:pPr>
          </w:p>
        </w:tc>
      </w:tr>
      <w:tr>
        <w:trPr>
          <w:trHeight w:val="27"/>
        </w:trPr>
        <w:tc>
          <w:tcPr>
            <w:tcW w:w="9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63,615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(43,736)</w:t>
            </w:r>
          </w:p>
        </w:tc>
        <w:tc>
          <w:tcPr>
            <w:tcW w:w="0" w:type="dxa"/>
            <w:vAlign w:val="bottom"/>
          </w:tcPr>
          <w:p>
            <w:pPr>
              <w:spacing w:after="0"/>
              <w:rPr>
                <w:sz w:val="1"/>
                <w:szCs w:val="1"/>
                <w:color w:val="auto"/>
              </w:rPr>
            </w:pPr>
          </w:p>
        </w:tc>
      </w:tr>
      <w:tr>
        <w:trPr>
          <w:trHeight w:val="20"/>
        </w:trPr>
        <w:tc>
          <w:tcPr>
            <w:tcW w:w="9420" w:type="dxa"/>
            <w:vAlign w:val="bottom"/>
            <w:vMerge w:val="restart"/>
          </w:tcPr>
          <w:p>
            <w:pPr>
              <w:spacing w:after="0"/>
              <w:rPr>
                <w:sz w:val="20"/>
                <w:szCs w:val="20"/>
                <w:color w:val="auto"/>
              </w:rPr>
            </w:pPr>
            <w:r>
              <w:rPr>
                <w:rFonts w:ascii="Arial" w:cs="Arial" w:eastAsia="Arial" w:hAnsi="Arial"/>
                <w:sz w:val="18"/>
                <w:szCs w:val="18"/>
                <w:color w:val="auto"/>
              </w:rPr>
              <w:t>Increase (decrease) in cash and cash equivalents</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4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154,836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(30,410)</w:t>
            </w:r>
          </w:p>
        </w:tc>
        <w:tc>
          <w:tcPr>
            <w:tcW w:w="0" w:type="dxa"/>
            <w:vAlign w:val="bottom"/>
          </w:tcPr>
          <w:p>
            <w:pPr>
              <w:spacing w:after="0"/>
              <w:rPr>
                <w:sz w:val="1"/>
                <w:szCs w:val="1"/>
                <w:color w:val="auto"/>
              </w:rPr>
            </w:pPr>
          </w:p>
        </w:tc>
      </w:tr>
      <w:tr>
        <w:trPr>
          <w:trHeight w:val="218"/>
        </w:trPr>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15,223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2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170,059</w:t>
            </w:r>
          </w:p>
        </w:tc>
        <w:tc>
          <w:tcPr>
            <w:tcW w:w="24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20,281</w:t>
            </w:r>
          </w:p>
        </w:tc>
        <w:tc>
          <w:tcPr>
            <w:tcW w:w="0" w:type="dxa"/>
            <w:vAlign w:val="bottom"/>
          </w:tcPr>
          <w:p>
            <w:pPr>
              <w:spacing w:after="0"/>
              <w:rPr>
                <w:sz w:val="1"/>
                <w:szCs w:val="1"/>
                <w:color w:val="auto"/>
              </w:rPr>
            </w:pPr>
          </w:p>
        </w:tc>
      </w:tr>
      <w:tr>
        <w:trPr>
          <w:trHeight w:val="20"/>
        </w:trPr>
        <w:tc>
          <w:tcPr>
            <w:tcW w:w="9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Federal Realty Investment Trust</w:t>
      </w:r>
    </w:p>
    <w:p>
      <w:pPr>
        <w:spacing w:after="0" w:line="17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2009</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A—SUMMARY OF SIGNIFICANT ACCOUNTING POLICIES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and Organization</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Federal Realty Investment Trust (the “Trust”) is an equity real estate investment trust specializing in the ownership, management, and redevelopment of retail and mixed-use properties. Our properties are located primarily in densely populated and affluent communities in strategically selected metropolitan markets in the Mid-Atlantic and Northeast regions of the United States, as well as in California. As of June 30, 2009, we owned or had a majority interest in community and neighborhood shopping centers and mixed-use projects which are operated as 84 predominantly retail real estate properties.</w:t>
      </w:r>
    </w:p>
    <w:p>
      <w:pPr>
        <w:spacing w:after="0" w:line="113"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We operate in a manner intended to enable us to qualify as a real estate investment trust (or REIT) for federal income tax purposes. A REIT that distributes at least 90% of its REIT taxable income to its shareholders each year and meets certain other conditions is not taxed on that portion of its taxable income which is distributed to its shareholders. Therefore, federal income taxes on our REIT taxable income have been and are generally expected to be immaterial. We are obligated to pay state taxes, generally consisting of franchise or gross receipts taxes in certain states. Such state taxes also have not been material.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9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Our consolidated financial statements include the accounts of the Trust, its corporate subsidiaries, and all entities in which the Trust has a controlling interest or has been determined to be the primary beneficiary of a variable interest entity. The equity interests of other investors are reflected as noncontrolling interests. All significant intercompany transactions and balances are eliminated in consolidation. We account for our interests in joint ventures, which we do not control or manage, using the equity method of accounting. Subsequent events have been evaluated through August 4, 2009, which is the date the financial statements were issued. Certain 2008 amounts have been reclassified to conform to current period presentation.</w:t>
      </w:r>
    </w:p>
    <w:p>
      <w:pPr>
        <w:spacing w:after="0" w:line="1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referred to as “GAAP,” requires management to make estimates and assumptions that in certain circumstances affect the reported amounts of assets and liabilities, disclosure of contingent assets and liabilities, and revenues and expenses. These estimates are prepared using management’s best judgment, after considering past, current and expected events and economic conditions. Actual results could differ from these estimates.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9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FASB Statement No. 131, “Disclosures about Segments of an Enterprise and Related Information” (“SFAS No. 131”) requires disclosure of certain operating and financial data with respect to separate business activities within an enterprise. Our primary business is the ownership, management, and redevelopment of retail and mixed use properties. We review operating and financial information for each property on an individual basis and therefore, each property represents an individual operating segment. We evaluate financial performance using property operating income, which consists of rental income, other property income and mortgage interest income, less rental expenses and real estate taxes. No individual property constitutes more than 10% of our revenues or property operating income and we have no operations outside of the United States of America. Therefore, we have aggregated our properties into one reportable segment as the properties share similar long-term economic characteristics and have other similarities including the fact that they are operated using consistent business strategies, are typically located in major metropolitan areas, and have similar tenant mixes.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Flows—Supplemental Disclosures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supplemental disclosures related to the Consolidated Statements of Cash Flows: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86"/>
              </w:rPr>
              <w:t>Six Months Ended June 30,</w:t>
            </w:r>
          </w:p>
        </w:tc>
        <w:tc>
          <w:tcPr>
            <w:tcW w:w="0" w:type="dxa"/>
            <w:vAlign w:val="bottom"/>
          </w:tcPr>
          <w:p>
            <w:pPr>
              <w:spacing w:after="0"/>
              <w:rPr>
                <w:sz w:val="1"/>
                <w:szCs w:val="1"/>
                <w:color w:val="auto"/>
              </w:rPr>
            </w:pPr>
          </w:p>
        </w:tc>
      </w:tr>
      <w:tr>
        <w:trPr>
          <w:trHeight w:val="142"/>
        </w:trPr>
        <w:tc>
          <w:tcPr>
            <w:tcW w:w="71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1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1080" w:type="dxa"/>
            <w:vAlign w:val="bottom"/>
            <w:gridSpan w:val="4"/>
          </w:tcPr>
          <w:p>
            <w:pPr>
              <w:jc w:val="right"/>
              <w:ind w:right="375"/>
              <w:spacing w:after="0" w:line="142" w:lineRule="exact"/>
              <w:rPr>
                <w:sz w:val="20"/>
                <w:szCs w:val="20"/>
                <w:color w:val="auto"/>
              </w:rPr>
            </w:pPr>
            <w:r>
              <w:rPr>
                <w:rFonts w:ascii="Arial" w:cs="Arial" w:eastAsia="Arial" w:hAnsi="Arial"/>
                <w:sz w:val="14"/>
                <w:szCs w:val="14"/>
                <w:b w:val="1"/>
                <w:bCs w:val="1"/>
                <w:color w:val="auto"/>
                <w:w w:val="79"/>
              </w:rPr>
              <w:t>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w:t>
            </w:r>
          </w:p>
        </w:tc>
        <w:tc>
          <w:tcPr>
            <w:tcW w:w="2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ind w:left="440"/>
              <w:spacing w:after="0"/>
              <w:rPr>
                <w:sz w:val="20"/>
                <w:szCs w:val="20"/>
                <w:color w:val="auto"/>
              </w:rPr>
            </w:pPr>
            <w:r>
              <w:rPr>
                <w:rFonts w:ascii="Arial" w:cs="Arial" w:eastAsia="Arial" w:hAnsi="Arial"/>
                <w:sz w:val="18"/>
                <w:szCs w:val="18"/>
                <w:color w:val="auto"/>
              </w:rPr>
              <w:t>Total interest costs incurred</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52,370</w:t>
            </w:r>
          </w:p>
        </w:tc>
        <w:tc>
          <w:tcPr>
            <w:tcW w:w="200" w:type="dxa"/>
            <w:vAlign w:val="bottom"/>
          </w:tcPr>
          <w:p>
            <w:pPr>
              <w:spacing w:after="0"/>
              <w:rPr>
                <w:sz w:val="18"/>
                <w:szCs w:val="18"/>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52,098</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capitalized</w:t>
            </w:r>
          </w:p>
        </w:tc>
        <w:tc>
          <w:tcPr>
            <w:tcW w:w="2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(2,957)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(3,269)</w:t>
            </w:r>
          </w:p>
        </w:tc>
        <w:tc>
          <w:tcPr>
            <w:tcW w:w="0" w:type="dxa"/>
            <w:vAlign w:val="bottom"/>
          </w:tcPr>
          <w:p>
            <w:pPr>
              <w:spacing w:after="0"/>
              <w:rPr>
                <w:sz w:val="1"/>
                <w:szCs w:val="1"/>
                <w:color w:val="auto"/>
              </w:rPr>
            </w:pPr>
          </w:p>
        </w:tc>
      </w:tr>
      <w:tr>
        <w:trPr>
          <w:trHeight w:val="20"/>
        </w:trPr>
        <w:tc>
          <w:tcPr>
            <w:tcW w:w="7160" w:type="dxa"/>
            <w:vAlign w:val="bottom"/>
            <w:vMerge w:val="restart"/>
          </w:tcPr>
          <w:p>
            <w:pPr>
              <w:ind w:left="880"/>
              <w:spacing w:after="0"/>
              <w:rPr>
                <w:sz w:val="20"/>
                <w:szCs w:val="20"/>
                <w:color w:val="auto"/>
              </w:rPr>
            </w:pPr>
            <w:r>
              <w:rPr>
                <w:rFonts w:ascii="Arial" w:cs="Arial" w:eastAsia="Arial" w:hAnsi="Arial"/>
                <w:sz w:val="18"/>
                <w:szCs w:val="18"/>
                <w:color w:val="auto"/>
              </w:rPr>
              <w:t>Interest expense</w:t>
            </w:r>
          </w:p>
        </w:tc>
        <w:tc>
          <w:tcPr>
            <w:tcW w:w="2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160" w:type="dxa"/>
            <w:vAlign w:val="bottom"/>
            <w:vMerge w:val="continue"/>
          </w:tcPr>
          <w:p>
            <w:pPr>
              <w:spacing w:after="0"/>
              <w:rPr>
                <w:sz w:val="19"/>
                <w:szCs w:val="19"/>
                <w:color w:val="auto"/>
              </w:rPr>
            </w:pP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49,413</w:t>
            </w:r>
          </w:p>
        </w:tc>
        <w:tc>
          <w:tcPr>
            <w:tcW w:w="200" w:type="dxa"/>
            <w:vAlign w:val="bottom"/>
          </w:tcPr>
          <w:p>
            <w:pPr>
              <w:spacing w:after="0"/>
              <w:rPr>
                <w:sz w:val="19"/>
                <w:szCs w:val="19"/>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48,829</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paid for interest, net of amounts capitalized</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45,519</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46,142</w:t>
            </w:r>
          </w:p>
        </w:tc>
        <w:tc>
          <w:tcPr>
            <w:tcW w:w="0" w:type="dxa"/>
            <w:vAlign w:val="bottom"/>
          </w:tcPr>
          <w:p>
            <w:pPr>
              <w:spacing w:after="0"/>
              <w:rPr>
                <w:sz w:val="1"/>
                <w:szCs w:val="1"/>
                <w:color w:val="auto"/>
              </w:rPr>
            </w:pPr>
          </w:p>
        </w:tc>
      </w:tr>
      <w:tr>
        <w:trPr>
          <w:trHeight w:val="20"/>
        </w:trPr>
        <w:tc>
          <w:tcPr>
            <w:tcW w:w="7160" w:type="dxa"/>
            <w:vAlign w:val="bottom"/>
            <w:vMerge w:val="restart"/>
          </w:tcPr>
          <w:p>
            <w:pPr>
              <w:ind w:left="440"/>
              <w:spacing w:after="0"/>
              <w:rPr>
                <w:sz w:val="20"/>
                <w:szCs w:val="20"/>
                <w:color w:val="auto"/>
              </w:rPr>
            </w:pPr>
            <w:r>
              <w:rPr>
                <w:rFonts w:ascii="Arial" w:cs="Arial" w:eastAsia="Arial" w:hAnsi="Arial"/>
                <w:sz w:val="18"/>
                <w:szCs w:val="18"/>
                <w:color w:val="auto"/>
              </w:rPr>
              <w:t>Cash paid for income taxes</w:t>
            </w:r>
          </w:p>
        </w:tc>
        <w:tc>
          <w:tcPr>
            <w:tcW w:w="2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160" w:type="dxa"/>
            <w:vAlign w:val="bottom"/>
            <w:vMerge w:val="continue"/>
          </w:tcPr>
          <w:p>
            <w:pPr>
              <w:spacing w:after="0"/>
              <w:rPr>
                <w:sz w:val="18"/>
                <w:szCs w:val="18"/>
                <w:color w:val="auto"/>
              </w:rPr>
            </w:pP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72"/>
              <w:spacing w:after="0"/>
              <w:rPr>
                <w:sz w:val="20"/>
                <w:szCs w:val="20"/>
                <w:color w:val="auto"/>
              </w:rPr>
            </w:pPr>
            <w:r>
              <w:rPr>
                <w:rFonts w:ascii="Arial" w:cs="Arial" w:eastAsia="Arial" w:hAnsi="Arial"/>
                <w:sz w:val="18"/>
                <w:szCs w:val="18"/>
                <w:color w:val="auto"/>
              </w:rPr>
              <w:t>(546)</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NON-CASH FINANCING AND INVESTING TRANSACTIONS:</w:t>
            </w:r>
          </w:p>
        </w:tc>
        <w:tc>
          <w:tcPr>
            <w:tcW w:w="2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ind w:left="440"/>
              <w:spacing w:after="0"/>
              <w:rPr>
                <w:sz w:val="20"/>
                <w:szCs w:val="20"/>
                <w:color w:val="auto"/>
              </w:rPr>
            </w:pPr>
            <w:r>
              <w:rPr>
                <w:rFonts w:ascii="Arial" w:cs="Arial" w:eastAsia="Arial" w:hAnsi="Arial"/>
                <w:sz w:val="18"/>
                <w:szCs w:val="18"/>
                <w:color w:val="auto"/>
              </w:rPr>
              <w:t>Decrease in valuation of interest rate swap</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12"/>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Note payable issued with acquisition</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2,221</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Capitalized lease costs are direct costs incurred which were essential to originate a lease and would not have been incurred had the leasing transaction not taken place. These costs include third party commissions and salaries and personnel costs related to obtaining a lease. Capitalized lease costs are amortized over the initial term of the related lease which generally ranges from three to ten years. We view these lease costs as part of the up-front initial investment we made in order to generate a long-term cash inflow and therefore, we classify cash outflows related to leasing costs as an investing activity in our Consolidated Statements of Cash Flows.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96"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On December 4, 2007, the FASB issued Statement No. 141 (R), “Business Combinations” (“SFAS No. 141 (R)”), which we adopted effective January 1, 2009. SFAS No. 141 (R) broadens and clarifies the definition of a business which will result in significantly more of our acquisitions being treated as business combinations rather than asset acquisitions. SFAS No. 141 (R) is effective for business combinations for which the acquisition date is on or after January 1, 2009, and therefore, will only impact prospective acquisitions with no change to the accounting for acquisitions completed prior to or on December 31, 2008. The new standard requires us to expense as incurred all acquisition related transaction costs which could include broker fees, transfer taxes, legal, accounting, valuation, and other professional and consulting fees. For acquisitions prior to January 1, 2009, such acquisition costs were capitalized as part of the acquisition cost. While the adoption did not have a material impact on our financial statements for the three and six months ended June 30, 2009, the impact to our future consolidated financial statements will vary significantly depending on the timing and number of acquisitions or potential acquisitions, size of the acquisitions, and location of the acquisitions. Based on acquisitions in the last three years, transaction costs for single asset acquisitions typically ranged from $0.1 million to $1.0 million with significantly higher transaction costs for an acquisition of a larger portfolio. The new standard includes several other changes to the accounting for business combinations including requiring contingent consideration to be measured at fair value at acquisition and subsequently remeasured through the income statement if accounted for as a liability as the fair value changes, any adjustments during the purchase price allocation period to be “pushed back” to the acquisition date with prior periods being adjusted for any changes, and the business combination to be accounted for on the acquisition date or the date control is obtained. During 2008, we expensed all acquisition related costs for acquisitions which did not close prior to December 31, 2008.</w:t>
      </w:r>
    </w:p>
    <w:p>
      <w:pPr>
        <w:spacing w:after="0" w:line="12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On December 4, 2007, the FASB issued Statement No. 160, “Noncontrolling Interests in Consolidated Financial Statements—an amendment of ARB 51” (“SFAS No. 160”). The new standard significantly changes the accounting and reporting of minority interests in the consolidated financial statements. The new standard requires a noncontrolling interest, which was previously referred to as a minority interest, to be recognized as a component of equity rather than included in the mezzanine section of the balance sheet where it was previously presented. Effective January 1, 2009, we reclassified $32.4 million from the mezzanine section of the balance sheet to shareholders’ equity. The terminology “minority interest” has been changed to “noncontrolling interest”. The “minority interest” caption on the statement of operations is now reflected as “net income attributable to noncontrolling interests” and shown after consolidated net income. This is a presentation only change for minority interest on both the balance sheet and statement of operations and has no impact to net income, total liabilities and shareholders’ equity, or earnings per share. The statement also requires the recognition of 100% of the fair value of assets acquired and liabilities assumed in acquisitions of less than 100% controlling interest with subsequent acquisitions of the noncontrolling interest recorded as equity transactions. SFAS No. 160 was adopted effective January 1, 2009 and has been applied prospectively except for the presentation changes to the balance sheet and statement of operations which have been applied retrospectively in the 2008 consolidated financial statements. While there was no additional impact on the consolidated financial statements during the three and six months ended June 30, 2009, the impact on our future consolidated financial statements will vary depending on the level of transactions with entities involving noncontrolling interests.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March 2008, the FASB issued SFAS No. 161, “Disclosures about Derivative Instruments and Hedging Activities, an amendment of FASB Statement No. 133” (“SFAS No. 161”). SFAS No. 161 requires enhanced disclosures about an entity’s derivative instruments and hedging activities and is effective for fiscal years beginning after November 15, 2008. We adopted SFAS No. 161 effective January 1, 2009 and the adoption did not have an impact on our consolidated financial statements as we currently have no derivative instruments outstanding.</w:t>
      </w:r>
    </w:p>
    <w:p>
      <w:pPr>
        <w:spacing w:after="0" w:line="143"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In June 2008, the FASB issued FSP EITF No. 03-6-1, “Determining Whether Instruments Granted in Share-Based Payment Transactions Are Participating Securities” (“FSP EITF No. 03-6-1”) which we adopted effective January 1, 2009. FSP EITF No. 03-6-1 and the impact of the adoption on our consolidated financial statements are further discussed in Note J to these consolidated financial statements.</w:t>
      </w:r>
    </w:p>
    <w:p>
      <w:pPr>
        <w:spacing w:after="0" w:line="14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November 2008, the EITF issued Issue 08-6, “Equity Method Investment Accounting Considerations” (“EITF 08-6”), which clarified the accounting for certain transactions and impairment considerations involving equity method investments. EITF 08-6 clarified that equity method investments should initially be measured at cost, the issuance of shares by the investee would result in a gain or loss on issuance of shares reflected in the income statement of the equity investor, and that a loss in value of an equity investment which is other than a temporary decline should be recognized in accordance with APB 18, “The Equity Method of Accounting for Investments in Common Stock”. The consensus was effective on a prospective basis beginning on January 1, 2009, and did not have a material impact on our financial position, results of operations, or cash flows.</w:t>
      </w:r>
    </w:p>
    <w:p>
      <w:pPr>
        <w:spacing w:after="0" w:line="120"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In April 2009, FSP No. FAS 107-1 and APB 28-1, “Interim Disclosures about Fair Value of Financial Instruments” was issued which requires disclosure regarding the fair value of financial instruments for interim reporting periods as well as in annual financial statements. We adopted the FSP during the quarter ended June 30, 2009, and have included the additional disclosures in Note E to these consolidated financial statements.</w:t>
      </w:r>
    </w:p>
    <w:p>
      <w:pPr>
        <w:spacing w:after="0" w:line="107"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In May 2009, the FASB issued Statement No. 165, “Subsequent Events” (“SFAS No. 165”), which establishes general standards of accounting and disclosure of events that occur after the balance sheet date but before the financial statements are issued or available to be issued and requires disclosure of the date through which subsequent events have been evaluated. We adopted the standard in the quarter ended June 30, 2009, and consequently have added disclosure in Note A under “Basis of Presentation” regarding the date through which we have evaluated subsequent events.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June 2009, the FASB issued Statement No. 167, “Amendments to FASB Interpretation No. 46(R)” (“SFAS No. 167”), which provides certain changes to the evaluation of a variable interest entity (VIE) including requiring a qualitative rather than quantitative analysis to determine the primary beneficiary of a VIE, continuous assessments of whether an enterprise is the primary beneficiary of a VIE, and enhanced disclosures about an enterprise’s involvement with a VIE. The statement is effective January 1, 2010, and is applicable to all entities in which an enterprise has a variable interest. We are currently evaluating the impact SFAS No. 167 will have on our consolidated financial statements.</w:t>
      </w:r>
    </w:p>
    <w:p>
      <w:pPr>
        <w:spacing w:after="0" w:line="143"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 June 2009, the FASB issued Statement No. 168, “The FASB Accounting Standards Codification and the Hierarchy of Generally Accepted Accounting Principles – a replacement of FASB Statement No. 162” (“SFAS No. 168”), which makes the FASB Accounting Standards Codification (“Codification”) the single source of authoritative literature for U.S. accounting and reporting standards. The Codification is not meant to change existing GAAP but rather provide a single source for all literature. SFAS No. 168 is effective for the interim period ending September 30, 2009, and will require us to change certain disclosures in our financial statements to reflect Codification references rather than references to FASB Statements, Staff Positions or Emerging Issues Task Force Abstracts. The adoption of SFAS No. 168 will not have a material impact on our consolidated financial statements.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B—REAL ESTATE</w:t>
      </w:r>
    </w:p>
    <w:p>
      <w:pPr>
        <w:spacing w:after="0" w:line="96" w:lineRule="exact"/>
        <w:rPr>
          <w:sz w:val="20"/>
          <w:szCs w:val="20"/>
          <w:color w:val="auto"/>
        </w:rPr>
      </w:pPr>
    </w:p>
    <w:p>
      <w:pPr>
        <w:ind w:right="420"/>
        <w:spacing w:after="0" w:line="370" w:lineRule="auto"/>
        <w:rPr>
          <w:sz w:val="20"/>
          <w:szCs w:val="20"/>
          <w:color w:val="auto"/>
        </w:rPr>
      </w:pPr>
      <w:r>
        <w:rPr>
          <w:rFonts w:ascii="Arial" w:cs="Arial" w:eastAsia="Arial" w:hAnsi="Arial"/>
          <w:sz w:val="15"/>
          <w:szCs w:val="15"/>
          <w:color w:val="auto"/>
        </w:rPr>
        <w:t>On June 26, 2009, one of our tenants acquired from us our fee interest in a land parcel in White Marsh, Maryland, that was subject to a long-term ground lease. The ground lease involved an option for the tenant to purchase the fee interest. The sales price was $2.1 million and resulted in a gain of $0.4 million.</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color w:val="auto"/>
        </w:rPr>
        <w:t>The revenue from properties included in discontinued operations was $0.1 million and $1.0 million for the three months ended June 30, 2009 and 2008, respectively, and $0.2 million and $2.0 million for the six months ended June 30, 2009 and 2008,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C—REAL ESTATE PARTNERSHIP</w:t>
      </w:r>
    </w:p>
    <w:p>
      <w:pPr>
        <w:spacing w:after="0" w:line="9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We have a joint venture arrangement (“the Partnership”) with affiliates of a discretionary fund created and advised by ING Clarion Partners (“Clarion”). We own 30% of the equity in the Partnership and Clarion owns 70%. We hold a general partnership interest, however, Clarion has substantive participating rights and we cannot make significant decisions without Clarion’s approval. Accordingly, we account for our interest in the Partnership using the equity method. As of June 30, 2009, the Partnership owned seven retail real estate properties. We are the manager of the Partnership and its properties, earning fees for acquisitions, dispositions, management, leasing, and financing. We also have the opportunity to receive performance-based earnings through our Partnership interest.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summarized operating results and the financial position of the Partnership:</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460" w:type="dxa"/>
            <w:vAlign w:val="bottom"/>
            <w:gridSpan w:val="8"/>
          </w:tcPr>
          <w:p>
            <w:pPr>
              <w:ind w:left="60"/>
              <w:spacing w:after="0"/>
              <w:rPr>
                <w:sz w:val="20"/>
                <w:szCs w:val="20"/>
                <w:color w:val="auto"/>
              </w:rPr>
            </w:pPr>
            <w:r>
              <w:rPr>
                <w:rFonts w:ascii="Arial" w:cs="Arial" w:eastAsia="Arial" w:hAnsi="Arial"/>
                <w:sz w:val="14"/>
                <w:szCs w:val="14"/>
                <w:b w:val="1"/>
                <w:bCs w:val="1"/>
                <w:color w:val="auto"/>
                <w:w w:val="99"/>
              </w:rPr>
              <w:t>Three Months Ended</w:t>
            </w:r>
          </w:p>
        </w:tc>
        <w:tc>
          <w:tcPr>
            <w:tcW w:w="120" w:type="dxa"/>
            <w:vAlign w:val="bottom"/>
          </w:tcPr>
          <w:p>
            <w:pPr>
              <w:spacing w:after="0"/>
              <w:rPr>
                <w:sz w:val="14"/>
                <w:szCs w:val="14"/>
                <w:color w:val="auto"/>
              </w:rPr>
            </w:pPr>
          </w:p>
        </w:tc>
        <w:tc>
          <w:tcPr>
            <w:tcW w:w="1240" w:type="dxa"/>
            <w:vAlign w:val="bottom"/>
            <w:gridSpan w:val="9"/>
          </w:tcPr>
          <w:p>
            <w:pPr>
              <w:jc w:val="right"/>
              <w:ind w:right="100"/>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7"/>
          </w:tcPr>
          <w:p>
            <w:pPr>
              <w:jc w:val="right"/>
              <w:ind w:right="38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89"/>
              </w:rPr>
              <w:t>2009</w:t>
            </w: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gridSpan w:val="3"/>
          </w:tcPr>
          <w:p>
            <w:pPr>
              <w:jc w:val="right"/>
              <w:ind w:right="75"/>
              <w:spacing w:after="0" w:line="142" w:lineRule="exact"/>
              <w:rPr>
                <w:sz w:val="20"/>
                <w:szCs w:val="20"/>
                <w:color w:val="auto"/>
              </w:rPr>
            </w:pPr>
            <w:r>
              <w:rPr>
                <w:rFonts w:ascii="Arial" w:cs="Arial" w:eastAsia="Arial" w:hAnsi="Arial"/>
                <w:sz w:val="14"/>
                <w:szCs w:val="14"/>
                <w:b w:val="1"/>
                <w:bCs w:val="1"/>
                <w:color w:val="auto"/>
                <w:w w:val="83"/>
              </w:rPr>
              <w:t>2008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9"/>
              </w:rPr>
              <w:t>2009</w:t>
            </w:r>
          </w:p>
        </w:tc>
        <w:tc>
          <w:tcPr>
            <w:tcW w:w="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10"/>
          </w:tcPr>
          <w:p>
            <w:pPr>
              <w:ind w:left="60"/>
              <w:spacing w:after="0" w:line="142" w:lineRule="exact"/>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OPERATING RESULTS</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Revenue</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4,808</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w w:val="93"/>
              </w:rPr>
              <w:t>4,806</w:t>
            </w:r>
          </w:p>
        </w:tc>
        <w:tc>
          <w:tcPr>
            <w:tcW w:w="100" w:type="dxa"/>
            <w:vAlign w:val="bottom"/>
          </w:tcPr>
          <w:p>
            <w:pPr>
              <w:spacing w:after="0"/>
              <w:rPr>
                <w:sz w:val="18"/>
                <w:szCs w:val="18"/>
                <w:color w:val="auto"/>
              </w:rPr>
            </w:pPr>
          </w:p>
        </w:tc>
        <w:tc>
          <w:tcPr>
            <w:tcW w:w="700" w:type="dxa"/>
            <w:vAlign w:val="bottom"/>
            <w:gridSpan w:val="6"/>
          </w:tcPr>
          <w:p>
            <w:pPr>
              <w:jc w:val="right"/>
              <w:ind w:right="80"/>
              <w:spacing w:after="0"/>
              <w:rPr>
                <w:sz w:val="20"/>
                <w:szCs w:val="20"/>
                <w:color w:val="auto"/>
              </w:rPr>
            </w:pPr>
            <w:r>
              <w:rPr>
                <w:rFonts w:ascii="Arial" w:cs="Arial" w:eastAsia="Arial" w:hAnsi="Arial"/>
                <w:sz w:val="18"/>
                <w:szCs w:val="18"/>
                <w:color w:val="auto"/>
              </w:rPr>
              <w:t>$9,496</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9,486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420"/>
              <w:spacing w:after="0"/>
              <w:rPr>
                <w:sz w:val="20"/>
                <w:szCs w:val="20"/>
                <w:color w:val="auto"/>
              </w:rPr>
            </w:pPr>
            <w:r>
              <w:rPr>
                <w:rFonts w:ascii="Arial" w:cs="Arial" w:eastAsia="Arial" w:hAnsi="Arial"/>
                <w:sz w:val="18"/>
                <w:szCs w:val="18"/>
                <w:color w:val="auto"/>
              </w:rPr>
              <w:t>Other operating expenses</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1,328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w w:val="93"/>
              </w:rPr>
              <w:t>1,166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gridSpan w:val="3"/>
          </w:tcPr>
          <w:p>
            <w:pPr>
              <w:jc w:val="right"/>
              <w:ind w:right="80"/>
              <w:spacing w:after="0"/>
              <w:rPr>
                <w:sz w:val="20"/>
                <w:szCs w:val="20"/>
                <w:color w:val="auto"/>
              </w:rPr>
            </w:pPr>
            <w:r>
              <w:rPr>
                <w:rFonts w:ascii="Arial" w:cs="Arial" w:eastAsia="Arial" w:hAnsi="Arial"/>
                <w:sz w:val="18"/>
                <w:szCs w:val="18"/>
                <w:color w:val="auto"/>
                <w:w w:val="84"/>
              </w:rPr>
              <w:t>2,984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2,505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1,215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1,192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4"/>
              </w:rPr>
              <w:t>2.486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1,132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w w:val="93"/>
              </w:rPr>
              <w:t>1,135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gridSpan w:val="3"/>
          </w:tcPr>
          <w:p>
            <w:pPr>
              <w:jc w:val="right"/>
              <w:ind w:right="80"/>
              <w:spacing w:after="0"/>
              <w:rPr>
                <w:sz w:val="20"/>
                <w:szCs w:val="20"/>
                <w:color w:val="auto"/>
              </w:rPr>
            </w:pPr>
            <w:r>
              <w:rPr>
                <w:rFonts w:ascii="Arial" w:cs="Arial" w:eastAsia="Arial" w:hAnsi="Arial"/>
                <w:sz w:val="18"/>
                <w:szCs w:val="18"/>
                <w:color w:val="auto"/>
                <w:w w:val="84"/>
              </w:rPr>
              <w:t>2,265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2,270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3,675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3,493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4"/>
              </w:rPr>
              <w:t>7,735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7,152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4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2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140" w:type="dxa"/>
            <w:vAlign w:val="bottom"/>
            <w:gridSpan w:val="2"/>
            <w:vMerge w:val="continue"/>
          </w:tcPr>
          <w:p>
            <w:pPr>
              <w:spacing w:after="0"/>
              <w:rPr>
                <w:sz w:val="19"/>
                <w:szCs w:val="19"/>
                <w:color w:val="auto"/>
              </w:rPr>
            </w:pP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1,133</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w w:val="93"/>
              </w:rPr>
              <w:t>1,313</w:t>
            </w:r>
          </w:p>
        </w:tc>
        <w:tc>
          <w:tcPr>
            <w:tcW w:w="100" w:type="dxa"/>
            <w:vAlign w:val="bottom"/>
          </w:tcPr>
          <w:p>
            <w:pPr>
              <w:spacing w:after="0"/>
              <w:rPr>
                <w:sz w:val="19"/>
                <w:szCs w:val="19"/>
                <w:color w:val="auto"/>
              </w:rPr>
            </w:pPr>
          </w:p>
        </w:tc>
        <w:tc>
          <w:tcPr>
            <w:tcW w:w="700" w:type="dxa"/>
            <w:vAlign w:val="bottom"/>
            <w:gridSpan w:val="6"/>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1,761</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2,334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Our share of net income from real estate partnership</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442</w:t>
            </w:r>
          </w:p>
        </w:tc>
        <w:tc>
          <w:tcPr>
            <w:tcW w:w="10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601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5"/>
          </w:tcPr>
          <w:p>
            <w:pPr>
              <w:jc w:val="center"/>
              <w:ind w:right="52"/>
              <w:spacing w:after="0"/>
              <w:rPr>
                <w:sz w:val="20"/>
                <w:szCs w:val="20"/>
                <w:color w:val="auto"/>
              </w:rPr>
            </w:pPr>
            <w:r>
              <w:rPr>
                <w:rFonts w:ascii="Arial" w:cs="Arial" w:eastAsia="Arial" w:hAnsi="Arial"/>
                <w:sz w:val="14"/>
                <w:szCs w:val="14"/>
                <w:b w:val="1"/>
                <w:bCs w:val="1"/>
                <w:color w:val="auto"/>
                <w:w w:val="85"/>
              </w:rPr>
              <w:t>June 30,</w:t>
            </w:r>
          </w:p>
        </w:tc>
        <w:tc>
          <w:tcPr>
            <w:tcW w:w="320" w:type="dxa"/>
            <w:vAlign w:val="bottom"/>
          </w:tcPr>
          <w:p>
            <w:pPr>
              <w:spacing w:after="0"/>
              <w:rPr>
                <w:sz w:val="24"/>
                <w:szCs w:val="24"/>
                <w:color w:val="auto"/>
              </w:rPr>
            </w:pPr>
          </w:p>
        </w:tc>
        <w:tc>
          <w:tcPr>
            <w:tcW w:w="820" w:type="dxa"/>
            <w:vAlign w:val="bottom"/>
            <w:gridSpan w:val="6"/>
          </w:tcPr>
          <w:p>
            <w:pPr>
              <w:jc w:val="right"/>
              <w:ind w:right="2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2009</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3"/>
          </w:tcPr>
          <w:p>
            <w:pPr>
              <w:jc w:val="right"/>
              <w:ind w:right="174"/>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3"/>
              </w:rPr>
              <w:t>(In</w:t>
            </w:r>
          </w:p>
        </w:tc>
        <w:tc>
          <w:tcPr>
            <w:tcW w:w="740" w:type="dxa"/>
            <w:vAlign w:val="bottom"/>
            <w:gridSpan w:val="6"/>
          </w:tcPr>
          <w:p>
            <w:pPr>
              <w:ind w:left="20"/>
              <w:spacing w:after="0" w:line="142" w:lineRule="exact"/>
              <w:rPr>
                <w:sz w:val="20"/>
                <w:szCs w:val="20"/>
                <w:color w:val="auto"/>
              </w:rPr>
            </w:pPr>
            <w:r>
              <w:rPr>
                <w:rFonts w:ascii="Arial" w:cs="Arial" w:eastAsia="Arial" w:hAnsi="Arial"/>
                <w:sz w:val="14"/>
                <w:szCs w:val="14"/>
                <w:b w:val="1"/>
                <w:bCs w:val="1"/>
                <w:color w:val="auto"/>
                <w:w w:val="92"/>
              </w:rPr>
              <w:t>thousands)</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BALANCE SHEETS</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Real estate, net</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gridSpan w:val="2"/>
          </w:tcPr>
          <w:p>
            <w:pPr>
              <w:ind w:left="80"/>
              <w:spacing w:after="0"/>
              <w:rPr>
                <w:sz w:val="20"/>
                <w:szCs w:val="20"/>
                <w:color w:val="auto"/>
              </w:rPr>
            </w:pPr>
            <w:r>
              <w:rPr>
                <w:rFonts w:ascii="Arial" w:cs="Arial" w:eastAsia="Arial" w:hAnsi="Arial"/>
                <w:sz w:val="15"/>
                <w:szCs w:val="15"/>
                <w:color w:val="auto"/>
                <w:w w:val="71"/>
              </w:rPr>
              <w:t>$</w:t>
            </w:r>
          </w:p>
        </w:tc>
        <w:tc>
          <w:tcPr>
            <w:tcW w:w="600" w:type="dxa"/>
            <w:vAlign w:val="bottom"/>
            <w:gridSpan w:val="5"/>
          </w:tcPr>
          <w:p>
            <w:pPr>
              <w:jc w:val="right"/>
              <w:spacing w:after="0"/>
              <w:rPr>
                <w:sz w:val="20"/>
                <w:szCs w:val="20"/>
                <w:color w:val="auto"/>
              </w:rPr>
            </w:pPr>
            <w:r>
              <w:rPr>
                <w:rFonts w:ascii="Arial" w:cs="Arial" w:eastAsia="Arial" w:hAnsi="Arial"/>
                <w:sz w:val="18"/>
                <w:szCs w:val="18"/>
                <w:color w:val="auto"/>
                <w:w w:val="86"/>
              </w:rPr>
              <w:t>185,793</w:t>
            </w:r>
          </w:p>
        </w:tc>
        <w:tc>
          <w:tcPr>
            <w:tcW w:w="4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95"/>
              </w:rPr>
              <w:t>187,910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3,149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2,604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Other assets</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5"/>
          </w:tcPr>
          <w:p>
            <w:pPr>
              <w:jc w:val="right"/>
              <w:spacing w:after="0"/>
              <w:rPr>
                <w:sz w:val="20"/>
                <w:szCs w:val="20"/>
                <w:color w:val="auto"/>
              </w:rPr>
            </w:pPr>
            <w:r>
              <w:rPr>
                <w:rFonts w:ascii="Arial" w:cs="Arial" w:eastAsia="Arial" w:hAnsi="Arial"/>
                <w:sz w:val="18"/>
                <w:szCs w:val="18"/>
                <w:color w:val="auto"/>
              </w:rPr>
              <w:t>6,014</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7,066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86"/>
              </w:rPr>
              <w:t>194,956</w:t>
            </w: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197,580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40" w:type="dxa"/>
            <w:vAlign w:val="bottom"/>
            <w:gridSpan w:val="2"/>
            <w:vMerge w:val="restart"/>
          </w:tcPr>
          <w:p>
            <w:pPr>
              <w:spacing w:after="0"/>
              <w:rPr>
                <w:sz w:val="20"/>
                <w:szCs w:val="20"/>
                <w:color w:val="auto"/>
              </w:rPr>
            </w:pPr>
            <w:r>
              <w:rPr>
                <w:rFonts w:ascii="Arial" w:cs="Arial" w:eastAsia="Arial" w:hAnsi="Arial"/>
                <w:sz w:val="18"/>
                <w:szCs w:val="18"/>
                <w:color w:val="auto"/>
              </w:rPr>
              <w:t>Mortgages payable</w:t>
            </w:r>
          </w:p>
        </w:tc>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gridSpan w:val="2"/>
          </w:tcPr>
          <w:p>
            <w:pPr>
              <w:spacing w:after="0" w:line="20" w:lineRule="exact"/>
              <w:rPr>
                <w:sz w:val="1"/>
                <w:szCs w:val="1"/>
                <w:color w:val="auto"/>
              </w:rPr>
            </w:pPr>
          </w:p>
        </w:tc>
        <w:tc>
          <w:tcPr>
            <w:tcW w:w="640" w:type="dxa"/>
            <w:vAlign w:val="bottom"/>
            <w:tcBorders>
              <w:top w:val="single" w:sz="8" w:color="auto"/>
              <w:bottom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140" w:type="dxa"/>
            <w:vAlign w:val="bottom"/>
            <w:gridSpan w:val="2"/>
            <w:vMerge w:val="continue"/>
          </w:tcPr>
          <w:p>
            <w:pPr>
              <w:spacing w:after="0"/>
              <w:rPr>
                <w:sz w:val="18"/>
                <w:szCs w:val="18"/>
                <w:color w:val="auto"/>
              </w:rPr>
            </w:pP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gridSpan w:val="2"/>
          </w:tcPr>
          <w:p>
            <w:pPr>
              <w:ind w:left="80"/>
              <w:spacing w:after="0"/>
              <w:rPr>
                <w:sz w:val="20"/>
                <w:szCs w:val="20"/>
                <w:color w:val="auto"/>
              </w:rPr>
            </w:pPr>
            <w:r>
              <w:rPr>
                <w:rFonts w:ascii="Arial" w:cs="Arial" w:eastAsia="Arial" w:hAnsi="Arial"/>
                <w:sz w:val="15"/>
                <w:szCs w:val="15"/>
                <w:color w:val="auto"/>
                <w:w w:val="71"/>
              </w:rPr>
              <w:t>$</w:t>
            </w:r>
          </w:p>
        </w:tc>
        <w:tc>
          <w:tcPr>
            <w:tcW w:w="600" w:type="dxa"/>
            <w:vAlign w:val="bottom"/>
            <w:gridSpan w:val="5"/>
          </w:tcPr>
          <w:p>
            <w:pPr>
              <w:jc w:val="right"/>
              <w:spacing w:after="0"/>
              <w:rPr>
                <w:sz w:val="20"/>
                <w:szCs w:val="20"/>
                <w:color w:val="auto"/>
              </w:rPr>
            </w:pPr>
            <w:r>
              <w:rPr>
                <w:rFonts w:ascii="Arial" w:cs="Arial" w:eastAsia="Arial" w:hAnsi="Arial"/>
                <w:sz w:val="18"/>
                <w:szCs w:val="18"/>
                <w:color w:val="auto"/>
              </w:rPr>
              <w:t>81,274</w:t>
            </w:r>
          </w:p>
        </w:tc>
        <w:tc>
          <w:tcPr>
            <w:tcW w:w="4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4"/>
          </w:tcPr>
          <w:p>
            <w:pPr>
              <w:jc w:val="right"/>
              <w:ind w:right="20"/>
              <w:spacing w:after="0"/>
              <w:rPr>
                <w:sz w:val="20"/>
                <w:szCs w:val="20"/>
                <w:color w:val="auto"/>
              </w:rPr>
            </w:pPr>
            <w:r>
              <w:rPr>
                <w:rFonts w:ascii="Arial" w:cs="Arial" w:eastAsia="Arial" w:hAnsi="Arial"/>
                <w:sz w:val="18"/>
                <w:szCs w:val="18"/>
                <w:color w:val="auto"/>
              </w:rPr>
              <w:t>81,365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6,543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7,363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Partners’ capital</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5"/>
          </w:tcPr>
          <w:p>
            <w:pPr>
              <w:jc w:val="right"/>
              <w:spacing w:after="0"/>
              <w:rPr>
                <w:sz w:val="20"/>
                <w:szCs w:val="20"/>
                <w:color w:val="auto"/>
              </w:rPr>
            </w:pPr>
            <w:r>
              <w:rPr>
                <w:rFonts w:ascii="Arial" w:cs="Arial" w:eastAsia="Arial" w:hAnsi="Arial"/>
                <w:sz w:val="18"/>
                <w:szCs w:val="18"/>
                <w:color w:val="auto"/>
                <w:w w:val="86"/>
              </w:rPr>
              <w:t>107,139</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95"/>
              </w:rPr>
              <w:t>108,852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 and partners’ capital</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86"/>
              </w:rPr>
              <w:t>194,956</w:t>
            </w: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197,580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40" w:type="dxa"/>
            <w:vAlign w:val="bottom"/>
            <w:gridSpan w:val="2"/>
            <w:vMerge w:val="restart"/>
          </w:tcPr>
          <w:p>
            <w:pPr>
              <w:spacing w:after="0"/>
              <w:rPr>
                <w:sz w:val="20"/>
                <w:szCs w:val="20"/>
                <w:color w:val="auto"/>
              </w:rPr>
            </w:pPr>
            <w:r>
              <w:rPr>
                <w:rFonts w:ascii="Arial" w:cs="Arial" w:eastAsia="Arial" w:hAnsi="Arial"/>
                <w:sz w:val="18"/>
                <w:szCs w:val="18"/>
                <w:color w:val="auto"/>
              </w:rPr>
              <w:t>Our share of unconsolidated debt</w:t>
            </w:r>
          </w:p>
        </w:tc>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gridSpan w:val="2"/>
          </w:tcPr>
          <w:p>
            <w:pPr>
              <w:spacing w:after="0" w:line="20" w:lineRule="exact"/>
              <w:rPr>
                <w:sz w:val="1"/>
                <w:szCs w:val="1"/>
                <w:color w:val="auto"/>
              </w:rPr>
            </w:pPr>
          </w:p>
        </w:tc>
        <w:tc>
          <w:tcPr>
            <w:tcW w:w="640" w:type="dxa"/>
            <w:vAlign w:val="bottom"/>
            <w:tcBorders>
              <w:top w:val="single" w:sz="8" w:color="auto"/>
              <w:bottom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140" w:type="dxa"/>
            <w:vAlign w:val="bottom"/>
            <w:gridSpan w:val="2"/>
            <w:vMerge w:val="continue"/>
          </w:tcPr>
          <w:p>
            <w:pPr>
              <w:spacing w:after="0"/>
              <w:rPr>
                <w:sz w:val="18"/>
                <w:szCs w:val="18"/>
                <w:color w:val="auto"/>
              </w:rPr>
            </w:pP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gridSpan w:val="2"/>
          </w:tcPr>
          <w:p>
            <w:pPr>
              <w:ind w:left="80"/>
              <w:spacing w:after="0"/>
              <w:rPr>
                <w:sz w:val="20"/>
                <w:szCs w:val="20"/>
                <w:color w:val="auto"/>
              </w:rPr>
            </w:pPr>
            <w:r>
              <w:rPr>
                <w:rFonts w:ascii="Arial" w:cs="Arial" w:eastAsia="Arial" w:hAnsi="Arial"/>
                <w:sz w:val="15"/>
                <w:szCs w:val="15"/>
                <w:color w:val="auto"/>
                <w:w w:val="71"/>
              </w:rPr>
              <w:t>$</w:t>
            </w:r>
          </w:p>
        </w:tc>
        <w:tc>
          <w:tcPr>
            <w:tcW w:w="600" w:type="dxa"/>
            <w:vAlign w:val="bottom"/>
            <w:gridSpan w:val="5"/>
          </w:tcPr>
          <w:p>
            <w:pPr>
              <w:jc w:val="right"/>
              <w:spacing w:after="0"/>
              <w:rPr>
                <w:sz w:val="20"/>
                <w:szCs w:val="20"/>
                <w:color w:val="auto"/>
              </w:rPr>
            </w:pPr>
            <w:r>
              <w:rPr>
                <w:rFonts w:ascii="Arial" w:cs="Arial" w:eastAsia="Arial" w:hAnsi="Arial"/>
                <w:sz w:val="18"/>
                <w:szCs w:val="18"/>
                <w:color w:val="auto"/>
              </w:rPr>
              <w:t>24,382</w:t>
            </w:r>
          </w:p>
        </w:tc>
        <w:tc>
          <w:tcPr>
            <w:tcW w:w="4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4"/>
          </w:tcPr>
          <w:p>
            <w:pPr>
              <w:jc w:val="right"/>
              <w:ind w:right="20"/>
              <w:spacing w:after="0"/>
              <w:rPr>
                <w:sz w:val="20"/>
                <w:szCs w:val="20"/>
                <w:color w:val="auto"/>
              </w:rPr>
            </w:pPr>
            <w:r>
              <w:rPr>
                <w:rFonts w:ascii="Arial" w:cs="Arial" w:eastAsia="Arial" w:hAnsi="Arial"/>
                <w:sz w:val="18"/>
                <w:szCs w:val="18"/>
                <w:color w:val="auto"/>
              </w:rPr>
              <w:t>24,410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Our investment in real estate partnership</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6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28,801</w:t>
            </w: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29,252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D—DEBT</w:t>
      </w:r>
    </w:p>
    <w:p>
      <w:pPr>
        <w:spacing w:after="0" w:line="9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On January 5, 2009, we repaid the $4.4 million mortgage loan on a small portion of Mercer Mall which had an original maturity date of April 1, 2009. This loan was repaid with funds borrowed on our $300 million revolving credit facility.</w:t>
      </w:r>
    </w:p>
    <w:p>
      <w:pPr>
        <w:spacing w:after="0" w:line="13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On various dates from January 12, 2009 to April 1, 2009, we purchased and retired $11.1 million of our 8.75% senior notes. These notes were repaid with funds borrowed on our $300 million revolving credit facility.</w:t>
      </w:r>
    </w:p>
    <w:p>
      <w:pPr>
        <w:spacing w:after="0" w:line="13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On April 14, 2009, we closed on a $24.1 million, ten year loan secured by Rollingwood Apartments in Silver Spring, Maryland. The loan bears interest at 5.54% and matures on May 1, 2019.</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On May 4, 2009, we refinanced our then existing $200 million term loan with a new $372 million term loan which bears interest at LIBOR, subject to a 1.50% floor, plus 300 basis points and matures on July 27, 2011. The $200 million term loan and the $135 million outstanding balance on our revolving credit facility were repaid with the proceeds from the new $372 million term loan.</w:t>
      </w:r>
    </w:p>
    <w:p>
      <w:pPr>
        <w:spacing w:after="0" w:line="14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On June 4, 2009, we closed on a $139.0 million, five year loan secured by Idylwood Plaza, Loehmann’s Plaza, Leesburg Plaza and Pentagon Row. The loan bears interest at 7.50% and matures on June 5, 2014.</w:t>
      </w:r>
    </w:p>
    <w:p>
      <w:pPr>
        <w:spacing w:after="0" w:line="13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Also on June 4, 2009, we completed a cash tender offer for our 8.75% senior notes due December 1, 2009. Approximately $40.3 million of notes were purchased and retired at a 2% premium to par value resulting in a net loss on early extinguishment of approximately $1.0 million including costs of the transaction; this amount is included in “early extinguishment of senior notes” in the consolidated statement of operations. The notes were repaid with funds from our $372 million term loan.</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and six months ended June 30, 2009, the maximum amount of borrowings outstanding under our $300 million revolving credit facility was</w:t>
      </w:r>
    </w:p>
    <w:p>
      <w:pPr>
        <w:spacing w:after="0" w:line="38" w:lineRule="exact"/>
        <w:rPr>
          <w:sz w:val="20"/>
          <w:szCs w:val="20"/>
          <w:color w:val="auto"/>
        </w:rPr>
      </w:pPr>
    </w:p>
    <w:p>
      <w:pPr>
        <w:jc w:val="both"/>
        <w:ind w:right="180"/>
        <w:spacing w:after="0" w:line="302" w:lineRule="auto"/>
        <w:rPr>
          <w:sz w:val="20"/>
          <w:szCs w:val="20"/>
          <w:color w:val="auto"/>
        </w:rPr>
      </w:pPr>
      <w:r>
        <w:rPr>
          <w:rFonts w:ascii="Arial" w:cs="Arial" w:eastAsia="Arial" w:hAnsi="Arial"/>
          <w:sz w:val="16"/>
          <w:szCs w:val="16"/>
          <w:color w:val="auto"/>
        </w:rPr>
        <w:t>$156.0 million and $172.5 million, respectively. The weighted average amount of borrowings outstanding was $51.1 million and $96.1 million for the three and six months ended June 30, 2009, respectively. Our revolving credit facility had a weighted average interest rate, before amortization of debt fees, of 0.96% and 1.37% for the three and six months ended June 30, 2009, respectively. At June 30, 2009, the balance outstanding on our revolving credit facility was $0.</w:t>
      </w:r>
    </w:p>
    <w:p>
      <w:pPr>
        <w:spacing w:after="0" w:line="109"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Our revolving credit facility and certain notes require us to comply with various financial covenants, including the maintenance of minimum shareholders’ equity and debt coverage ratios and a maximum ratio of debt to net worth. As of June 30, 2009, we were in compliance with all loan covenants.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E—FAIR VALUE OF FINANCIAL INSTRUMENTS</w:t>
      </w:r>
    </w:p>
    <w:p>
      <w:pPr>
        <w:spacing w:after="0" w:line="9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Except as disclosed below, the carrying amount of our financial instruments approximates their fair value. The fair value of our mortgages payable, notes payable, and senior notes and debentures is sensitive to fluctuations in interest rates. Quoted market prices were used to estimate the fair value of our marketable senior notes and debentures and discounted cash flow analysis is generally used to estimate the fair value of our mortgages and notes payable. Considerable judgment is necessary to estimate the fair value of financial instruments. The estimates of fair value presented herein are not necessarily indicative of the amounts that could be realized upon disposition of the financial instruments. A summary of the carrying amount and fair value of our mortgages payable, notes payable and senior notes and debentures is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0" w:type="dxa"/>
            <w:vAlign w:val="bottom"/>
          </w:tcPr>
          <w:p>
            <w:pPr>
              <w:spacing w:after="0"/>
              <w:rPr>
                <w:sz w:val="14"/>
                <w:szCs w:val="14"/>
                <w:color w:val="auto"/>
              </w:rPr>
            </w:pPr>
          </w:p>
        </w:tc>
        <w:tc>
          <w:tcPr>
            <w:tcW w:w="162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June 30, 2009</w:t>
            </w:r>
          </w:p>
        </w:tc>
      </w:tr>
      <w:tr>
        <w:trPr>
          <w:trHeight w:val="129"/>
        </w:trPr>
        <w:tc>
          <w:tcPr>
            <w:tcW w:w="9800" w:type="dxa"/>
            <w:vAlign w:val="bottom"/>
          </w:tcPr>
          <w:p>
            <w:pPr>
              <w:spacing w:after="0"/>
              <w:rPr>
                <w:sz w:val="11"/>
                <w:szCs w:val="11"/>
                <w:color w:val="auto"/>
              </w:rPr>
            </w:pPr>
          </w:p>
        </w:tc>
        <w:tc>
          <w:tcPr>
            <w:tcW w:w="900" w:type="dxa"/>
            <w:vAlign w:val="bottom"/>
            <w:gridSpan w:val="2"/>
          </w:tcPr>
          <w:p>
            <w:pPr>
              <w:jc w:val="center"/>
              <w:ind w:right="132"/>
              <w:spacing w:after="0" w:line="129" w:lineRule="exact"/>
              <w:rPr>
                <w:sz w:val="20"/>
                <w:szCs w:val="20"/>
                <w:color w:val="auto"/>
              </w:rPr>
            </w:pPr>
            <w:r>
              <w:rPr>
                <w:rFonts w:ascii="Arial" w:cs="Arial" w:eastAsia="Arial" w:hAnsi="Arial"/>
                <w:sz w:val="14"/>
                <w:szCs w:val="14"/>
                <w:b w:val="1"/>
                <w:bCs w:val="1"/>
                <w:color w:val="auto"/>
                <w:w w:val="93"/>
              </w:rPr>
              <w:t>Carrying</w:t>
            </w:r>
          </w:p>
        </w:tc>
        <w:tc>
          <w:tcPr>
            <w:tcW w:w="720" w:type="dxa"/>
            <w:vAlign w:val="bottom"/>
          </w:tcPr>
          <w:p>
            <w:pPr>
              <w:spacing w:after="0"/>
              <w:rPr>
                <w:sz w:val="11"/>
                <w:szCs w:val="11"/>
                <w:color w:val="auto"/>
              </w:rPr>
            </w:pPr>
          </w:p>
        </w:tc>
      </w:tr>
      <w:tr>
        <w:trPr>
          <w:trHeight w:val="161"/>
        </w:trPr>
        <w:tc>
          <w:tcPr>
            <w:tcW w:w="980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Value</w:t>
            </w:r>
          </w:p>
        </w:tc>
        <w:tc>
          <w:tcPr>
            <w:tcW w:w="22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Fair Value</w:t>
            </w:r>
          </w:p>
        </w:tc>
      </w:tr>
      <w:tr>
        <w:trPr>
          <w:trHeight w:val="142"/>
        </w:trPr>
        <w:tc>
          <w:tcPr>
            <w:tcW w:w="9800" w:type="dxa"/>
            <w:vAlign w:val="bottom"/>
          </w:tcPr>
          <w:p>
            <w:pPr>
              <w:spacing w:after="0"/>
              <w:rPr>
                <w:sz w:val="12"/>
                <w:szCs w:val="12"/>
                <w:color w:val="auto"/>
              </w:rPr>
            </w:pPr>
          </w:p>
        </w:tc>
        <w:tc>
          <w:tcPr>
            <w:tcW w:w="680" w:type="dxa"/>
            <w:vAlign w:val="bottom"/>
          </w:tcPr>
          <w:p>
            <w:pPr>
              <w:ind w:left="400"/>
              <w:spacing w:after="0" w:line="142" w:lineRule="exact"/>
              <w:rPr>
                <w:sz w:val="20"/>
                <w:szCs w:val="20"/>
                <w:color w:val="auto"/>
              </w:rPr>
            </w:pPr>
            <w:r>
              <w:rPr>
                <w:rFonts w:ascii="Arial" w:cs="Arial" w:eastAsia="Arial" w:hAnsi="Arial"/>
                <w:sz w:val="14"/>
                <w:szCs w:val="14"/>
                <w:b w:val="1"/>
                <w:bCs w:val="1"/>
                <w:color w:val="auto"/>
              </w:rPr>
              <w:t>(In</w:t>
            </w:r>
          </w:p>
        </w:tc>
        <w:tc>
          <w:tcPr>
            <w:tcW w:w="9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thousands)</w:t>
            </w:r>
          </w:p>
        </w:tc>
      </w:tr>
      <w:tr>
        <w:trPr>
          <w:trHeight w:val="216"/>
        </w:trPr>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Mortgages and notes payable</w:t>
            </w: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w w:val="82"/>
              </w:rPr>
              <w:t>$ 928,225</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$ 926,478</w:t>
            </w:r>
          </w:p>
        </w:tc>
      </w:tr>
      <w:tr>
        <w:trPr>
          <w:trHeight w:val="222"/>
        </w:trPr>
        <w:tc>
          <w:tcPr>
            <w:tcW w:w="9800" w:type="dxa"/>
            <w:vAlign w:val="bottom"/>
          </w:tcPr>
          <w:p>
            <w:pPr>
              <w:spacing w:after="0"/>
              <w:rPr>
                <w:sz w:val="20"/>
                <w:szCs w:val="20"/>
                <w:color w:val="auto"/>
              </w:rPr>
            </w:pPr>
            <w:r>
              <w:rPr>
                <w:rFonts w:ascii="Arial" w:cs="Arial" w:eastAsia="Arial" w:hAnsi="Arial"/>
                <w:sz w:val="18"/>
                <w:szCs w:val="18"/>
                <w:color w:val="auto"/>
              </w:rPr>
              <w:t>Senior notes and debentures</w:t>
            </w:r>
          </w:p>
        </w:tc>
        <w:tc>
          <w:tcPr>
            <w:tcW w:w="900" w:type="dxa"/>
            <w:vAlign w:val="bottom"/>
            <w:gridSpan w:val="2"/>
          </w:tcPr>
          <w:p>
            <w:pPr>
              <w:spacing w:after="0"/>
              <w:rPr>
                <w:sz w:val="20"/>
                <w:szCs w:val="20"/>
                <w:color w:val="auto"/>
              </w:rPr>
            </w:pPr>
            <w:r>
              <w:rPr>
                <w:rFonts w:ascii="Arial" w:cs="Arial" w:eastAsia="Arial" w:hAnsi="Arial"/>
                <w:sz w:val="18"/>
                <w:szCs w:val="18"/>
                <w:color w:val="auto"/>
              </w:rPr>
              <w:t>$ 905,114</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$ 817,355</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F—COMMITMENTS AND CONTINGENCIES</w:t>
      </w:r>
    </w:p>
    <w:p>
      <w:pPr>
        <w:spacing w:after="0" w:line="9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We are currently a party to various legal proceedings. Other than as described below, we do not believe that the ultimate outcome of these matters, either individually or in the aggregate, could have a material adverse effect on our financial position or overall trends in results of operations; however, litigation is subject to inherent uncertainties. Also under our leases, tenants are typically obligated to indemnify us from and against all liabilities, costs and expenses imposed upon or asserted against us (1) as owner of the properties due to certain matters relating to the operation of the properties by the tenant, and (2) where appropriate, due to certain matters relating to the ownership of the properties prior to their acquisition by us.</w:t>
      </w:r>
    </w:p>
    <w:p>
      <w:pPr>
        <w:spacing w:after="0" w:line="116"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In May 2003, a breach of contract action was filed against us which alleged that a one page document entitled “Final Proposal” constituted a ground lease of a parcel of property located adjacent to our Santana Row property and gave the plaintiff the option to require that we acquire the property at a price determined in accordance with a formula included in the “Final Proposal.” The “Final Proposal” explicitly stated that it was subject to approval of the terms and conditions of a formal agreement. A trial as to liability only was held in June 2006 and a jury rendered a verdict against us. A trial on the issue of damages was held in April 2008 and the court issued a tentative ruling in April 2009 awarding damages to the plaintiff of approximately $14.4 million plus interest. Based on this tentative ruling, we estimated interest could range from $2.1 million to $8.4 million. Accordingly, considering all the information available to us on May 6, 2009, when we filed our Form 10-Q for the three months ended March 31, 2009, our best estimate of damages, interest, and other costs was $21.4 million. Accordingly, we increased our accrual for the matter from $0.8 million at December 31, 2008, to $21.4 million at March 31, 2009. The increase in our accrual of $20.6 million is presented as a separate line</w:t>
      </w:r>
    </w:p>
    <w:p>
      <w:pPr>
        <w:spacing w:after="0" w:line="5"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item in our consolidated statement of operations, and the $21.4 million accrual is included in the “accounts payable and accrued expenses” line item in our consolidated balance sheet as of June 30, 2009.</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In June 2009, the court issued a final judgment awarding damages of $15.9 million (including interest) plus costs of suit. In July 2009, we and the plaintiff both filed a notice of appeal. The plaintiff also filed reimbursement motions for $2.1 million of legal fees, expert fees, and court costs. We expect the appeal process will take in excess of a year to complete; all judgments will be stayed until completion of the appeals. Given the uncertainty surrounding the final outcome of the lawsuit, no further adjustment was made to the $21.4 million litigation provision accrual. During the three months ended June 30, 2009, we incurred additional legal and other costs related to the lawsuit and appeal process which are also included in the “litigation provision” line item in the consolidated statement of operations. Furthermore, we continue to believe that the “Final Proposal” which included express language that it was subject to formal documentation was not a binding contract and that we should have no liability whatsoever, and will vigorously defend our position as part of the appeal process.</w:t>
      </w:r>
    </w:p>
    <w:p>
      <w:pPr>
        <w:spacing w:after="0" w:line="11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March 2009, we entered into a settlement agreement with our insurance provider related to repairs we performed on certain condominium units at Santana Row as the result of defective work done by third party contractors. We recovered approximately $0.9 million, net of taxes and fees, which is included in “gain on sale of real estate from discontinued operations” as this is where the related expenses to repair the units were originally recognized.</w:t>
      </w:r>
    </w:p>
    <w:p>
      <w:pPr>
        <w:spacing w:after="0" w:line="10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Under the terms of certain partnership agreements, the partners have the right to exchange their operating partnership units for cash or the same number of our common shares, at our option. A total of 371,260 operating units are outstanding which have a total fair value of $19.1 million, based on our closing stock price on June 30, 2009.</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G—SHAREHOLDERS’ EQUITY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dividends declared and paid per share: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w w:val="87"/>
              </w:rPr>
              <w:t>Six Months Ended June 30,</w:t>
            </w:r>
          </w:p>
        </w:tc>
        <w:tc>
          <w:tcPr>
            <w:tcW w:w="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8720" w:type="dxa"/>
            <w:vAlign w:val="bottom"/>
          </w:tcPr>
          <w:p>
            <w:pPr>
              <w:spacing w:after="0"/>
              <w:rPr>
                <w:sz w:val="12"/>
                <w:szCs w:val="12"/>
                <w:color w:val="auto"/>
              </w:rPr>
            </w:pPr>
          </w:p>
        </w:tc>
        <w:tc>
          <w:tcPr>
            <w:tcW w:w="1240" w:type="dxa"/>
            <w:vAlign w:val="bottom"/>
            <w:gridSpan w:val="3"/>
          </w:tcPr>
          <w:p>
            <w:pPr>
              <w:jc w:val="right"/>
              <w:ind w:right="41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1360" w:type="dxa"/>
            <w:vAlign w:val="bottom"/>
            <w:gridSpan w:val="5"/>
          </w:tcPr>
          <w:p>
            <w:pPr>
              <w:jc w:val="right"/>
              <w:ind w:right="412"/>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r>
      <w:tr>
        <w:trPr>
          <w:trHeight w:val="142"/>
        </w:trPr>
        <w:tc>
          <w:tcPr>
            <w:tcW w:w="8720" w:type="dxa"/>
            <w:vAlign w:val="bottom"/>
          </w:tcPr>
          <w:p>
            <w:pPr>
              <w:spacing w:after="0"/>
              <w:rPr>
                <w:sz w:val="12"/>
                <w:szCs w:val="12"/>
                <w:color w:val="auto"/>
              </w:rPr>
            </w:pPr>
          </w:p>
        </w:tc>
        <w:tc>
          <w:tcPr>
            <w:tcW w:w="5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4"/>
              </w:rPr>
              <w:t>Declared</w:t>
            </w:r>
          </w:p>
        </w:tc>
        <w:tc>
          <w:tcPr>
            <w:tcW w:w="22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Paid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4"/>
              </w:rPr>
              <w:t>Declared</w:t>
            </w:r>
          </w:p>
        </w:tc>
        <w:tc>
          <w:tcPr>
            <w:tcW w:w="1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Paid</w:t>
            </w:r>
          </w:p>
        </w:tc>
        <w:tc>
          <w:tcPr>
            <w:tcW w:w="20" w:type="dxa"/>
            <w:vAlign w:val="bottom"/>
          </w:tcPr>
          <w:p>
            <w:pPr>
              <w:spacing w:after="0"/>
              <w:rPr>
                <w:sz w:val="12"/>
                <w:szCs w:val="12"/>
                <w:color w:val="auto"/>
              </w:rPr>
            </w:pPr>
          </w:p>
        </w:tc>
      </w:tr>
      <w:tr>
        <w:trPr>
          <w:trHeight w:val="210"/>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Common shares</w:t>
            </w: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w w:val="83"/>
              </w:rPr>
              <w:t>$ 1.300</w:t>
            </w:r>
          </w:p>
        </w:tc>
        <w:tc>
          <w:tcPr>
            <w:tcW w:w="820" w:type="dxa"/>
            <w:vAlign w:val="bottom"/>
            <w:gridSpan w:val="3"/>
            <w:shd w:val="clear" w:color="auto" w:fill="CCEEFF"/>
          </w:tcPr>
          <w:p>
            <w:pPr>
              <w:jc w:val="center"/>
              <w:ind w:left="39"/>
              <w:spacing w:after="0"/>
              <w:rPr>
                <w:sz w:val="20"/>
                <w:szCs w:val="20"/>
                <w:color w:val="auto"/>
              </w:rPr>
            </w:pPr>
            <w:r>
              <w:rPr>
                <w:rFonts w:ascii="Arial" w:cs="Arial" w:eastAsia="Arial" w:hAnsi="Arial"/>
                <w:sz w:val="18"/>
                <w:szCs w:val="18"/>
                <w:color w:val="auto"/>
                <w:w w:val="90"/>
              </w:rPr>
              <w:t>$1.300</w:t>
            </w:r>
          </w:p>
        </w:tc>
        <w:tc>
          <w:tcPr>
            <w:tcW w:w="8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$ 1.220</w:t>
            </w:r>
          </w:p>
        </w:tc>
        <w:tc>
          <w:tcPr>
            <w:tcW w:w="5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$1.220</w:t>
            </w:r>
          </w:p>
        </w:tc>
        <w:tc>
          <w:tcPr>
            <w:tcW w:w="20" w:type="dxa"/>
            <w:vAlign w:val="bottom"/>
          </w:tcPr>
          <w:p>
            <w:pPr>
              <w:spacing w:after="0"/>
              <w:rPr>
                <w:sz w:val="18"/>
                <w:szCs w:val="18"/>
                <w:color w:val="auto"/>
              </w:rPr>
            </w:pPr>
          </w:p>
        </w:tc>
      </w:tr>
      <w:tr>
        <w:trPr>
          <w:trHeight w:val="222"/>
        </w:trPr>
        <w:tc>
          <w:tcPr>
            <w:tcW w:w="8720" w:type="dxa"/>
            <w:vAlign w:val="bottom"/>
          </w:tcPr>
          <w:p>
            <w:pPr>
              <w:spacing w:after="0"/>
              <w:rPr>
                <w:sz w:val="20"/>
                <w:szCs w:val="20"/>
                <w:color w:val="auto"/>
              </w:rPr>
            </w:pPr>
            <w:r>
              <w:rPr>
                <w:rFonts w:ascii="Arial" w:cs="Arial" w:eastAsia="Arial" w:hAnsi="Arial"/>
                <w:sz w:val="18"/>
                <w:szCs w:val="18"/>
                <w:color w:val="auto"/>
              </w:rPr>
              <w:t>5.417% Series 1 Cumulative Convertible Preferred</w:t>
            </w:r>
          </w:p>
        </w:tc>
        <w:tc>
          <w:tcPr>
            <w:tcW w:w="520" w:type="dxa"/>
            <w:vAlign w:val="bottom"/>
          </w:tcPr>
          <w:p>
            <w:pPr>
              <w:spacing w:after="0"/>
              <w:rPr>
                <w:sz w:val="20"/>
                <w:szCs w:val="20"/>
                <w:color w:val="auto"/>
              </w:rPr>
            </w:pPr>
            <w:r>
              <w:rPr>
                <w:rFonts w:ascii="Arial" w:cs="Arial" w:eastAsia="Arial" w:hAnsi="Arial"/>
                <w:sz w:val="18"/>
                <w:szCs w:val="18"/>
                <w:color w:val="auto"/>
                <w:w w:val="83"/>
              </w:rPr>
              <w:t>$ 0.677</w:t>
            </w:r>
          </w:p>
        </w:tc>
        <w:tc>
          <w:tcPr>
            <w:tcW w:w="820" w:type="dxa"/>
            <w:vAlign w:val="bottom"/>
            <w:gridSpan w:val="3"/>
          </w:tcPr>
          <w:p>
            <w:pPr>
              <w:jc w:val="center"/>
              <w:ind w:left="39"/>
              <w:spacing w:after="0"/>
              <w:rPr>
                <w:sz w:val="20"/>
                <w:szCs w:val="20"/>
                <w:color w:val="auto"/>
              </w:rPr>
            </w:pPr>
            <w:r>
              <w:rPr>
                <w:rFonts w:ascii="Arial" w:cs="Arial" w:eastAsia="Arial" w:hAnsi="Arial"/>
                <w:sz w:val="18"/>
                <w:szCs w:val="18"/>
                <w:color w:val="auto"/>
                <w:w w:val="90"/>
              </w:rPr>
              <w:t>$0.677</w:t>
            </w:r>
          </w:p>
        </w:tc>
        <w:tc>
          <w:tcPr>
            <w:tcW w:w="820" w:type="dxa"/>
            <w:vAlign w:val="bottom"/>
            <w:gridSpan w:val="3"/>
          </w:tcPr>
          <w:p>
            <w:pPr>
              <w:ind w:left="120"/>
              <w:spacing w:after="0"/>
              <w:rPr>
                <w:sz w:val="20"/>
                <w:szCs w:val="20"/>
                <w:color w:val="auto"/>
              </w:rPr>
            </w:pPr>
            <w:r>
              <w:rPr>
                <w:rFonts w:ascii="Arial" w:cs="Arial" w:eastAsia="Arial" w:hAnsi="Arial"/>
                <w:sz w:val="18"/>
                <w:szCs w:val="18"/>
                <w:color w:val="auto"/>
              </w:rPr>
              <w:t>$ 0.677</w:t>
            </w: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90"/>
              </w:rPr>
              <w:t>$0.677</w:t>
            </w:r>
          </w:p>
        </w:tc>
        <w:tc>
          <w:tcPr>
            <w:tcW w:w="20" w:type="dxa"/>
            <w:vAlign w:val="bottom"/>
          </w:tcPr>
          <w:p>
            <w:pPr>
              <w:spacing w:after="0"/>
              <w:rPr>
                <w:sz w:val="19"/>
                <w:szCs w:val="19"/>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H—COMPONENTS OF RENTAL INCOME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principal components of rental income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right"/>
              <w:ind w:right="232"/>
              <w:spacing w:after="0"/>
              <w:rPr>
                <w:sz w:val="20"/>
                <w:szCs w:val="20"/>
                <w:color w:val="auto"/>
              </w:rPr>
            </w:pPr>
            <w:r>
              <w:rPr>
                <w:rFonts w:ascii="Arial" w:cs="Arial" w:eastAsia="Arial" w:hAnsi="Arial"/>
                <w:sz w:val="14"/>
                <w:szCs w:val="14"/>
                <w:b w:val="1"/>
                <w:bCs w:val="1"/>
                <w:color w:val="auto"/>
                <w:w w:val="92"/>
              </w:rPr>
              <w:t>Three Months Ended</w:t>
            </w:r>
          </w:p>
        </w:tc>
        <w:tc>
          <w:tcPr>
            <w:tcW w:w="100" w:type="dxa"/>
            <w:vAlign w:val="bottom"/>
          </w:tcPr>
          <w:p>
            <w:pPr>
              <w:spacing w:after="0"/>
              <w:rPr>
                <w:sz w:val="14"/>
                <w:szCs w:val="14"/>
                <w:color w:val="auto"/>
              </w:rPr>
            </w:pPr>
          </w:p>
        </w:tc>
        <w:tc>
          <w:tcPr>
            <w:tcW w:w="16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right"/>
              <w:ind w:right="592"/>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16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7"/>
              <w:spacing w:after="0" w:line="142" w:lineRule="exact"/>
              <w:rPr>
                <w:sz w:val="20"/>
                <w:szCs w:val="20"/>
                <w:color w:val="auto"/>
              </w:rPr>
            </w:pPr>
            <w:r>
              <w:rPr>
                <w:rFonts w:ascii="Arial" w:cs="Arial" w:eastAsia="Arial" w:hAnsi="Arial"/>
                <w:sz w:val="14"/>
                <w:szCs w:val="14"/>
                <w:b w:val="1"/>
                <w:bCs w:val="1"/>
                <w:color w:val="auto"/>
              </w:rPr>
              <w:t>(In</w:t>
            </w:r>
          </w:p>
        </w:tc>
        <w:tc>
          <w:tcPr>
            <w:tcW w:w="920" w:type="dxa"/>
            <w:vAlign w:val="bottom"/>
            <w:gridSpan w:val="3"/>
          </w:tcPr>
          <w:p>
            <w:pPr>
              <w:jc w:val="right"/>
              <w:ind w:right="292"/>
              <w:spacing w:after="0" w:line="142" w:lineRule="exact"/>
              <w:rPr>
                <w:sz w:val="20"/>
                <w:szCs w:val="20"/>
                <w:color w:val="auto"/>
              </w:rPr>
            </w:pPr>
            <w:r>
              <w:rPr>
                <w:rFonts w:ascii="Arial" w:cs="Arial" w:eastAsia="Arial" w:hAnsi="Arial"/>
                <w:sz w:val="14"/>
                <w:szCs w:val="14"/>
                <w:b w:val="1"/>
                <w:bCs w:val="1"/>
                <w:color w:val="auto"/>
                <w:w w:val="71"/>
              </w:rPr>
              <w:t>thousands)</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Minimum rents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Retail and commercial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93,256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52"/>
              <w:spacing w:after="0"/>
              <w:rPr>
                <w:sz w:val="20"/>
                <w:szCs w:val="20"/>
                <w:color w:val="auto"/>
              </w:rPr>
            </w:pPr>
            <w:r>
              <w:rPr>
                <w:rFonts w:ascii="Arial" w:cs="Arial" w:eastAsia="Arial" w:hAnsi="Arial"/>
                <w:sz w:val="18"/>
                <w:szCs w:val="18"/>
                <w:color w:val="auto"/>
              </w:rPr>
              <w:t>90,985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7"/>
              </w:rPr>
              <w:t>$ 186,772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$ 180,528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Residential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4,112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10,617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Cost reimbursement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24,395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52"/>
              <w:spacing w:after="0"/>
              <w:rPr>
                <w:sz w:val="20"/>
                <w:szCs w:val="20"/>
                <w:color w:val="auto"/>
              </w:rPr>
            </w:pPr>
            <w:r>
              <w:rPr>
                <w:rFonts w:ascii="Arial" w:cs="Arial" w:eastAsia="Arial" w:hAnsi="Arial"/>
                <w:sz w:val="18"/>
                <w:szCs w:val="18"/>
                <w:color w:val="auto"/>
              </w:rPr>
              <w:t>24,774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49,973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49,281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Percentage rent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1,751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1,948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52"/>
              <w:spacing w:after="0"/>
              <w:rPr>
                <w:sz w:val="20"/>
                <w:szCs w:val="20"/>
                <w:color w:val="auto"/>
              </w:rPr>
            </w:pPr>
            <w:r>
              <w:rPr>
                <w:rFonts w:ascii="Arial" w:cs="Arial" w:eastAsia="Arial" w:hAnsi="Arial"/>
                <w:sz w:val="18"/>
                <w:szCs w:val="18"/>
                <w:color w:val="auto"/>
              </w:rPr>
              <w:t>1,348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3,287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2,646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Total rental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126,090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w w:val="86"/>
              </w:rPr>
              <w:t>122,970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$ 253,296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$ 244,710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Minimum rents include $1.2 million and $1.4 million for the three months ended June 30, 2009 and 2008, respectively, and $2.6 million and $2.9 million for the six months ended June 30, 2009 and 2008, respectively, to recognize minimum rents on a straight-line basis. In addition, minimum rents include $0.4 million and $0.7 million for the three months ended June 30, 2009 and 2008, respectively, and $0.7 million and $1.3 million for the six months ended June 30, 2009 and 2008, respectively, to recognize income from the amortization of in-place leases in accordance with SFAS No. 141. Residential minimum rents consist of the rental amounts for residential units at Rollingwood Apartments, the Crest at Congressional Plaza Apartments, Santana Row, and Arlington East (Bethesda Row). The first rental units at Arlington East were delivered and became rent paying in late May 2008.</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I—SHARE-BASED COMPENSATION PLANS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 summary of share-based compensation expense included in net income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80" w:type="dxa"/>
            <w:vAlign w:val="bottom"/>
            <w:gridSpan w:val="4"/>
          </w:tcPr>
          <w:p>
            <w:pPr>
              <w:jc w:val="right"/>
              <w:ind w:right="338"/>
              <w:spacing w:after="0"/>
              <w:rPr>
                <w:sz w:val="20"/>
                <w:szCs w:val="20"/>
                <w:color w:val="auto"/>
              </w:rPr>
            </w:pPr>
            <w:r>
              <w:rPr>
                <w:rFonts w:ascii="Arial" w:cs="Arial" w:eastAsia="Arial" w:hAnsi="Arial"/>
                <w:sz w:val="14"/>
                <w:szCs w:val="14"/>
                <w:b w:val="1"/>
                <w:bCs w:val="1"/>
                <w:color w:val="auto"/>
                <w:w w:val="90"/>
              </w:rPr>
              <w:t>Three Months Ended</w:t>
            </w:r>
          </w:p>
        </w:tc>
        <w:tc>
          <w:tcPr>
            <w:tcW w:w="142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5"/>
              </w:rPr>
              <w:t>Six Months Ended</w:t>
            </w:r>
          </w:p>
        </w:tc>
        <w:tc>
          <w:tcPr>
            <w:tcW w:w="0" w:type="dxa"/>
            <w:vAlign w:val="bottom"/>
          </w:tcPr>
          <w:p>
            <w:pPr>
              <w:spacing w:after="0"/>
              <w:rPr>
                <w:sz w:val="1"/>
                <w:szCs w:val="1"/>
                <w:color w:val="auto"/>
              </w:rPr>
            </w:pPr>
          </w:p>
        </w:tc>
      </w:tr>
      <w:tr>
        <w:trPr>
          <w:trHeight w:val="161"/>
        </w:trPr>
        <w:tc>
          <w:tcPr>
            <w:tcW w:w="8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80" w:type="dxa"/>
            <w:vAlign w:val="bottom"/>
            <w:gridSpan w:val="4"/>
          </w:tcPr>
          <w:p>
            <w:pPr>
              <w:jc w:val="right"/>
              <w:ind w:right="698"/>
              <w:spacing w:after="0"/>
              <w:rPr>
                <w:sz w:val="20"/>
                <w:szCs w:val="20"/>
                <w:color w:val="auto"/>
              </w:rPr>
            </w:pPr>
            <w:r>
              <w:rPr>
                <w:rFonts w:ascii="Arial" w:cs="Arial" w:eastAsia="Arial" w:hAnsi="Arial"/>
                <w:sz w:val="14"/>
                <w:szCs w:val="14"/>
                <w:b w:val="1"/>
                <w:bCs w:val="1"/>
                <w:color w:val="auto"/>
              </w:rPr>
              <w:t>June 30,</w:t>
            </w:r>
          </w:p>
        </w:tc>
        <w:tc>
          <w:tcPr>
            <w:tcW w:w="142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8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44"/>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jc w:val="right"/>
              <w:ind w:right="58"/>
              <w:spacing w:after="0" w:line="142" w:lineRule="exact"/>
              <w:rPr>
                <w:sz w:val="20"/>
                <w:szCs w:val="20"/>
                <w:color w:val="auto"/>
              </w:rPr>
            </w:pPr>
            <w:r>
              <w:rPr>
                <w:rFonts w:ascii="Arial" w:cs="Arial" w:eastAsia="Arial" w:hAnsi="Arial"/>
                <w:sz w:val="14"/>
                <w:szCs w:val="14"/>
                <w:b w:val="1"/>
                <w:bCs w:val="1"/>
                <w:color w:val="auto"/>
              </w:rPr>
              <w:t>(In</w:t>
            </w:r>
          </w:p>
        </w:tc>
        <w:tc>
          <w:tcPr>
            <w:tcW w:w="80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w w:val="77"/>
              </w:rPr>
              <w:t>thousands)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incurred</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ind w:left="440"/>
              <w:spacing w:after="0"/>
              <w:rPr>
                <w:sz w:val="20"/>
                <w:szCs w:val="20"/>
                <w:color w:val="auto"/>
              </w:rPr>
            </w:pPr>
            <w:r>
              <w:rPr>
                <w:rFonts w:ascii="Arial" w:cs="Arial" w:eastAsia="Arial" w:hAnsi="Arial"/>
                <w:sz w:val="18"/>
                <w:szCs w:val="18"/>
                <w:color w:val="auto"/>
              </w:rPr>
              <w:t>Grants of common shares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3"/>
              </w:rPr>
              <w:t>$ 1,263</w:t>
            </w:r>
          </w:p>
        </w:tc>
        <w:tc>
          <w:tcPr>
            <w:tcW w:w="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$ 1,605</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$2,985</w:t>
            </w:r>
          </w:p>
        </w:tc>
        <w:tc>
          <w:tcPr>
            <w:tcW w:w="18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$3,451</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Grants of options</w:t>
            </w:r>
          </w:p>
        </w:tc>
        <w:tc>
          <w:tcPr>
            <w:tcW w:w="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3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3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3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1,620</w:t>
            </w:r>
          </w:p>
        </w:tc>
        <w:tc>
          <w:tcPr>
            <w:tcW w:w="3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2,008</w:t>
            </w:r>
          </w:p>
        </w:tc>
        <w:tc>
          <w:tcPr>
            <w:tcW w:w="3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3,768</w:t>
            </w:r>
          </w:p>
        </w:tc>
        <w:tc>
          <w:tcPr>
            <w:tcW w:w="180" w:type="dxa"/>
            <w:vAlign w:val="bottom"/>
          </w:tcPr>
          <w:p>
            <w:pPr>
              <w:spacing w:after="0"/>
              <w:rPr>
                <w:sz w:val="19"/>
                <w:szCs w:val="19"/>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4,177</w:t>
            </w:r>
          </w:p>
        </w:tc>
        <w:tc>
          <w:tcPr>
            <w:tcW w:w="0" w:type="dxa"/>
            <w:vAlign w:val="bottom"/>
          </w:tcPr>
          <w:p>
            <w:pPr>
              <w:spacing w:after="0"/>
              <w:rPr>
                <w:sz w:val="1"/>
                <w:szCs w:val="1"/>
                <w:color w:val="auto"/>
              </w:rPr>
            </w:pPr>
          </w:p>
        </w:tc>
      </w:tr>
      <w:tr>
        <w:trPr>
          <w:trHeight w:val="218"/>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Capitalized share-based compensation</w:t>
            </w: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(246)</w:t>
            </w:r>
          </w:p>
        </w:tc>
        <w:tc>
          <w:tcPr>
            <w:tcW w:w="860" w:type="dxa"/>
            <w:vAlign w:val="bottom"/>
            <w:gridSpan w:val="2"/>
            <w:shd w:val="clear" w:color="auto" w:fill="CCEEFF"/>
          </w:tcPr>
          <w:p>
            <w:pPr>
              <w:jc w:val="right"/>
              <w:ind w:right="198"/>
              <w:spacing w:after="0"/>
              <w:rPr>
                <w:sz w:val="20"/>
                <w:szCs w:val="20"/>
                <w:color w:val="auto"/>
              </w:rPr>
            </w:pPr>
            <w:r>
              <w:rPr>
                <w:rFonts w:ascii="Arial" w:cs="Arial" w:eastAsia="Arial" w:hAnsi="Arial"/>
                <w:sz w:val="18"/>
                <w:szCs w:val="18"/>
                <w:color w:val="auto"/>
              </w:rPr>
              <w:t>(306)</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(456)</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0"/>
        </w:trPr>
        <w:tc>
          <w:tcPr>
            <w:tcW w:w="8300" w:type="dxa"/>
            <w:vAlign w:val="bottom"/>
            <w:vMerge w:val="restart"/>
          </w:tcPr>
          <w:p>
            <w:pPr>
              <w:spacing w:after="0"/>
              <w:rPr>
                <w:sz w:val="20"/>
                <w:szCs w:val="20"/>
                <w:color w:val="auto"/>
              </w:rPr>
            </w:pPr>
            <w:r>
              <w:rPr>
                <w:rFonts w:ascii="Arial" w:cs="Arial" w:eastAsia="Arial" w:hAnsi="Arial"/>
                <w:sz w:val="18"/>
                <w:szCs w:val="18"/>
                <w:color w:val="auto"/>
              </w:rPr>
              <w:t>Share-based compensation expense</w:t>
            </w:r>
          </w:p>
        </w:tc>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300" w:type="dxa"/>
            <w:vAlign w:val="bottom"/>
            <w:vMerge w:val="continue"/>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3"/>
              </w:rPr>
              <w:t>$ 1,374</w:t>
            </w:r>
          </w:p>
        </w:tc>
        <w:tc>
          <w:tcPr>
            <w:tcW w:w="3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$ 1,702</w:t>
            </w:r>
          </w:p>
        </w:tc>
        <w:tc>
          <w:tcPr>
            <w:tcW w:w="3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3,312</w:t>
            </w:r>
          </w:p>
        </w:tc>
        <w:tc>
          <w:tcPr>
            <w:tcW w:w="180" w:type="dxa"/>
            <w:vAlign w:val="bottom"/>
          </w:tcPr>
          <w:p>
            <w:pPr>
              <w:spacing w:after="0"/>
              <w:rPr>
                <w:sz w:val="19"/>
                <w:szCs w:val="19"/>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3,574</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J—EARNINGS PER SHARE</w:t>
      </w:r>
    </w:p>
    <w:p>
      <w:pPr>
        <w:spacing w:after="0" w:line="9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June 2008, the FASB issued FSP EITF No. 03-6-1, “Determining Whether Instruments Granted in Share-Based Payment Transactions Are Participating Securities” (“FSP EITF No. 03-6-1”). Under the FSP, unvested share-based payment awards that contain non-forfeitable rights to receive dividends (whether paid or unpaid) are participating securities and should be included in computation of EPS pursuant to the two-class method. As part of our stock based compensation program, we issue restricted shares which typically vest over a three to six year period; these shares have non-forfeitable rights to dividends immediately after issuance. Prior to January 1, 2009, we excluded the unvested shares from the basic EPS calculation and included them in diluted earnings per share using the treasury stock method.</w:t>
      </w:r>
    </w:p>
    <w:p>
      <w:pPr>
        <w:spacing w:after="0" w:line="14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Effective January 1, 2009, we adopted FSP EITF No. 03-6-1 and have calculated earnings per share under the two-class method. The two-class method is an earnings allocation methodology whereby earnings per share for each class of common stock and participating securities is calculated according to dividends declared and participation rights in undistributed earnings. For each of the three and six months ended June 30, 2009 and 2008, we had approximately 0.2 million weighted average unvested shares outstanding which are considered participating securities. Therefore, we have allocated our earnings for basic and diluted EPS between common shares and unvested shares; the portion of earnings allocated to the unvested shares is reflected as “earnings allocated to unvested shares” in the reconciliation below.</w:t>
      </w:r>
    </w:p>
    <w:p>
      <w:pPr>
        <w:spacing w:after="0" w:line="144"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In the dilutive EPS calculation, dilutive stock options were calculated using the treasury stock method consistent with prior periods; certain stock options have been excluded as they were anti-dilutive. The conversions of downREIT operating partnership units and Series 1 Preferred Shares are anti-dilutive for all periods presented and accordingly, have been excluded from the weighted average common shares used to compute diluted earnings per share.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EPS for prior periods has been restated to conform to the requirements of FSP EITF No. 03-6-1. The implementation resulted in a decrease in diluted EPS from $1.00 to $0.99 for the six months ended June 30, 2008 with no change to the other EPS calculations for prior periods. Consequently, the implementation did not result in a significant change to basic or diluted earnings per share for the periods presented. The following table provides a reconciliation between basic and diluted earnings per share: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6"/>
          </w:tcPr>
          <w:p>
            <w:pPr>
              <w:jc w:val="center"/>
              <w:ind w:right="338"/>
              <w:spacing w:after="0"/>
              <w:rPr>
                <w:sz w:val="20"/>
                <w:szCs w:val="20"/>
                <w:color w:val="auto"/>
              </w:rPr>
            </w:pPr>
            <w:r>
              <w:rPr>
                <w:rFonts w:ascii="Arial" w:cs="Arial" w:eastAsia="Arial" w:hAnsi="Arial"/>
                <w:sz w:val="14"/>
                <w:szCs w:val="14"/>
                <w:b w:val="1"/>
                <w:bCs w:val="1"/>
                <w:color w:val="auto"/>
                <w:w w:val="89"/>
              </w:rPr>
              <w:t>Three Months Ended</w:t>
            </w:r>
          </w:p>
        </w:tc>
        <w:tc>
          <w:tcPr>
            <w:tcW w:w="100" w:type="dxa"/>
            <w:vAlign w:val="bottom"/>
          </w:tcPr>
          <w:p>
            <w:pPr>
              <w:spacing w:after="0"/>
              <w:rPr>
                <w:sz w:val="14"/>
                <w:szCs w:val="14"/>
                <w:color w:val="auto"/>
              </w:rPr>
            </w:pPr>
          </w:p>
        </w:tc>
        <w:tc>
          <w:tcPr>
            <w:tcW w:w="15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4"/>
          </w:tcPr>
          <w:p>
            <w:pPr>
              <w:jc w:val="center"/>
              <w:ind w:left="315"/>
              <w:spacing w:after="0"/>
              <w:rPr>
                <w:sz w:val="20"/>
                <w:szCs w:val="20"/>
                <w:color w:val="auto"/>
              </w:rPr>
            </w:pPr>
            <w:r>
              <w:rPr>
                <w:rFonts w:ascii="Arial" w:cs="Arial" w:eastAsia="Arial" w:hAnsi="Arial"/>
                <w:sz w:val="14"/>
                <w:szCs w:val="14"/>
                <w:b w:val="1"/>
                <w:bCs w:val="1"/>
                <w:color w:val="auto"/>
                <w:w w:val="85"/>
              </w:rPr>
              <w:t>June 30,</w:t>
            </w:r>
          </w:p>
        </w:tc>
        <w:tc>
          <w:tcPr>
            <w:tcW w:w="4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center"/>
              <w:ind w:left="295"/>
              <w:spacing w:after="0"/>
              <w:rPr>
                <w:sz w:val="20"/>
                <w:szCs w:val="20"/>
                <w:color w:val="auto"/>
              </w:rPr>
            </w:pPr>
            <w:r>
              <w:rPr>
                <w:rFonts w:ascii="Arial" w:cs="Arial" w:eastAsia="Arial" w:hAnsi="Arial"/>
                <w:sz w:val="14"/>
                <w:szCs w:val="14"/>
                <w:b w:val="1"/>
                <w:bCs w:val="1"/>
                <w:color w:val="auto"/>
                <w:w w:val="85"/>
              </w:rPr>
              <w:t>June 30,</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2008</w:t>
            </w: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(In</w:t>
            </w:r>
          </w:p>
        </w:tc>
        <w:tc>
          <w:tcPr>
            <w:tcW w:w="5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74"/>
              </w:rPr>
              <w:t>thousands,</w:t>
            </w:r>
          </w:p>
        </w:tc>
        <w:tc>
          <w:tcPr>
            <w:tcW w:w="320" w:type="dxa"/>
            <w:vAlign w:val="bottom"/>
          </w:tcPr>
          <w:p>
            <w:pPr>
              <w:jc w:val="right"/>
              <w:spacing w:after="0"/>
              <w:rPr>
                <w:sz w:val="20"/>
                <w:szCs w:val="20"/>
                <w:color w:val="auto"/>
              </w:rPr>
            </w:pPr>
            <w:r>
              <w:rPr>
                <w:rFonts w:ascii="Arial" w:cs="Arial" w:eastAsia="Arial" w:hAnsi="Arial"/>
                <w:sz w:val="12"/>
                <w:szCs w:val="12"/>
                <w:b w:val="1"/>
                <w:bCs w:val="1"/>
                <w:color w:val="auto"/>
                <w:w w:val="78"/>
              </w:rPr>
              <w:t>except</w:t>
            </w: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8"/>
              </w:rPr>
              <w:t>per share</w:t>
            </w:r>
          </w:p>
        </w:tc>
        <w:tc>
          <w:tcPr>
            <w:tcW w:w="3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data)</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12"/>
              <w:spacing w:after="0"/>
              <w:rPr>
                <w:sz w:val="20"/>
                <w:szCs w:val="20"/>
                <w:color w:val="auto"/>
              </w:rPr>
            </w:pPr>
            <w:r>
              <w:rPr>
                <w:rFonts w:ascii="Arial" w:cs="Arial" w:eastAsia="Arial" w:hAnsi="Arial"/>
                <w:sz w:val="18"/>
                <w:szCs w:val="18"/>
                <w:color w:val="auto"/>
                <w:w w:val="87"/>
              </w:rPr>
              <w:t>29,250</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29,689</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40,151</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60,325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dividends</w:t>
            </w:r>
          </w:p>
        </w:tc>
        <w:tc>
          <w:tcPr>
            <w:tcW w:w="2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(135)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98"/>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(271)</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Less: Net income attributable to noncontrolling interests</w:t>
            </w:r>
          </w:p>
        </w:tc>
        <w:tc>
          <w:tcPr>
            <w:tcW w:w="2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52"/>
              <w:spacing w:after="0"/>
              <w:rPr>
                <w:sz w:val="20"/>
                <w:szCs w:val="20"/>
                <w:color w:val="auto"/>
              </w:rPr>
            </w:pPr>
            <w:r>
              <w:rPr>
                <w:rFonts w:ascii="Arial" w:cs="Arial" w:eastAsia="Arial" w:hAnsi="Arial"/>
                <w:sz w:val="18"/>
                <w:szCs w:val="18"/>
                <w:color w:val="auto"/>
                <w:w w:val="94"/>
              </w:rPr>
              <w:t>(1,377)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98"/>
              <w:spacing w:after="0"/>
              <w:rPr>
                <w:sz w:val="20"/>
                <w:szCs w:val="20"/>
                <w:color w:val="auto"/>
              </w:rPr>
            </w:pPr>
            <w:r>
              <w:rPr>
                <w:rFonts w:ascii="Arial" w:cs="Arial" w:eastAsia="Arial" w:hAnsi="Arial"/>
                <w:sz w:val="18"/>
                <w:szCs w:val="18"/>
                <w:color w:val="auto"/>
                <w:w w:val="91"/>
              </w:rPr>
              <w:t>(1,409)</w:t>
            </w:r>
          </w:p>
        </w:tc>
        <w:tc>
          <w:tcPr>
            <w:tcW w:w="100" w:type="dxa"/>
            <w:vAlign w:val="bottom"/>
          </w:tcPr>
          <w:p>
            <w:pPr>
              <w:spacing w:after="0"/>
              <w:rPr>
                <w:sz w:val="18"/>
                <w:szCs w:val="18"/>
                <w:color w:val="auto"/>
              </w:rPr>
            </w:pPr>
          </w:p>
        </w:tc>
        <w:tc>
          <w:tcPr>
            <w:tcW w:w="820" w:type="dxa"/>
            <w:vAlign w:val="bottom"/>
            <w:gridSpan w:val="2"/>
          </w:tcPr>
          <w:p>
            <w:pPr>
              <w:jc w:val="right"/>
              <w:ind w:right="212"/>
              <w:spacing w:after="0"/>
              <w:rPr>
                <w:sz w:val="20"/>
                <w:szCs w:val="20"/>
                <w:color w:val="auto"/>
              </w:rPr>
            </w:pPr>
            <w:r>
              <w:rPr>
                <w:rFonts w:ascii="Arial" w:cs="Arial" w:eastAsia="Arial" w:hAnsi="Arial"/>
                <w:sz w:val="18"/>
                <w:szCs w:val="18"/>
                <w:color w:val="auto"/>
                <w:w w:val="91"/>
              </w:rPr>
              <w:t>(2,766)</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(2,741)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Less: Earnings allocated to unvested shares</w:t>
            </w:r>
          </w:p>
        </w:tc>
        <w:tc>
          <w:tcPr>
            <w:tcW w:w="2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(125)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98"/>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(252)</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21"/>
        </w:trPr>
        <w:tc>
          <w:tcPr>
            <w:tcW w:w="5320" w:type="dxa"/>
            <w:vAlign w:val="bottom"/>
            <w:gridSpan w:val="2"/>
          </w:tcPr>
          <w:p>
            <w:pPr>
              <w:spacing w:after="0"/>
              <w:rPr>
                <w:sz w:val="20"/>
                <w:szCs w:val="20"/>
                <w:color w:val="auto"/>
              </w:rPr>
            </w:pPr>
            <w:r>
              <w:rPr>
                <w:rFonts w:ascii="Arial" w:cs="Arial" w:eastAsia="Arial" w:hAnsi="Arial"/>
                <w:sz w:val="18"/>
                <w:szCs w:val="18"/>
                <w:color w:val="auto"/>
                <w:w w:val="94"/>
              </w:rPr>
              <w:t>Income from continuing operations available for common shareholders</w:t>
            </w:r>
          </w:p>
        </w:tc>
        <w:tc>
          <w:tcPr>
            <w:tcW w:w="27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27,613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28,018</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36,862</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57,056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Results from discontinued operations</w:t>
            </w:r>
          </w:p>
        </w:tc>
        <w:tc>
          <w:tcPr>
            <w:tcW w:w="27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1,516</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20" w:type="dxa"/>
            <w:vAlign w:val="bottom"/>
            <w:gridSpan w:val="2"/>
          </w:tcPr>
          <w:p>
            <w:pPr>
              <w:spacing w:after="0"/>
              <w:rPr>
                <w:sz w:val="20"/>
                <w:szCs w:val="20"/>
                <w:color w:val="auto"/>
              </w:rPr>
            </w:pPr>
            <w:r>
              <w:rPr>
                <w:rFonts w:ascii="Arial" w:cs="Arial" w:eastAsia="Arial" w:hAnsi="Arial"/>
                <w:sz w:val="18"/>
                <w:szCs w:val="18"/>
                <w:color w:val="auto"/>
              </w:rPr>
              <w:t>Net income available for common shareholders, basic and diluted</w:t>
            </w:r>
          </w:p>
        </w:tc>
        <w:tc>
          <w:tcPr>
            <w:tcW w:w="27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12"/>
              <w:spacing w:after="0"/>
              <w:rPr>
                <w:sz w:val="20"/>
                <w:szCs w:val="20"/>
                <w:color w:val="auto"/>
              </w:rPr>
            </w:pPr>
            <w:r>
              <w:rPr>
                <w:rFonts w:ascii="Arial" w:cs="Arial" w:eastAsia="Arial" w:hAnsi="Arial"/>
                <w:sz w:val="18"/>
                <w:szCs w:val="18"/>
                <w:color w:val="auto"/>
                <w:w w:val="87"/>
              </w:rPr>
              <w:t>28,157</w:t>
            </w:r>
          </w:p>
        </w:tc>
        <w:tc>
          <w:tcPr>
            <w:tcW w:w="240" w:type="dxa"/>
            <w:vAlign w:val="bottom"/>
            <w:gridSpan w:val="2"/>
          </w:tcPr>
          <w:p>
            <w:pPr>
              <w:ind w:left="140"/>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28,712</w:t>
            </w: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38,378</w:t>
            </w:r>
          </w:p>
        </w:tc>
        <w:tc>
          <w:tcPr>
            <w:tcW w:w="3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58,432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2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Weighted average common shares outstanding—basic</w:t>
            </w:r>
          </w:p>
        </w:tc>
        <w:tc>
          <w:tcPr>
            <w:tcW w:w="2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12"/>
              <w:spacing w:after="0"/>
              <w:rPr>
                <w:sz w:val="20"/>
                <w:szCs w:val="20"/>
                <w:color w:val="auto"/>
              </w:rPr>
            </w:pPr>
            <w:r>
              <w:rPr>
                <w:rFonts w:ascii="Arial" w:cs="Arial" w:eastAsia="Arial" w:hAnsi="Arial"/>
                <w:sz w:val="18"/>
                <w:szCs w:val="18"/>
                <w:color w:val="auto"/>
                <w:w w:val="87"/>
              </w:rPr>
              <w:t>58,917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58,636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58,882</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58,570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2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Stock options</w:t>
            </w:r>
          </w:p>
        </w:tc>
        <w:tc>
          <w:tcPr>
            <w:tcW w:w="27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outstanding—diluted</w:t>
            </w:r>
          </w:p>
        </w:tc>
        <w:tc>
          <w:tcPr>
            <w:tcW w:w="2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w w:val="87"/>
              </w:rPr>
              <w:t>59,042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58,906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59,004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58,843</w:t>
            </w: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8"/>
                <w:szCs w:val="18"/>
                <w:color w:val="auto"/>
              </w:rPr>
              <w:t>EARNINGS PER COMMON SHARE, BASIC</w:t>
            </w:r>
          </w:p>
        </w:tc>
        <w:tc>
          <w:tcPr>
            <w:tcW w:w="2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320" w:type="dxa"/>
            <w:vAlign w:val="bottom"/>
            <w:gridSpan w:val="2"/>
            <w:vMerge w:val="continue"/>
          </w:tcPr>
          <w:p>
            <w:pPr>
              <w:spacing w:after="0"/>
              <w:rPr>
                <w:sz w:val="18"/>
                <w:szCs w:val="18"/>
                <w:color w:val="auto"/>
              </w:rPr>
            </w:pPr>
          </w:p>
        </w:tc>
        <w:tc>
          <w:tcPr>
            <w:tcW w:w="2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Continuing operations</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0.47</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Discontinued operations</w:t>
            </w:r>
          </w:p>
        </w:tc>
        <w:tc>
          <w:tcPr>
            <w:tcW w:w="27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0.48</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8"/>
                <w:szCs w:val="18"/>
                <w:color w:val="auto"/>
              </w:rPr>
              <w:t>EARNINGS PER COMMON SHARE, DILUTED</w:t>
            </w:r>
          </w:p>
        </w:tc>
        <w:tc>
          <w:tcPr>
            <w:tcW w:w="2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320" w:type="dxa"/>
            <w:vAlign w:val="bottom"/>
            <w:gridSpan w:val="2"/>
            <w:vMerge w:val="continue"/>
          </w:tcPr>
          <w:p>
            <w:pPr>
              <w:spacing w:after="0"/>
              <w:rPr>
                <w:sz w:val="18"/>
                <w:szCs w:val="18"/>
                <w:color w:val="auto"/>
              </w:rPr>
            </w:pPr>
          </w:p>
        </w:tc>
        <w:tc>
          <w:tcPr>
            <w:tcW w:w="2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Continuing operations</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0.47</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Discontinued operations</w:t>
            </w:r>
          </w:p>
        </w:tc>
        <w:tc>
          <w:tcPr>
            <w:tcW w:w="27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0.48</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0.99</w:t>
            </w: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8"/>
                <w:szCs w:val="18"/>
                <w:color w:val="auto"/>
              </w:rPr>
              <w:t>Income from continuing operations attributable to the Trust</w:t>
            </w:r>
          </w:p>
        </w:tc>
        <w:tc>
          <w:tcPr>
            <w:tcW w:w="2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320" w:type="dxa"/>
            <w:vAlign w:val="bottom"/>
            <w:gridSpan w:val="2"/>
            <w:vMerge w:val="continue"/>
          </w:tcPr>
          <w:p>
            <w:pPr>
              <w:spacing w:after="0"/>
              <w:rPr>
                <w:sz w:val="18"/>
                <w:szCs w:val="18"/>
                <w:color w:val="auto"/>
              </w:rPr>
            </w:pP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12"/>
              <w:spacing w:after="0"/>
              <w:rPr>
                <w:sz w:val="20"/>
                <w:szCs w:val="20"/>
                <w:color w:val="auto"/>
              </w:rPr>
            </w:pPr>
            <w:r>
              <w:rPr>
                <w:rFonts w:ascii="Arial" w:cs="Arial" w:eastAsia="Arial" w:hAnsi="Arial"/>
                <w:sz w:val="18"/>
                <w:szCs w:val="18"/>
                <w:color w:val="auto"/>
                <w:w w:val="87"/>
              </w:rPr>
              <w:t>27,873</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28,280</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37,385</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57,584</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2700" w:type="dxa"/>
            <w:vAlign w:val="bottom"/>
          </w:tcPr>
          <w:p>
            <w:pPr>
              <w:jc w:val="right"/>
              <w:ind w:right="2132"/>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60"/>
        <w:spacing w:after="0" w:line="34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following discussion should be read in conjunction with the consolidated interim financial statements and notes thereto appearing in Item 1 of this report and the more detailed information contained in our Annual Report on Form 10-K for the year ended December 31, 2008 filed with the Securities and Exchange Commission on February 26, 2009 and amended on June 25, 2009.</w:t>
      </w:r>
    </w:p>
    <w:p>
      <w:pPr>
        <w:spacing w:after="0" w:line="14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This Form 10-Q contains forward-looking statements within the meaning of Section 27A of the Securities Act of 1933, Section 21E of the Securities Exchange Act of 1934 and the Private Securities Litigation Reform Act of 1995. When we refer to forward-looking statements or information, sometimes we use words such as “may,” “will,” “could,” “should,” “plans,” “intends,” “expects,” “believes,” “estimates,” “anticipates” and “continues.” Forward-looking statements are not historical facts or guarantees of future performance and involve certain known and unknown risks, uncertainties, and other factors, many of which are outside our control, that could cause actual results to differ materially from those we describe.</w:t>
      </w:r>
    </w:p>
    <w:p>
      <w:pPr>
        <w:spacing w:after="0" w:line="116"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Given these uncertainties, readers are cautioned not to place undue reliance on any forward-looking statements that we make, including those in this Quarterly Report on Form 10-Q. Except as may be required by law, we make no promise to update any of the forward-looking statements as a result of new information, future events or otherwise. You should carefully review the risks and the risk factors included in our Annual Report on Form 10-K (as amended) for the year ended December 31, 2008, before making any investments in us.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are an equity real estate investment trust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as well as in California. As of June 30, 2009, we owned or had a majority interest in community and neighborhood shopping centers and mixed-use projects which are operated as 84 predominantly retail real estate properties comprising approximately 18.2 million square feet. In total, the real estate properties were 94.0% leased and 93.2% occupied at June 30, 2009. A joint venture in which we own a 30% interest owned seven retail real estate properties totaling approximately 1.0 million square feet as of June 30, 2009. In total, the joint venture properties in which we own an interest were 96.2% leased and occupied at June 30, 2009.</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2009 Property Disposition</w:t>
      </w:r>
    </w:p>
    <w:p>
      <w:pPr>
        <w:spacing w:after="0" w:line="96" w:lineRule="exact"/>
        <w:rPr>
          <w:sz w:val="20"/>
          <w:szCs w:val="20"/>
          <w:color w:val="auto"/>
        </w:rPr>
      </w:pPr>
    </w:p>
    <w:p>
      <w:pPr>
        <w:ind w:right="420"/>
        <w:spacing w:after="0" w:line="370" w:lineRule="auto"/>
        <w:rPr>
          <w:sz w:val="20"/>
          <w:szCs w:val="20"/>
          <w:color w:val="auto"/>
        </w:rPr>
      </w:pPr>
      <w:r>
        <w:rPr>
          <w:rFonts w:ascii="Arial" w:cs="Arial" w:eastAsia="Arial" w:hAnsi="Arial"/>
          <w:sz w:val="15"/>
          <w:szCs w:val="15"/>
          <w:color w:val="auto"/>
        </w:rPr>
        <w:t>On June 26, 2009, one of our tenants acquired from us our fee interest in a land parcel in White Marsh, Maryland, that was subject to a long-term ground lease. The ground lease involved an option for the tenant to purchase the fee interest. The sales price was $2.1 million and resulted in a gain of $0.4 million.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2009 Significant Debt, Equity and Other Transactions</w:t>
      </w:r>
    </w:p>
    <w:p>
      <w:pPr>
        <w:spacing w:after="0" w:line="9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On January 5, 2009, we repaid the $4.4 million mortgage loan on a small portion of Mercer Mall which had an original maturity date of April 1, 2009. This loan was repaid with funds borrowed on our $300 million revolving credit facility.</w:t>
      </w:r>
    </w:p>
    <w:p>
      <w:pPr>
        <w:spacing w:after="0" w:line="13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On various dates from January 12, 2009 to April 1, 2009, we purchased and retired $11.1 million of our 8.75% senior notes. These notes were repaid with funds borrowed on our $300 million revolving credit facility.</w:t>
      </w:r>
    </w:p>
    <w:p>
      <w:pPr>
        <w:spacing w:after="0" w:line="13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On April 14, 2009, we closed on a $24.1 million, ten year loan secured by Rollingwood Apartments in Silver Spring, Maryland. The loan bears interest at 5.54% and matures on May 1, 2019.</w:t>
      </w:r>
    </w:p>
    <w:p>
      <w:pPr>
        <w:spacing w:after="0" w:line="132"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On May 4, 2009, we refinanced our then existing $200 million term loan with a new $372 million term loan which bears interest at LIBOR, subject to a 1.50% floor, plus 300 basis points and matures on July 27, 2011. The $200 million term loan and the $135 million outstanding balance on our revolving credit facility were repaid with the proceeds from the new $372 million term loan.</w:t>
      </w:r>
    </w:p>
    <w:p>
      <w:pPr>
        <w:spacing w:after="0" w:line="14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On June 4, 2009, we closed on a $139.0 million, five year loan secured by Idylwood Plaza, Loehmann’s Plaza, Leesburg Plaza and Pentagon Row. The loan bears interest at 7.50% and matures on June 5, 2014.</w:t>
      </w:r>
    </w:p>
    <w:p>
      <w:pPr>
        <w:spacing w:after="0" w:line="13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Also on June 4, 2009, we completed a cash tender offer for our 8.75% senior notes due December 1, 2009. Approximately $40.3 million of notes were purchased and retired at a 2% premium to par value resulting in a net loss on early extinguishment of approximately $1.0 million including costs of the transaction; this amount is included in “early extinguishment of senior notes” in the consolidated statement of operations. The notes were repaid with funds from our $372 million term loan.</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Provision</w:t>
      </w:r>
    </w:p>
    <w:p>
      <w:pPr>
        <w:spacing w:after="0" w:line="9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May 2003, a breach of contract action was filed against us which alleged that a one page document entitled “Final Proposal” constituted a ground lease of a parcel of property located adjacent to our Santana Row property and gave the plaintiff the option to require that we acquire the property at a price determined in accordance with a formula included in the “Final Proposal.” The “Final Proposal” explicitly stated that it was subject to approval of the terms and conditions of a formal agreement. A trial as to liability only was held in June 2006 and a jury rendered a verdict against us. A trial on the issue of damages was held in April 2008 and the court issued a tentative ruling in April 2009 awarding damages to the plaintiff of approximately $14.4 million plus interest. Based on this tentative ruling, we estimated interest could range from $2.1 million to $8.4 million. Accordingly, considering all the information available to us on May 6, 2009, when we filed our Form 10-Q for the three months ended March 31, 2009, our best estimate of damages, interest, and other costs was $21.4 million. Accordingly, we increased our accrual for the matter from $0.8 million at December 31, 2008, to $21.4 million at March 31, 2009. The increase in our accrual of $20.6 million is presented as a separate line item in our consolidated statement of operations, and the $21.4 million accrual is included in the “accounts payable and accrued expenses” line item in our consolidated balance sheet as of June 30, 2009.</w:t>
      </w:r>
    </w:p>
    <w:p>
      <w:pPr>
        <w:spacing w:after="0" w:line="123"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In June 2009, the court issued a final judgment awarding damages of $15.9 million (including interest) plus costs of suit. In July 2009, we and the plaintiff both filed a notice of appeal. The plaintiff also filed reimbursement motions for $2.1 million of legal fees, expert fees, and court costs. We expect the appeal process will take in excess of a year to complete; all judgments will be stayed until completion of the appeals. Given the uncertainty surrounding the final outcome of the lawsuit, no further adjustment was made to the $21.4 million litigation provision accrual. During the three months ended June 30, 2009, we incurred additional legal and other costs related to the lawsuit and appeal process which are also included in the “litigation provision” line item in the consolidated statement of operations. Furthermore, we continue to believe that the “Final Proposal” which included express language that it was subject to formal documentation was not a binding contract and that we should have no liability whatsoever, and will vigorously defend our position as part of the appeal process.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seek growth in earnings, funds from operations, and cash flows primarily through a combination of the following:</w:t>
      </w:r>
    </w:p>
    <w:p>
      <w:pPr>
        <w:spacing w:after="0" w:line="90"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growth in our same-center portfolio,</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growth in our portfolio from property redevelopments,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expansion of our portfolio through property acquisitions.</w:t>
      </w:r>
    </w:p>
    <w:p>
      <w:pPr>
        <w:spacing w:after="0" w:line="17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Our same-center growth is primarily driven by increases in rental rates on new leases and lease renewals. Over the long-term, the infill nature and strong demographics of our properties provide a strategic advantage allowing us to maintain relatively high occupancy and increase rental rates. The current economic environment may, however, impact our ability to increase rental rates in the short-term. We seek to maintain a mix of strong national, regional, and local retailers. At June 30, 2009, no single tenant accounted for more than 2.6% of annualized base rent.</w:t>
      </w:r>
    </w:p>
    <w:p>
      <w:pPr>
        <w:spacing w:after="0" w:line="143"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We continue to see a positive impact from redevelopment of our shopping centers. In 2009 and 2010, we have redevelopment projects with projected costs of approximately $31 million and $58 million, respectively, stabilizing. As redevelopment properties are completed, spaces that were out of service and newly created spaces begin generating revenue. In addition, spaces that were not out of service and that have expiring leases may generate higher revenue because we generally receive higher rent on new and renewal leases at improved centers.</w:t>
      </w:r>
    </w:p>
    <w:p>
      <w:pPr>
        <w:spacing w:after="0" w:line="143"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We continue to review acquisition opportunities in our primary markets that complement our portfolio and provide long term opportunities. Generally, our acquisitions do not initially contribute significantly to earnings growth; however, they provide long term re-leasing growth, redevelopment opportunities, and other strategic opportunities. Any growth from acquisitions is contingent on our ability to find properties that meet our qualitative standards at prices that meet our financial hurdles. Changes in interest rates may affect our success in achieving earnings growth through acquisitions by affecting both the price that must be paid to acquire a property, as well as our ability to economically finance the property acquisition.</w:t>
      </w:r>
    </w:p>
    <w:p>
      <w:pPr>
        <w:spacing w:after="0" w:line="1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current downturn in the economy may impact the success of our tenants’ retail operations and therefore the amount of rent and expense reimbursements we receive from our tenants. We have seen some tenants experiencing declining sales, vacating early, or filing for bankruptcy, as well as seeking rent relief from us as landlord. Any reduction in our tenants’ ability to pay base rent, percentage rent or other charges, will adversely affect our financial condition and results of operations. Further, our ability to re-lease vacant spaces may be negatively impacted by the current economic environment.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While we believe the locations of our centers and diverse tenant base should decrease the negative impact of the economic environment, we have and are likely to continue to see an increase in vacancy that will have a negative impact to our revenue and bad debt expense. We continue to monitor our tenants’ operating performance as well as trends in the retail industry to evaluate any future impact.</w:t>
      </w:r>
    </w:p>
    <w:p>
      <w:pPr>
        <w:spacing w:after="0" w:line="14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At June 30, 2009, the leasable square feet in our shopping centers was 93.2% occupied and 94.0% leased. The leased rate is higher than the occupied rate due to leased spaces that are being redeveloped or improved or that are awaiting permits and, therefore, are not yet ready to be occupied. Our occupancy and leased rates are subject to variability over time due to factors including acquisitions, the timing of the start and stabilization of our redevelopment projects, lease expirations and tenant bankruptcies.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Same-Center</w:t>
      </w:r>
    </w:p>
    <w:p>
      <w:pPr>
        <w:spacing w:after="0" w:line="96"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Throughout this section, we have provided certain information on a “same-center” basis. Information provided on a same-center basis includes the results of properties that we owned and operated for the entirety of both periods being compared except for properties for which significant redevelopment or expansion occurred during either of the periods being compared and properties classified as discontinued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OPERATIONS—THREE MONTHS ENDED JUNE 30, 2009 AND 2008</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2008</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Change</w:t>
            </w:r>
          </w:p>
        </w:tc>
        <w:tc>
          <w:tcPr>
            <w:tcW w:w="3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3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w:t>
            </w:r>
          </w:p>
        </w:tc>
        <w:tc>
          <w:tcPr>
            <w:tcW w:w="5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Dollars</w:t>
            </w:r>
          </w:p>
        </w:tc>
        <w:tc>
          <w:tcPr>
            <w:tcW w:w="320" w:type="dxa"/>
            <w:vAlign w:val="bottom"/>
          </w:tcPr>
          <w:p>
            <w:pPr>
              <w:spacing w:after="0"/>
              <w:rPr>
                <w:sz w:val="12"/>
                <w:szCs w:val="12"/>
                <w:color w:val="auto"/>
              </w:rPr>
            </w:pPr>
          </w:p>
        </w:tc>
        <w:tc>
          <w:tcPr>
            <w:tcW w:w="38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8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w w:val="90"/>
              </w:rPr>
              <w:t>(Dollar amounts</w:t>
            </w:r>
          </w:p>
        </w:tc>
        <w:tc>
          <w:tcPr>
            <w:tcW w:w="320" w:type="dxa"/>
            <w:vAlign w:val="bottom"/>
            <w:gridSpan w:val="2"/>
            <w:vMerge w:val="continue"/>
          </w:tcPr>
          <w:p>
            <w:pPr>
              <w:spacing w:after="0"/>
              <w:rPr>
                <w:sz w:val="12"/>
                <w:szCs w:val="12"/>
                <w:color w:val="auto"/>
              </w:rPr>
            </w:pPr>
          </w:p>
        </w:tc>
        <w:tc>
          <w:tcPr>
            <w:tcW w:w="540" w:type="dxa"/>
            <w:vAlign w:val="bottom"/>
            <w:gridSpan w:val="2"/>
          </w:tcPr>
          <w:p>
            <w:pPr>
              <w:spacing w:after="0"/>
              <w:rPr>
                <w:sz w:val="20"/>
                <w:szCs w:val="20"/>
                <w:color w:val="auto"/>
              </w:rPr>
            </w:pPr>
            <w:r>
              <w:rPr>
                <w:rFonts w:ascii="Arial" w:cs="Arial" w:eastAsia="Arial" w:hAnsi="Arial"/>
                <w:sz w:val="12"/>
                <w:szCs w:val="12"/>
                <w:b w:val="1"/>
                <w:bCs w:val="1"/>
                <w:color w:val="auto"/>
                <w:w w:val="80"/>
              </w:rPr>
              <w:t>thousands)</w:t>
            </w: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Rental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126,090</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122,970</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3,120</w:t>
            </w:r>
          </w:p>
        </w:tc>
        <w:tc>
          <w:tcPr>
            <w:tcW w:w="3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Other property income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2,941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4,624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(1,683)</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Mortgage interest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1,118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3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tcPr>
          <w:p>
            <w:pPr>
              <w:ind w:left="420"/>
              <w:spacing w:after="0"/>
              <w:rPr>
                <w:sz w:val="20"/>
                <w:szCs w:val="20"/>
                <w:color w:val="auto"/>
              </w:rPr>
            </w:pPr>
            <w:r>
              <w:rPr>
                <w:rFonts w:ascii="Arial" w:cs="Arial" w:eastAsia="Arial" w:hAnsi="Arial"/>
                <w:sz w:val="18"/>
                <w:szCs w:val="18"/>
                <w:color w:val="auto"/>
              </w:rPr>
              <w:t>Total property revenue</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130,338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128,712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1,626</w:t>
            </w:r>
          </w:p>
        </w:tc>
        <w:tc>
          <w:tcPr>
            <w:tcW w:w="32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Rental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25,080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26,183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(1,103)</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Real estate taxes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14,821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12"/>
              <w:spacing w:after="0"/>
              <w:rPr>
                <w:sz w:val="20"/>
                <w:szCs w:val="20"/>
                <w:color w:val="auto"/>
              </w:rPr>
            </w:pPr>
            <w:r>
              <w:rPr>
                <w:rFonts w:ascii="Arial" w:cs="Arial" w:eastAsia="Arial" w:hAnsi="Arial"/>
                <w:sz w:val="18"/>
                <w:szCs w:val="18"/>
                <w:color w:val="auto"/>
              </w:rPr>
              <w:t>14,112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709</w:t>
            </w:r>
          </w:p>
        </w:tc>
        <w:tc>
          <w:tcPr>
            <w:tcW w:w="3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property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39,901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40,295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(394)</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980" w:type="dxa"/>
            <w:vAlign w:val="bottom"/>
          </w:tcPr>
          <w:p>
            <w:pPr>
              <w:ind w:left="860"/>
              <w:spacing w:after="0"/>
              <w:rPr>
                <w:sz w:val="20"/>
                <w:szCs w:val="20"/>
                <w:color w:val="auto"/>
              </w:rPr>
            </w:pPr>
            <w:r>
              <w:rPr>
                <w:rFonts w:ascii="Arial" w:cs="Arial" w:eastAsia="Arial" w:hAnsi="Arial"/>
                <w:sz w:val="18"/>
                <w:szCs w:val="18"/>
                <w:color w:val="auto"/>
              </w:rPr>
              <w:t>Property operating income</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90,437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88,417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2,020</w:t>
            </w:r>
          </w:p>
        </w:tc>
        <w:tc>
          <w:tcPr>
            <w:tcW w:w="32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Other interest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3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Income from real estate partnership</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(43)</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w w:val="92"/>
              </w:rPr>
              <w:t>(25,830)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w w:val="92"/>
              </w:rPr>
              <w:t>(24,476)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(1,354)</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Early extinguishment of senior notes</w:t>
            </w:r>
          </w:p>
        </w:tc>
        <w:tc>
          <w:tcPr>
            <w:tcW w:w="100" w:type="dxa"/>
            <w:vAlign w:val="bottom"/>
          </w:tcPr>
          <w:p>
            <w:pPr>
              <w:spacing w:after="0"/>
              <w:rPr>
                <w:sz w:val="18"/>
                <w:szCs w:val="18"/>
                <w:color w:val="auto"/>
              </w:rPr>
            </w:pPr>
          </w:p>
        </w:tc>
        <w:tc>
          <w:tcPr>
            <w:tcW w:w="760" w:type="dxa"/>
            <w:vAlign w:val="bottom"/>
            <w:gridSpan w:val="2"/>
          </w:tcPr>
          <w:p>
            <w:pPr>
              <w:jc w:val="right"/>
              <w:ind w:right="52"/>
              <w:spacing w:after="0"/>
              <w:rPr>
                <w:sz w:val="20"/>
                <w:szCs w:val="20"/>
                <w:color w:val="auto"/>
              </w:rPr>
            </w:pPr>
            <w:r>
              <w:rPr>
                <w:rFonts w:ascii="Arial" w:cs="Arial" w:eastAsia="Arial" w:hAnsi="Arial"/>
                <w:sz w:val="18"/>
                <w:szCs w:val="18"/>
                <w:color w:val="auto"/>
              </w:rPr>
              <w:t>(982)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9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(982)</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(5,276)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(7,118)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1,842</w:t>
            </w:r>
          </w:p>
        </w:tc>
        <w:tc>
          <w:tcPr>
            <w:tcW w:w="3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Litigation provision</w:t>
            </w:r>
          </w:p>
        </w:tc>
        <w:tc>
          <w:tcPr>
            <w:tcW w:w="100" w:type="dxa"/>
            <w:vAlign w:val="bottom"/>
          </w:tcPr>
          <w:p>
            <w:pPr>
              <w:spacing w:after="0"/>
              <w:rPr>
                <w:sz w:val="18"/>
                <w:szCs w:val="18"/>
                <w:color w:val="auto"/>
              </w:rPr>
            </w:pPr>
          </w:p>
        </w:tc>
        <w:tc>
          <w:tcPr>
            <w:tcW w:w="760" w:type="dxa"/>
            <w:vAlign w:val="bottom"/>
            <w:gridSpan w:val="2"/>
          </w:tcPr>
          <w:p>
            <w:pPr>
              <w:jc w:val="right"/>
              <w:ind w:right="52"/>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9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(125)</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w w:val="92"/>
              </w:rPr>
              <w:t>(29,633)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w w:val="92"/>
              </w:rPr>
              <w:t>(27,784)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(1,849)</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8000" w:type="dxa"/>
            <w:vAlign w:val="bottom"/>
            <w:gridSpan w:val="2"/>
            <w:vMerge w:val="restart"/>
          </w:tcPr>
          <w:p>
            <w:pPr>
              <w:spacing w:after="0"/>
              <w:rPr>
                <w:sz w:val="20"/>
                <w:szCs w:val="20"/>
                <w:color w:val="auto"/>
              </w:rPr>
            </w:pPr>
            <w:r>
              <w:rPr>
                <w:rFonts w:ascii="Arial" w:cs="Arial" w:eastAsia="Arial" w:hAnsi="Arial"/>
                <w:sz w:val="18"/>
                <w:szCs w:val="18"/>
                <w:color w:val="auto"/>
              </w:rPr>
              <w:t>Total other, net</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line="20" w:lineRule="exact"/>
              <w:rPr>
                <w:sz w:val="1"/>
                <w:szCs w:val="1"/>
                <w:color w:val="auto"/>
              </w:rPr>
            </w:pPr>
          </w:p>
        </w:tc>
      </w:tr>
      <w:tr>
        <w:trPr>
          <w:trHeight w:val="222"/>
        </w:trPr>
        <w:tc>
          <w:tcPr>
            <w:tcW w:w="80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52"/>
              <w:spacing w:after="0"/>
              <w:rPr>
                <w:sz w:val="20"/>
                <w:szCs w:val="20"/>
                <w:color w:val="auto"/>
              </w:rPr>
            </w:pPr>
            <w:r>
              <w:rPr>
                <w:rFonts w:ascii="Arial" w:cs="Arial" w:eastAsia="Arial" w:hAnsi="Arial"/>
                <w:sz w:val="18"/>
                <w:szCs w:val="18"/>
                <w:color w:val="auto"/>
                <w:w w:val="92"/>
              </w:rPr>
              <w:t>(61,187)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52"/>
              <w:spacing w:after="0"/>
              <w:rPr>
                <w:sz w:val="20"/>
                <w:szCs w:val="20"/>
                <w:color w:val="auto"/>
              </w:rPr>
            </w:pPr>
            <w:r>
              <w:rPr>
                <w:rFonts w:ascii="Arial" w:cs="Arial" w:eastAsia="Arial" w:hAnsi="Arial"/>
                <w:sz w:val="18"/>
                <w:szCs w:val="18"/>
                <w:color w:val="auto"/>
                <w:w w:val="92"/>
              </w:rPr>
              <w:t>(58,728)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(2,459)</w:t>
            </w:r>
          </w:p>
        </w:tc>
        <w:tc>
          <w:tcPr>
            <w:tcW w:w="5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29,250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29,689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(439)</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(533)</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real estate from discontinued operations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3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98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29,794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30,383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(589)</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(1,377)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(1,409)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vMerge w:val="restart"/>
          </w:tcPr>
          <w:p>
            <w:pPr>
              <w:ind w:left="420"/>
              <w:spacing w:after="0"/>
              <w:rPr>
                <w:sz w:val="20"/>
                <w:szCs w:val="20"/>
                <w:color w:val="auto"/>
              </w:rPr>
            </w:pPr>
            <w:r>
              <w:rPr>
                <w:rFonts w:ascii="Arial" w:cs="Arial" w:eastAsia="Arial" w:hAnsi="Arial"/>
                <w:sz w:val="18"/>
                <w:szCs w:val="18"/>
                <w:color w:val="auto"/>
              </w:rPr>
              <w:t>Net income attributable to the Trust</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9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28,417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28,974</w:t>
            </w:r>
          </w:p>
        </w:tc>
        <w:tc>
          <w:tcPr>
            <w:tcW w:w="180" w:type="dxa"/>
            <w:vAlign w:val="bottom"/>
          </w:tcPr>
          <w:p>
            <w:pPr>
              <w:spacing w:after="0"/>
              <w:rPr>
                <w:sz w:val="19"/>
                <w:szCs w:val="19"/>
                <w:color w:val="auto"/>
              </w:rPr>
            </w:pP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(557)</w:t>
            </w:r>
          </w:p>
        </w:tc>
        <w:tc>
          <w:tcPr>
            <w:tcW w:w="5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Revenues</w:t>
      </w:r>
    </w:p>
    <w:p>
      <w:pPr>
        <w:spacing w:after="0" w:line="96" w:lineRule="exact"/>
        <w:rPr>
          <w:sz w:val="20"/>
          <w:szCs w:val="20"/>
          <w:color w:val="auto"/>
        </w:rPr>
      </w:pPr>
    </w:p>
    <w:p>
      <w:pPr>
        <w:jc w:val="both"/>
        <w:ind w:right="540"/>
        <w:spacing w:after="0" w:line="259" w:lineRule="auto"/>
        <w:rPr>
          <w:sz w:val="20"/>
          <w:szCs w:val="20"/>
          <w:color w:val="auto"/>
        </w:rPr>
      </w:pPr>
      <w:r>
        <w:rPr>
          <w:rFonts w:ascii="Arial" w:cs="Arial" w:eastAsia="Arial" w:hAnsi="Arial"/>
          <w:sz w:val="18"/>
          <w:szCs w:val="18"/>
          <w:color w:val="auto"/>
        </w:rPr>
        <w:t>Total property revenue increased $1.6 million, or 1.3%, to $130.3 million in the three months ended June 30, 2009 compared to $128.7 million in the three months ended June 30, 2008. The percentage occupied at our shopping centers decreased to 93.2% at June 30, 2009 compared to 94.3% at June 30, 2008. Changes in the components of property revenue are discussed below.</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Income</w:t>
      </w:r>
    </w:p>
    <w:p>
      <w:pPr>
        <w:spacing w:after="0" w:line="90" w:lineRule="exact"/>
        <w:rPr>
          <w:sz w:val="20"/>
          <w:szCs w:val="20"/>
          <w:color w:val="auto"/>
        </w:rPr>
      </w:pPr>
    </w:p>
    <w:p>
      <w:pPr>
        <w:jc w:val="both"/>
        <w:ind w:right="380"/>
        <w:spacing w:after="0" w:line="357" w:lineRule="auto"/>
        <w:rPr>
          <w:sz w:val="20"/>
          <w:szCs w:val="20"/>
          <w:color w:val="auto"/>
        </w:rPr>
      </w:pPr>
      <w:r>
        <w:rPr>
          <w:rFonts w:ascii="Arial" w:cs="Arial" w:eastAsia="Arial" w:hAnsi="Arial"/>
          <w:sz w:val="15"/>
          <w:szCs w:val="15"/>
          <w:color w:val="auto"/>
        </w:rPr>
        <w:t>Rental income consists primarily of minimum rent, cost reimbursements from tenants and percentage rent. Rental income increased $3.1 million, or 2.5%, to $126.1 million in the three months ended June 30, 2009 compared to $123.0 million in the three months ended June 30, 2008 due primarily to the following:</w:t>
      </w:r>
    </w:p>
    <w:p>
      <w:pPr>
        <w:ind w:left="90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increase of $2.4 million at redevelopment properties due primarily to increased rental revenue from newly created retail and residential spaces and increased cost reimbursements,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increase of $1.6 million attributable to properties acquired in 2008,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90"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decrease of $0.5 million as a result of having demolished an operating property in 2008 for use in future development, and</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decrease of $0.4 million at same-center properties due to lower cost reimbursements and percentage rent offset by increased rental rates on new and renewal leases.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Property Income</w:t>
      </w:r>
    </w:p>
    <w:p>
      <w:pPr>
        <w:spacing w:after="0" w:line="90"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Other property income decreased $1.7 million, or 36.4%, to $2.9 million in the three months ended June 30, 2009 compared to $4.6 million in the three months ended June 30, 2008. Included in other property income are items which, although recurring, tend to fluctuate more than rental income from period to period, such as lease termination fees. This decrease is due primarily to a decrease in lease and other termination fees at same-center properties partially offset by an increase in lease and other termination fees at redevelopment properties.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Expenses</w:t>
      </w:r>
    </w:p>
    <w:p>
      <w:pPr>
        <w:spacing w:after="0" w:line="9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Total property expenses decreased $0.4 million, or 1.0%, to $39.9 million in the three months ended June 30, 2009 compared to $40.3 million in the three months ended June 30, 2008. Changes in the components of property expenses are discussed below.</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Expenses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Rental expenses decreased $1.1 million, or 4.2%, to $25.1 million in the three months ended June 30, 2009 compared to $26.2 million in the three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June 30, 2008. This decrease is due primarily to the following:</w:t>
      </w:r>
    </w:p>
    <w:p>
      <w:pPr>
        <w:spacing w:after="0" w:line="84"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decrease of $0.5 million in other operating costs, due primarily to lower legal fees, at same-center and redevelopment properties,</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decrease of $0.4 million in ground rent expense at same-center properties due primarily to the acquisition of the fee interest in two land parcels at Bethesda Row in 2008,</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decrease of $0.4 million in marketing expenses at same-center and redevelopment properties,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decrease of $0.4 million in repairs and maintenance at same-center properties,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decrease of $0.2 million in insurance expense at same-center properties,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90"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increase of $0.5 million attributable to properties acquired in 2008,</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increase of $0.3 million in utilities at same-center properties,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increase of $0.2 million in bad debt expense at redevelopment properties.</w:t>
      </w:r>
    </w:p>
    <w:p>
      <w:pPr>
        <w:spacing w:after="0" w:line="171"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As a result of the changes in rental income, rental expenses and other property income described above, rental expenses as a percentage of rental income plus other property income decreased to 19.4% in the three months ended June 30, 2009 from 20.5% in the three months ended June 30, 2008.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Taxes</w:t>
      </w:r>
    </w:p>
    <w:p>
      <w:pPr>
        <w:spacing w:after="0" w:line="90"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Real estate tax expense increased $0.7 million, or 5.0%, to $14.8 million in the three months ended June 30, 2009 compared to $14.1 million in the three months ended June 30, 2008. This increase is due primarily to an increase of $0.5 million related primarily to higher tax assessments at same-center and redevelopment properties and an increase of $0.3 million related to properties acquired in 2008.</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Operating Income</w:t>
      </w:r>
    </w:p>
    <w:p>
      <w:pPr>
        <w:spacing w:after="0" w:line="9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Property operating income increased $2.0 million, or 2.3% to $90.4 million in the three months ended June 30, 2009 compared to $88.4 million in the three months ended June 30, 2008. This increase is due primarily to growth in earnings at redevelopment properties and earnings attributable to properties acquired in 2008 partially offset by lower earnings in our same-center portfolio as discussed above.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spacing w:after="0"/>
        <w:rPr>
          <w:sz w:val="20"/>
          <w:szCs w:val="20"/>
          <w:color w:val="auto"/>
        </w:rPr>
      </w:pPr>
      <w:r>
        <w:rPr>
          <w:rFonts w:ascii="Arial" w:cs="Arial" w:eastAsia="Arial" w:hAnsi="Arial"/>
          <w:sz w:val="15"/>
          <w:szCs w:val="15"/>
          <w:color w:val="auto"/>
        </w:rPr>
        <w:t>Interest expense increased $1.4 million, or 5.5%, to $25.8 million in the three months ended June 30, 2009 compared to $24.5 million in the three months ended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June 30, 2008. This increase is due primarily to the following:</w:t>
      </w:r>
    </w:p>
    <w:p>
      <w:pPr>
        <w:spacing w:after="0" w:line="84"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of $2.5 million due to higher borrowings,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90"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decrease of $1.0 million due to a lower overall weighted average borrowing rate,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increase of $0.1 million in capitalized interest.</w:t>
      </w:r>
    </w:p>
    <w:p>
      <w:pPr>
        <w:spacing w:after="0" w:line="17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Gross interest costs were $27.4 million and $26.0 million in the three months ended June 30, 2009 and 2008, respectively. Capitalized interest was $1.6 million and $1.5 million in the three months ended June 30, 2009 and 2008,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Early Extinguishment of Senior Notes</w:t>
      </w:r>
    </w:p>
    <w:p>
      <w:pPr>
        <w:spacing w:after="0" w:line="9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$1.0 million early extinguishment of senior notes for the three months ended June 30, 2009 is primarily related to a cash tender offer for our 8.75% senior notes due December 1, 2009. On June 4, 2009, approximately $40.3 million of notes were purchased and retired at a 2% premium to par value resulting in a net loss on early extinguishment of approximately $1.0 million including costs of the transaction.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90"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General and administrative expense decreased $1.8 million, or 25.9%, to $5.3 million in the three months ended June 30, 2009 compared to $7.1 million in the three months ended June 30, 2008. The decrease is primarily due to lower legal fees related to the litigation over a parcel of land adjacent to Santana Row and other legal matters as well as lower personnel related costs and overall cost reduction efforts.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Depreciation and amortization expense increased $1.8 million, or 6.7%, to $29.6 million in the three months ended June 30, 2009 from $27.8 million in the three months ended June 30, 2008. This increase is due primarily to capital improvements at same-center and redevelopment properties and 2008 acquisitions as well as accelerated depreciation for tenant improvements where the tenant vacated prior to the end of their lease term.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Discontinued Operations</w:t>
      </w:r>
    </w:p>
    <w:p>
      <w:pPr>
        <w:spacing w:after="0" w:line="90"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Income from discontinued operations represents the operating income of properties that have been disposed or will be disposed, which is required to be reported separately from results of ongoing operations. The reported operating income of $0.2 million and $0.7 million for the three months ended June 30, 2009 and 2008, respectively, represents the operating income for the period during which we owned properties sold in 2009 and 2008.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Real Estate from Discontinued Operations</w:t>
      </w:r>
    </w:p>
    <w:p>
      <w:pPr>
        <w:spacing w:after="0" w:line="9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$0.4 million gain on sale of real estate from discontinued operations for the three months ended June 30, 2009 is primarily due to the sale of our fee interest in a land parcel in White Marsh, Maryland, that was subject to a long-term ground lease.</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20"/>
          </w:cols>
          <w:pgMar w:left="240" w:top="459"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OPERATIONS—SIX MONTHS ENDED JUNE 30, 2009 AND 2008</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Change</w:t>
            </w:r>
          </w:p>
        </w:tc>
        <w:tc>
          <w:tcPr>
            <w:tcW w:w="3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8"/>
              </w:rPr>
              <w:t>Dollars</w:t>
            </w:r>
          </w:p>
        </w:tc>
        <w:tc>
          <w:tcPr>
            <w:tcW w:w="320" w:type="dxa"/>
            <w:vAlign w:val="bottom"/>
          </w:tcPr>
          <w:p>
            <w:pPr>
              <w:spacing w:after="0"/>
              <w:rPr>
                <w:sz w:val="12"/>
                <w:szCs w:val="12"/>
                <w:color w:val="auto"/>
              </w:rPr>
            </w:pPr>
          </w:p>
        </w:tc>
        <w:tc>
          <w:tcPr>
            <w:tcW w:w="38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86"/>
              </w:rPr>
              <w:t>(Dollar amounts</w:t>
            </w:r>
          </w:p>
        </w:tc>
        <w:tc>
          <w:tcPr>
            <w:tcW w:w="32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rPr>
              <w:t>in</w:t>
            </w:r>
          </w:p>
        </w:tc>
        <w:tc>
          <w:tcPr>
            <w:tcW w:w="6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2"/>
              </w:rPr>
              <w:t>thousands)</w:t>
            </w: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Rental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253,296</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w w:val="92"/>
              </w:rPr>
              <w:t>244,710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8,586</w:t>
            </w:r>
          </w:p>
        </w:tc>
        <w:tc>
          <w:tcPr>
            <w:tcW w:w="3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Other property income</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5,544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52"/>
              <w:spacing w:after="0"/>
              <w:rPr>
                <w:sz w:val="20"/>
                <w:szCs w:val="20"/>
                <w:color w:val="auto"/>
              </w:rPr>
            </w:pPr>
            <w:r>
              <w:rPr>
                <w:rFonts w:ascii="Arial" w:cs="Arial" w:eastAsia="Arial" w:hAnsi="Arial"/>
                <w:sz w:val="18"/>
                <w:szCs w:val="18"/>
                <w:color w:val="auto"/>
              </w:rPr>
              <w:t>8,010</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(2,466)</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Mortgage interest income</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2,234</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3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vMerge w:val="restart"/>
          </w:tcPr>
          <w:p>
            <w:pPr>
              <w:ind w:left="420"/>
              <w:spacing w:after="0"/>
              <w:rPr>
                <w:sz w:val="20"/>
                <w:szCs w:val="20"/>
                <w:color w:val="auto"/>
              </w:rPr>
            </w:pPr>
            <w:r>
              <w:rPr>
                <w:rFonts w:ascii="Arial" w:cs="Arial" w:eastAsia="Arial" w:hAnsi="Arial"/>
                <w:sz w:val="18"/>
                <w:szCs w:val="18"/>
                <w:color w:val="auto"/>
              </w:rPr>
              <w:t>Total property revenue</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7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261,414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52"/>
              <w:spacing w:after="0"/>
              <w:rPr>
                <w:sz w:val="20"/>
                <w:szCs w:val="20"/>
                <w:color w:val="auto"/>
              </w:rPr>
            </w:pPr>
            <w:r>
              <w:rPr>
                <w:rFonts w:ascii="Arial" w:cs="Arial" w:eastAsia="Arial" w:hAnsi="Arial"/>
                <w:sz w:val="18"/>
                <w:szCs w:val="18"/>
                <w:color w:val="auto"/>
                <w:w w:val="92"/>
              </w:rPr>
              <w:t>254,954</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6,460</w:t>
            </w:r>
          </w:p>
        </w:tc>
        <w:tc>
          <w:tcPr>
            <w:tcW w:w="320" w:type="dxa"/>
            <w:vAlign w:val="bottom"/>
          </w:tcPr>
          <w:p>
            <w:pPr>
              <w:spacing w:after="0"/>
              <w:rPr>
                <w:sz w:val="19"/>
                <w:szCs w:val="19"/>
                <w:color w:val="auto"/>
              </w:rPr>
            </w:pPr>
          </w:p>
        </w:tc>
        <w:tc>
          <w:tcPr>
            <w:tcW w:w="5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Rental expenses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53,777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53,446</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3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Real estate taxes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28,653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52"/>
              <w:spacing w:after="0"/>
              <w:rPr>
                <w:sz w:val="20"/>
                <w:szCs w:val="20"/>
                <w:color w:val="auto"/>
              </w:rPr>
            </w:pPr>
            <w:r>
              <w:rPr>
                <w:rFonts w:ascii="Arial" w:cs="Arial" w:eastAsia="Arial" w:hAnsi="Arial"/>
                <w:sz w:val="18"/>
                <w:szCs w:val="18"/>
                <w:color w:val="auto"/>
              </w:rPr>
              <w:t>26,440</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2,213</w:t>
            </w:r>
          </w:p>
        </w:tc>
        <w:tc>
          <w:tcPr>
            <w:tcW w:w="3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property expenses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82,430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79,886</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2,544</w:t>
            </w:r>
          </w:p>
        </w:tc>
        <w:tc>
          <w:tcPr>
            <w:tcW w:w="3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vMerge w:val="restart"/>
          </w:tcPr>
          <w:p>
            <w:pPr>
              <w:ind w:left="860"/>
              <w:spacing w:after="0"/>
              <w:rPr>
                <w:sz w:val="20"/>
                <w:szCs w:val="20"/>
                <w:color w:val="auto"/>
              </w:rPr>
            </w:pPr>
            <w:r>
              <w:rPr>
                <w:rFonts w:ascii="Arial" w:cs="Arial" w:eastAsia="Arial" w:hAnsi="Arial"/>
                <w:sz w:val="18"/>
                <w:szCs w:val="18"/>
                <w:color w:val="auto"/>
              </w:rPr>
              <w:t>Property operating income</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7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178,984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52"/>
              <w:spacing w:after="0"/>
              <w:rPr>
                <w:sz w:val="20"/>
                <w:szCs w:val="20"/>
                <w:color w:val="auto"/>
              </w:rPr>
            </w:pPr>
            <w:r>
              <w:rPr>
                <w:rFonts w:ascii="Arial" w:cs="Arial" w:eastAsia="Arial" w:hAnsi="Arial"/>
                <w:sz w:val="18"/>
                <w:szCs w:val="18"/>
                <w:color w:val="auto"/>
                <w:w w:val="92"/>
              </w:rPr>
              <w:t>175,068</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3,916</w:t>
            </w:r>
          </w:p>
        </w:tc>
        <w:tc>
          <w:tcPr>
            <w:tcW w:w="320" w:type="dxa"/>
            <w:vAlign w:val="bottom"/>
          </w:tcPr>
          <w:p>
            <w:pPr>
              <w:spacing w:after="0"/>
              <w:rPr>
                <w:sz w:val="19"/>
                <w:szCs w:val="19"/>
                <w:color w:val="auto"/>
              </w:rPr>
            </w:pPr>
          </w:p>
        </w:tc>
        <w:tc>
          <w:tcPr>
            <w:tcW w:w="5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Other interest income</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547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(197)</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Income from real estate partnership</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52"/>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(172)</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(49,413)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w w:val="98"/>
              </w:rPr>
              <w:t>(48,829)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(584)</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Early extinguishment of senior notes</w:t>
            </w: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(968)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(968)</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(10,421)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w w:val="98"/>
              </w:rPr>
              <w:t>(14,060)</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3,639</w:t>
            </w:r>
          </w:p>
        </w:tc>
        <w:tc>
          <w:tcPr>
            <w:tcW w:w="3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Litigation provision</w:t>
            </w: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(20,757)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(20,757)</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(58,225)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w w:val="98"/>
              </w:rPr>
              <w:t>(53,174)</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(5,051)</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7800" w:type="dxa"/>
            <w:vAlign w:val="bottom"/>
            <w:gridSpan w:val="2"/>
            <w:vMerge w:val="restart"/>
          </w:tcPr>
          <w:p>
            <w:pPr>
              <w:spacing w:after="0"/>
              <w:rPr>
                <w:sz w:val="20"/>
                <w:szCs w:val="20"/>
                <w:color w:val="auto"/>
              </w:rPr>
            </w:pPr>
            <w:r>
              <w:rPr>
                <w:rFonts w:ascii="Arial" w:cs="Arial" w:eastAsia="Arial" w:hAnsi="Arial"/>
                <w:sz w:val="18"/>
                <w:szCs w:val="18"/>
                <w:color w:val="auto"/>
              </w:rPr>
              <w:t>Total other, net</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w w:val="97"/>
              </w:rPr>
              <w:t>21.0%</w:t>
            </w:r>
          </w:p>
        </w:tc>
        <w:tc>
          <w:tcPr>
            <w:tcW w:w="0" w:type="dxa"/>
            <w:vAlign w:val="bottom"/>
          </w:tcPr>
          <w:p>
            <w:pPr>
              <w:spacing w:after="0" w:line="20" w:lineRule="exact"/>
              <w:rPr>
                <w:sz w:val="1"/>
                <w:szCs w:val="1"/>
                <w:color w:val="auto"/>
              </w:rPr>
            </w:pPr>
          </w:p>
        </w:tc>
      </w:tr>
      <w:tr>
        <w:trPr>
          <w:trHeight w:val="222"/>
        </w:trPr>
        <w:tc>
          <w:tcPr>
            <w:tcW w:w="78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85"/>
              </w:rPr>
              <w:t>(138,833)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92"/>
              <w:spacing w:after="0"/>
              <w:rPr>
                <w:sz w:val="20"/>
                <w:szCs w:val="20"/>
                <w:color w:val="auto"/>
              </w:rPr>
            </w:pPr>
            <w:r>
              <w:rPr>
                <w:rFonts w:ascii="Arial" w:cs="Arial" w:eastAsia="Arial" w:hAnsi="Arial"/>
                <w:sz w:val="18"/>
                <w:szCs w:val="18"/>
                <w:color w:val="auto"/>
                <w:w w:val="85"/>
              </w:rPr>
              <w:t>(114,743)</w:t>
            </w:r>
          </w:p>
        </w:tc>
        <w:tc>
          <w:tcPr>
            <w:tcW w:w="10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(24,090)</w:t>
            </w:r>
          </w:p>
        </w:tc>
        <w:tc>
          <w:tcPr>
            <w:tcW w:w="5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40,151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60,325</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(20,174)</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52"/>
              <w:spacing w:after="0"/>
              <w:rPr>
                <w:sz w:val="20"/>
                <w:szCs w:val="20"/>
                <w:color w:val="auto"/>
              </w:rPr>
            </w:pPr>
            <w:r>
              <w:rPr>
                <w:rFonts w:ascii="Arial" w:cs="Arial" w:eastAsia="Arial" w:hAnsi="Arial"/>
                <w:sz w:val="18"/>
                <w:szCs w:val="18"/>
                <w:color w:val="auto"/>
              </w:rPr>
              <w:t>1,376</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(1,158)</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real estate from discontinued operations</w:t>
            </w: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3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78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41,667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52"/>
              <w:spacing w:after="0"/>
              <w:rPr>
                <w:sz w:val="20"/>
                <w:szCs w:val="20"/>
                <w:color w:val="auto"/>
              </w:rPr>
            </w:pPr>
            <w:r>
              <w:rPr>
                <w:rFonts w:ascii="Arial" w:cs="Arial" w:eastAsia="Arial" w:hAnsi="Arial"/>
                <w:sz w:val="18"/>
                <w:szCs w:val="18"/>
                <w:color w:val="auto"/>
              </w:rPr>
              <w:t>61,701</w:t>
            </w:r>
          </w:p>
        </w:tc>
        <w:tc>
          <w:tcPr>
            <w:tcW w:w="10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(20,034)</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-32.5%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(2,766)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(2,741)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vMerge w:val="restart"/>
          </w:tcPr>
          <w:p>
            <w:pPr>
              <w:ind w:left="420"/>
              <w:spacing w:after="0"/>
              <w:rPr>
                <w:sz w:val="20"/>
                <w:szCs w:val="20"/>
                <w:color w:val="auto"/>
              </w:rPr>
            </w:pPr>
            <w:r>
              <w:rPr>
                <w:rFonts w:ascii="Arial" w:cs="Arial" w:eastAsia="Arial" w:hAnsi="Arial"/>
                <w:sz w:val="18"/>
                <w:szCs w:val="18"/>
                <w:color w:val="auto"/>
              </w:rPr>
              <w:t>Net income attributable to the Trust</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w w:val="87"/>
              </w:rPr>
              <w:t>-34.0%</w:t>
            </w: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7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38,901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52"/>
              <w:spacing w:after="0"/>
              <w:rPr>
                <w:sz w:val="20"/>
                <w:szCs w:val="20"/>
                <w:color w:val="auto"/>
              </w:rPr>
            </w:pPr>
            <w:r>
              <w:rPr>
                <w:rFonts w:ascii="Arial" w:cs="Arial" w:eastAsia="Arial" w:hAnsi="Arial"/>
                <w:sz w:val="18"/>
                <w:szCs w:val="18"/>
                <w:color w:val="auto"/>
              </w:rPr>
              <w:t>58,960</w:t>
            </w: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(20,059)</w:t>
            </w:r>
          </w:p>
        </w:tc>
        <w:tc>
          <w:tcPr>
            <w:tcW w:w="5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Revenues</w:t>
      </w:r>
    </w:p>
    <w:p>
      <w:pPr>
        <w:spacing w:after="0" w:line="9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Total property revenue increased $6.5 million, or 2.5%, to $261.4 million in the six months ended June 30, 2009 compared to $255.0 million in the six months ended June 30, 2008. The percentage occupied at our shopping centers decreased to 93.2% at June 30, 2009 compared to 94.3% at June 30, 2008. Changes in the components of property revenue are discussed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Income</w:t>
      </w:r>
    </w:p>
    <w:p>
      <w:pPr>
        <w:spacing w:after="0" w:line="90"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Rental income consists primarily of minimum rent, cost reimbursements from tenants and percentage rent. Rental income increased $8.6 million, or 3.5%, to $253.3 million in the six months ended June 30, 2009 compared to $244.7 million in the six months ended June 30, 2008 due primarily to the following:</w:t>
      </w:r>
    </w:p>
    <w:p>
      <w:pPr>
        <w:spacing w:after="0" w:line="4" w:lineRule="exact"/>
        <w:rPr>
          <w:sz w:val="20"/>
          <w:szCs w:val="20"/>
          <w:color w:val="auto"/>
        </w:rPr>
      </w:pPr>
    </w:p>
    <w:p>
      <w:pPr>
        <w:ind w:left="900" w:right="2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of $5.2 million at redevelopment properties due primarily to increased rental revenue from newly created retail and residential spaces and increased cost reimbursements,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of $3.5 million attributable to properties acquired in 2008,</w:t>
      </w:r>
    </w:p>
    <w:p>
      <w:pPr>
        <w:spacing w:after="0" w:line="9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of $0.8 million at same-center properties due to increased rental rates on new and renewal leases offset by lower percentage rent and cost reimbursements,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90"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decrease of $1.0 million as a result of having demolished an operating property in 2008 for use in future development.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Property Income</w:t>
      </w:r>
    </w:p>
    <w:p>
      <w:pPr>
        <w:spacing w:after="0" w:line="9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Other property income decreased $2.5 million, or 30.8%, to $5.5 million in the six months ended June 30, 2009 compared to $8.0 million in the six months ended June 30, 2008. Included in other property income are items which, although recurring,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tend to fluctuate more than rental income from period to period, such as lease termination fees. This decrease is due primarily to a decrease in lease and other termination fees at same-center properties partially offset by an increase in lease and other termination fees at redevelopment properties.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Expenses</w:t>
      </w:r>
    </w:p>
    <w:p>
      <w:pPr>
        <w:spacing w:after="0" w:line="9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Total property expenses increased $2.5 million, or 3.2%, to $82.4 million in the six months ended June 30, 2009 compared to $79.9 million in the six months ended June 30, 2008. Changes in the components of property expenses are discussed below.</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Expenses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Rental expenses increased $0.3 million, or 0.6%, to $53.8 million in the six months ended June 30, 2009 compared to $53.4 million in the six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June 30, 2008. This increase is due primarily to the following:</w:t>
      </w:r>
    </w:p>
    <w:p>
      <w:pPr>
        <w:spacing w:after="0" w:line="84"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of $1.8 million in bad debt expense at same-center and redevelopment properties,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of $1.1 million attributable to properties acquired in 2008,</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of $0.6 million in utilities at same-center and redevelopment properties,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90" w:lineRule="exact"/>
        <w:rPr>
          <w:sz w:val="20"/>
          <w:szCs w:val="20"/>
          <w:color w:val="auto"/>
        </w:rPr>
      </w:pPr>
    </w:p>
    <w:p>
      <w:pPr>
        <w:ind w:left="900" w:right="14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decrease of $1.0 million in ground rent expense at same-center properties due primarily to the acquisition of the fee interest in two land parcels at Bethesda Row in 2008,</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decrease of $0.7 million in marketing expense at same-center and redevelopment properties,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decrease of $0.5 million in other operating cost, due primarily to lower legal fees, at same-center and redevelopment properties,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decrease of $0.5 million in insurance expense at same-center properties,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decrease of $0.4 million as a result of having demolished an operating property in 2008 for use in future development.</w:t>
      </w:r>
    </w:p>
    <w:p>
      <w:pPr>
        <w:spacing w:after="0" w:line="171"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As a result of the changes in rental income, rental expenses and other property income described above, rental expenses as a percentage of rental income plus other property income decreased to 20.8% in the six months ended June 30, 2009 from 21.1% in the six months ended June 30, 2008.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Taxes</w:t>
      </w:r>
    </w:p>
    <w:p>
      <w:pPr>
        <w:spacing w:after="0" w:line="9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Real estate tax expense increased $2.2 million, or 8.4%, to $28.7 million in the six months ended June 30, 2009 compared to $26.4 million in the six months ended June 30, 2008. This increase is due primarily to an increase of $1.8 million related primarily to higher tax assessments at same-center and redevelopment properties and an increase of $0.6 million related to properties acquired in 2008.</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Operating Income</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Property operating income increased $3.9 million, or 2.2% to $179.0 million in the six months ended June 30, 2009 compared to $175.1 million in the six months ended June 30, 2008. This increase is due primarily to growth in earnings at redevelopment properties and earnings attributable to properties acquired in 2008 partially offset by lower earnings in our same-center portfolio as discussed above.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increased $0.6 million, or 1.2%, to $49.4 million in the six months ended June 30, 2009 compared to $48.8 million in the six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June 30, 2008. This increase is due primarily to the following:</w:t>
      </w:r>
    </w:p>
    <w:p>
      <w:pPr>
        <w:spacing w:after="0" w:line="84"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increase of $4.3 million due to higher borrowings.</w:t>
      </w:r>
    </w:p>
    <w:p>
      <w:pPr>
        <w:spacing w:after="0" w:line="9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decrease of $0.3 million in capitalized interest due primarily to substantial completion of our Arlington East (Bethesda Row) and Linden Square projects partially offset by capitalized interest on current redevelopment projects,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90" w:lineRule="exact"/>
        <w:rPr>
          <w:sz w:val="20"/>
          <w:szCs w:val="20"/>
          <w:color w:val="auto"/>
        </w:rPr>
      </w:pPr>
    </w:p>
    <w:p>
      <w:pPr>
        <w:ind w:left="5620" w:right="4680" w:hanging="5045"/>
        <w:spacing w:after="0" w:line="525" w:lineRule="auto"/>
        <w:tabs>
          <w:tab w:leader="none" w:pos="893"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decrease of $4.1 million due to a lower overall weighted average borrowing rate. 23</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Gross interest costs were $52.4 million and $52.1 million in the six months ended June 30, 2009 and 2008, respectively. Capitalized interest was $3.0 million and $3.3 million in the six months ended June 30, 2009 and 2008,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Early Extinguishment of Senior Notes</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$1.0 million early extinguishment of senior notes for the six months ended June 30, 2009 is primarily related to a cash tender offer for our 8.75% senior notes due December 1, 2009. On June 4, 2009, approximately $40.3 million of notes were purchased and retired at a 2% premium to par value resulting in a net loss on early extinguishment of approximately $1.0 million including costs of the transaction.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General and administrative expense decreased $3.6 million, or 25.9%, to $10.4 million in the six months ended June 30, 2009 compared to $14.1 million in the six months ended June 30, 2008. The decrease is primarily due to lower legal fees related to the litigation over a parcel of land adjacent to Santana Row and other legal matters as well as lower personnel related costs and overall cost reduction efforts.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 Provision</w:t>
      </w:r>
    </w:p>
    <w:p>
      <w:pPr>
        <w:spacing w:after="0" w:line="9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$20.8 million litigation provision in the six months ended June 30, 2009 is due to increasing the accrual for litigation regarding a parcel of land located adjacent to Santana Row as well as other costs related to the litigation and appeal process. See Note F to the consolidated financial statements in this Form 10-Q for further discussion on the litigation.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Depreciation and amortization expense increased $5.1 million, or 9.5%, to $58.2 million in the six months ended June 30, 2009 from $53.2 million in the six months ended June 30, 2008. This increase is due primarily to capital improvements at same-center and redevelopment properties and 2008 acquisitions.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Discontinued Operations</w:t>
      </w:r>
    </w:p>
    <w:p>
      <w:pPr>
        <w:spacing w:after="0" w:line="90"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Income from discontinued operations represents the operating income of properties that have been disposed or will be disposed, which is required to be reported separately from results of ongoing operations. The reported operating income of $0.2 million and $1.4 million for the six months ended June 30, 2009 and 2008, respectively, represents the operating income for the period during which we owned properties sold in 2009 and 2008.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Real Estate from Discontinued Operations</w:t>
      </w:r>
    </w:p>
    <w:p>
      <w:pPr>
        <w:spacing w:after="0" w:line="90"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The $1.3 million gain on sale of real estate from discontinued operations for the six months ended June 30, 2009 consists primarily of $0.9 million in insurance proceeds received related to repairs we performed on certain condominium units at Santana Row as the result of defective work done by third party contractors in prior years and $0.4 million on the sale of our fee interest in a land parcel in White Marsh, Maryland, that was subject to a long-term ground lease.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9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On December 4, 2007, the FASB issued Statement No. 141 (R), “Business Combinations” (“SFAS No. 141 (R)”), which we adopted effective January 1, 2009. SFAS No. 141 (R) broadens and clarifies the definition of a business which will result in significantly more of our acquisitions being treated as business combinations rather than asset acquisitions. SFAS No. 141 (R) is effective for business combinations for which the acquisition date is on or after January 1, 2009, and therefore, will only impact prospective acquisitions with no change to the accounting for acquisitions completed prior to or on December 31, 2008. The new standard requires us to expense as incurred all acquisition related transaction costs which could include broker fees, transfer taxes, legal, accounting, valuation, and other professional and consulting fees. For acquisitions prior to January 1, 2009, such acquisition costs were capitalized as part of the acquisition cost. While the adoption did not have a material impact on our financial statements for the three and six months ended June 30, 2009, the impact to our future consolidated financial statements will vary significantly depending on the timing and number of acquisitions or potential acquisitions, size of the acquisitions, and location of the acquisitions. Based on acquisitions in the last three years, transaction costs for single asset acquisitions typically ranged from $0.1 million to $1.0 million with significantly higher transaction costs for an acquisition of a larger portfolio. The new standard includes several other changes to the accounting for business combinations including requiring contingent consideration to be measured at fair value at acquisition and subsequently remeasured through the income statement if accounted for as a liability as the fair value changes, any adjustments during the purchase price allocation period to be “pushed back” to the acquisition date with prior periods being adjusted for any changes, and the business combination to be accounted for on the acquisition date or the date control is obtained. During 2008, we expensed all acquisition related costs for acquisitions which did not close prior to December 31, 2008.</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On December 4, 2007, the FASB issued Statement No. 160, “Noncontrolling Interests in Consolidated Financial Statements—an amendment of ARB 51” (“SFAS No. 160”). The new standard significantly changes the accounting and reporting of minority interests in the consolidated financial statements. The new standard requires a noncontrolling interest, which was previously referred to as a minority interest, to be recognized as a component of equity rather than included in the mezzanine section of the balance sheet where it was previously presented. Effective January 1, 2009, we reclassified $32.4 million from the mezzanine section of the balance sheet to shareholders’ equity. The terminology “minority interest” has been changed to “noncontrolling interest”. The “minority interest” caption on the statement of operations is now reflected as “net income attributable to noncontrolling interests” and shown after consolidated net income. This is a presentation only change for minority interest on both the balance sheet and statement of operations and has no impact to net income, total liabilities and shareholders’ equity, or earnings per share. The statement also requires the recognition of 100% of the fair value of assets acquired and liabilities assumed in acquisitions of less than 100% controlling interest with subsequent acquisitions of the noncontrolling interest recorded as equity transactions. SFAS No. 160 was adopted effective January 1, 2009 and has been applied prospectively except for the presentation changes to the balance sheet and statement of operations which have been applied retrospectively in the 2008 consolidated financial statements. While there was no additional impact on the consolidated financial statements during the three and six months ended June 30, 2009, the impact on our future consolidated financial statements will vary depending on the level of transactions with entities involving noncontrolling interests.</w:t>
      </w:r>
    </w:p>
    <w:p>
      <w:pPr>
        <w:spacing w:after="0" w:line="12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March 2008, the FASB issued SFAS No. 161, “Disclosures about Derivative Instruments and Hedging Activities, an amendment of FASB Statement No. 133” (“SFAS No. 161”). SFAS No. 161 requires enhanced disclosures about an entity’s derivative instruments and hedging activities and is effective for fiscal years beginning after November 15, 2008. We adopted SFAS No. 161 effective January 1, 2009 and the adoption did not have an impact on our consolidated financial statements as we currently have no derivative instruments outstanding.</w:t>
      </w:r>
    </w:p>
    <w:p>
      <w:pPr>
        <w:spacing w:after="0" w:line="14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June 2008, the FASB issued FSP EITF No. 03-6-1, “Determining Whether Instruments Granted in Share-Based Payment Transactions Are Participating Securities” (“FSP EITF No. 03-6-1”). Under the FSP, unvested share-based payment awards that contain non-forfeitable rights to receive dividends (whether paid or unpaid) are participating securities, and should be included in the computation of EPS pursuant to the two-class method. As part of our stock based compensation program, we issue restricted shares which typically vest over a three to six year period; these shares have non-forfeitable rights to dividends immediately after issuance. Prior to January 1, 2009, we excluded the unvested shares from the basic EPS calculation and included them using the treasury stock method in diluted earnings per share. Effective January 1, 2009, we adopted FSP EITF No. 03-6-1 and have calculated earnings per share for all periods presented under the two-class method. The two-class method is an earnings allocation methodology whereby earnings per share for each class of common stock and participating securities is calculated according to dividends declared and participation rights in undistributed earnings. The implementation did not result in a significant change to basic or diluted earnings per share for all periods presented.</w:t>
      </w:r>
    </w:p>
    <w:p>
      <w:pPr>
        <w:spacing w:after="0" w:line="12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 November 2008, the EITF issued Issue 08-6, “Equity Method Investment Accounting Considerations” (“EITF 08-6”), which clarified the accounting for certain transactions and impairment considerations involving equity method investments. EITF 08-6 clarified that equity method investments should initially be measured at cost, the issuance of shares by the investee would result in a gain or loss on issuance of shares reflected in the income statement of the equity investor, and that a loss in value of an equity investment which is other than a temporary decline should be recognized in accordance with APB 18, “The Equity Method of Accounting for Investments in Common Stock”. The consensus was effective on a prospective basis beginning on January 1, 2009, and did not have a material impact on our financial position, results of operations, or cash flows.</w:t>
      </w:r>
    </w:p>
    <w:p>
      <w:pPr>
        <w:spacing w:after="0" w:line="120"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In April 2009, FSP No. FAS 107-1 and APB 28-1, “Interim Disclosures about Fair Value of Financial Instruments” was issued which requires disclosure regarding the fair value of financial instruments for interim reporting periods as well as in annual financial statements. We adopted the FSP during the quarter ended June 30, 2009, and have included the additional disclosures in Note E to the consolidated financial statements in this Form 10-Q.</w:t>
      </w:r>
    </w:p>
    <w:p>
      <w:pPr>
        <w:spacing w:after="0" w:line="107" w:lineRule="exact"/>
        <w:rPr>
          <w:sz w:val="20"/>
          <w:szCs w:val="20"/>
          <w:color w:val="auto"/>
        </w:rPr>
      </w:pPr>
    </w:p>
    <w:p>
      <w:pPr>
        <w:ind w:right="80"/>
        <w:spacing w:after="0" w:line="323" w:lineRule="auto"/>
        <w:rPr>
          <w:sz w:val="20"/>
          <w:szCs w:val="20"/>
          <w:color w:val="auto"/>
        </w:rPr>
      </w:pPr>
      <w:r>
        <w:rPr>
          <w:rFonts w:ascii="Arial" w:cs="Arial" w:eastAsia="Arial" w:hAnsi="Arial"/>
          <w:sz w:val="15"/>
          <w:szCs w:val="15"/>
          <w:color w:val="auto"/>
        </w:rPr>
        <w:t>In May 2009, the FASB issued Statement No. 165, “Subsequent Events” (“SFAS No. 165”), which establishes general standards of accounting and disclosure of events that occur after the balance sheet date but before the financial statements are issued or available to be issued and requires disclosure of the date through which subsequent events have been evaluated. We adopted the standard in the quarter ended June 30, 2009, and consequently have added disclosure in Note A to the consolidated financial statements in this Form 10-Q under “Basis of Presentation” regarding the date through which we have evaluated subsequent events.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June 2009, the FASB issued Statement No. 167, “Amendments to FASB Interpretation No. 46(R)” (“SFAS No. 167”), which provides certain changes to the evaluation of a variable interest entity (VIE) including requiring a qualitative rather than quantitative analysis to determine the primary beneficiary of a VIE, continuous assessments of whether an enterprise is the primary beneficiary of a VIE, and enhanced disclosures about an enterprise’s involvement with a VIE. The statement is effective January 1, 2010, and is applicable to all entities in which an enterprise has a variable interest. We are currently evaluating the impact SFAS No. 167 will have on our consolidated financial statements.</w:t>
      </w:r>
    </w:p>
    <w:p>
      <w:pPr>
        <w:spacing w:after="0" w:line="143"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In June 2009, the FASB issued Statement No. 168, “The FASB Accounting Standards Codification and the Hierarchy of Generally Accepted Accounting Principles – a replacement of FASB Statement No. 162” (“SFAS No. 168”), which makes the FASB Accounting Standards Codification (“Codification”) the single source of authoritative literature for U.S. accounting and reporting standards. The Codification is not meant to change existing GAAP but rather provide a single source for all literature. SFAS No. 168 is effective for the interim period ending September 30, 2009, and will require us to change certain disclosures in our financial statements to reflect Codification references rather than references to FASB Statements, Staff Positions or Emerging Issues Task Force Abstracts. The adoption of SFAS No. 168 will not have a material impact on our consolidated financial statements.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Due to the nature of our business and strategy, we typically generate significant amounts of cash from operations. The cash generated from operations is primarily paid to our common and preferred shareholders in the form of dividends. As a REIT, we must generally make annual distributions to shareholders of at least 90% of our REIT taxable income.</w:t>
      </w:r>
    </w:p>
    <w:p>
      <w:pPr>
        <w:spacing w:after="0" w:line="140"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Our short-term liquidity requirements consist primarily of obligations under our capital and operating leases, normal recurring operating expenses, regular debt service requirements (including debt service relating to additional or replacement debt, as well as scheduled debt maturities), recurring expenditures, non-recurring expenditures (such as tenant improvements and redevelopments) and dividends to common and preferred shareholders. Our long-term capital requirements consist primarily of maturities under our long-term debt agreements, development and redevelopment costs and potential acquisitions.</w:t>
      </w:r>
    </w:p>
    <w:p>
      <w:pPr>
        <w:spacing w:after="0" w:line="11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intend to operate with and maintain a conservative capital structure that will allow us to maintain strong debt service coverage and fixed-charge coverage ratios as part of our commitment to investment-grade debt ratings. In the short and long term, we may seek to obtain funds through the issuance of additional equity, unsecured and/or secured debt financings, joint venture relationships relating to existing properties or new acquisitions, and property dispositions that are consistent with this conservative structure.</w:t>
      </w:r>
    </w:p>
    <w:p>
      <w:pPr>
        <w:spacing w:after="0" w:line="14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At June 30, 2009, we had approximately $124 million of debt maturing during the remainder of 2009. In an effort to ensure availability and provide additional flexibility with our short term capital needs, we entered into certain financing arrangements in advance of our debt maturing. During the quarter ended June 30, 2009, we refinanced our then existing $200 million term loan with a $372 million term loan and also entered into two separate mortgage financing agreements collateralized by five of our properties for total funds of $163.1 million. We utilized these funds to repay our $200 million term loan, the $135 million outstanding balance on our revolving credit facility, and approximately $40.3 million of our 8.75% senior notes due December 1, 2009. We will utilize the remaining proceeds from the financings to repay our debt maturing during the remainder of 2009 and other capital needs.</w:t>
      </w:r>
    </w:p>
    <w:p>
      <w:pPr>
        <w:spacing w:after="0" w:line="12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Due to the refinancing of our maturing debt several months in advance of the maturity, we will incur additional interest expense due to higher interest rates on such debt and due to a temporary increase in our debt outstanding until we can use the proceeds to retire maturing debt. Notwithstanding adverse market conditions, we currently believe that cash flows from operations, secured and unsecured refinancings, and our revolving credit facility will be sufficient to finance our operations and fund our capital expenditures.</w:t>
      </w:r>
    </w:p>
    <w:p>
      <w:pPr>
        <w:spacing w:after="0" w:line="143" w:lineRule="exact"/>
        <w:rPr>
          <w:sz w:val="20"/>
          <w:szCs w:val="20"/>
          <w:color w:val="auto"/>
        </w:rPr>
      </w:pPr>
    </w:p>
    <w:p>
      <w:pPr>
        <w:ind w:right="340"/>
        <w:spacing w:after="0" w:line="298" w:lineRule="auto"/>
        <w:rPr>
          <w:sz w:val="20"/>
          <w:szCs w:val="20"/>
          <w:color w:val="auto"/>
        </w:rPr>
      </w:pPr>
      <w:r>
        <w:rPr>
          <w:rFonts w:ascii="Arial" w:cs="Arial" w:eastAsia="Arial" w:hAnsi="Arial"/>
          <w:sz w:val="16"/>
          <w:szCs w:val="16"/>
          <w:color w:val="auto"/>
        </w:rPr>
        <w:t>Our overall capital requirements during the remainder of 2009 will depend upon acquisition opportunities, the level of improvements and redevelopments of existing properties and the timing and cost of development of future phases of existing properties. While the amount of future expenditures will depend on numerous factors, we expect to incur similar levels of capital expenditures in 2009 compared to prior periods which will be funded on a short-term basis with cash flow from operations and/or the revolving credit facility, and on a long-term basis, with long term debt or equity.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In addition to the adverse conditions in the capital markets which could affect our ability to access those markets, the following factors could affect our ability to meet our liquidity requirements:</w:t>
      </w:r>
    </w:p>
    <w:p>
      <w:pPr>
        <w:spacing w:after="0" w:line="51" w:lineRule="exact"/>
        <w:rPr>
          <w:sz w:val="20"/>
          <w:szCs w:val="20"/>
          <w:color w:val="auto"/>
        </w:rPr>
      </w:pPr>
    </w:p>
    <w:p>
      <w:pPr>
        <w:ind w:left="900" w:right="32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restrictions in our debt instruments or preferred stock may limit us from incurring debt or issuing equity at all, or on acceptable terms under then-prevailing market conditions;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may be unable to service additional or replacement debt due to increases in interest rates or a decline in our operating performance.</w:t>
      </w:r>
    </w:p>
    <w:p>
      <w:pPr>
        <w:spacing w:after="0" w:line="194"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Cash and cash equivalents were $170.1 million at June 30, 2009, which is a $154.8 million increase from the balance of cash and cash equivalents at December 31, 2008. The significant increase is due to the refinancings discussed above. We also have a $300.0 million unsecured revolving credit facility that matures July 27, 2010, subject to a one-year extension at our option, of which we had no outstanding balance at June 30, 2009. During the three and six months ended June 30, 2009, the maximum amount of borrowings outstanding under our revolving credit facility was $156.0 million and $172.5 million, respectively, and the weighted average amount of borrowings outstanding was $51.1 million and $96.1 million, respectively. We expect to utilize our revolving credit facility to fund short-term operating needs, including capital expenditures and acquisitions.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Debt Obligations – Fixed Rate Debt</w:t>
      </w:r>
    </w:p>
    <w:p>
      <w:pPr>
        <w:spacing w:after="0" w:line="90" w:lineRule="exact"/>
        <w:rPr>
          <w:sz w:val="20"/>
          <w:szCs w:val="20"/>
          <w:color w:val="auto"/>
        </w:rPr>
      </w:pPr>
    </w:p>
    <w:p>
      <w:pPr>
        <w:jc w:val="both"/>
        <w:ind w:right="300"/>
        <w:spacing w:after="0" w:line="332" w:lineRule="auto"/>
        <w:rPr>
          <w:sz w:val="20"/>
          <w:szCs w:val="20"/>
          <w:color w:val="auto"/>
        </w:rPr>
      </w:pPr>
      <w:r>
        <w:rPr>
          <w:rFonts w:ascii="Arial" w:cs="Arial" w:eastAsia="Arial" w:hAnsi="Arial"/>
          <w:sz w:val="16"/>
          <w:szCs w:val="16"/>
          <w:color w:val="auto"/>
        </w:rPr>
        <w:t>The following table provides a summary of our fixed rate debt obligations, including both principal and interest payments, as of June 30, 2009. The table only incorporates debt obligations as of June 30, 2009, and therefore, the table provides limited predictive value for future principal and interest payments.</w:t>
      </w:r>
    </w:p>
    <w:p>
      <w:pPr>
        <w:spacing w:after="0" w:line="121" w:lineRule="exact"/>
        <w:rPr>
          <w:sz w:val="20"/>
          <w:szCs w:val="20"/>
          <w:color w:val="auto"/>
        </w:rPr>
      </w:pPr>
    </w:p>
    <w:p>
      <w:pPr>
        <w:ind w:left="7380"/>
        <w:spacing w:after="0"/>
        <w:rPr>
          <w:sz w:val="20"/>
          <w:szCs w:val="20"/>
          <w:color w:val="auto"/>
        </w:rPr>
      </w:pPr>
      <w:r>
        <w:rPr>
          <w:rFonts w:ascii="Arial" w:cs="Arial" w:eastAsia="Arial" w:hAnsi="Arial"/>
          <w:sz w:val="14"/>
          <w:szCs w:val="14"/>
          <w:b w:val="1"/>
          <w:bCs w:val="1"/>
          <w:color w:val="auto"/>
        </w:rPr>
        <w:t>Fixed Rate Debt - Principal and Interest Payments by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4344670</wp:posOffset>
            </wp:positionH>
            <wp:positionV relativeFrom="paragraph">
              <wp:posOffset>0</wp:posOffset>
            </wp:positionV>
            <wp:extent cx="290703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jc w:val="center"/>
        <w:ind w:left="6980"/>
        <w:spacing w:after="0"/>
        <w:tabs>
          <w:tab w:leader="none" w:pos="660" w:val="left"/>
          <w:tab w:leader="none" w:pos="460" w:val="left"/>
          <w:tab w:leader="none" w:pos="300" w:val="left"/>
          <w:tab w:leader="none" w:pos="360" w:val="left"/>
        </w:tabs>
        <w:rPr>
          <w:sz w:val="20"/>
          <w:szCs w:val="20"/>
          <w:color w:val="auto"/>
        </w:rPr>
      </w:pPr>
      <w:r>
        <w:rPr>
          <w:rFonts w:ascii="Arial" w:cs="Arial" w:eastAsia="Arial" w:hAnsi="Arial"/>
          <w:sz w:val="14"/>
          <w:szCs w:val="14"/>
          <w:b w:val="1"/>
          <w:bCs w:val="1"/>
          <w:color w:val="auto"/>
        </w:rPr>
        <w:t>Total</w:t>
      </w:r>
      <w:r>
        <w:rPr>
          <w:sz w:val="20"/>
          <w:szCs w:val="20"/>
          <w:color w:val="auto"/>
        </w:rPr>
        <w:tab/>
      </w:r>
      <w:r>
        <w:rPr>
          <w:rFonts w:ascii="Arial" w:cs="Arial" w:eastAsia="Arial" w:hAnsi="Arial"/>
          <w:sz w:val="14"/>
          <w:szCs w:val="14"/>
          <w:b w:val="1"/>
          <w:bCs w:val="1"/>
          <w:color w:val="auto"/>
        </w:rPr>
        <w:t>2009</w:t>
      </w:r>
      <w:r>
        <w:rPr>
          <w:sz w:val="20"/>
          <w:szCs w:val="20"/>
          <w:color w:val="auto"/>
        </w:rPr>
        <w:tab/>
      </w:r>
      <w:r>
        <w:rPr>
          <w:rFonts w:ascii="Arial" w:cs="Arial" w:eastAsia="Arial" w:hAnsi="Arial"/>
          <w:sz w:val="14"/>
          <w:szCs w:val="14"/>
          <w:b w:val="1"/>
          <w:bCs w:val="1"/>
          <w:color w:val="auto"/>
        </w:rPr>
        <w:t>2010-2011</w:t>
      </w:r>
      <w:r>
        <w:rPr>
          <w:sz w:val="20"/>
          <w:szCs w:val="20"/>
          <w:color w:val="auto"/>
        </w:rPr>
        <w:tab/>
      </w:r>
      <w:r>
        <w:rPr>
          <w:rFonts w:ascii="Arial" w:cs="Arial" w:eastAsia="Arial" w:hAnsi="Arial"/>
          <w:sz w:val="14"/>
          <w:szCs w:val="14"/>
          <w:b w:val="1"/>
          <w:bCs w:val="1"/>
          <w:color w:val="auto"/>
        </w:rPr>
        <w:t>2012-2013</w:t>
      </w:r>
      <w:r>
        <w:rPr>
          <w:sz w:val="20"/>
          <w:szCs w:val="20"/>
          <w:color w:val="auto"/>
        </w:rPr>
        <w:tab/>
      </w:r>
      <w:r>
        <w:rPr>
          <w:rFonts w:ascii="Arial" w:cs="Arial" w:eastAsia="Arial" w:hAnsi="Arial"/>
          <w:sz w:val="12"/>
          <w:szCs w:val="12"/>
          <w:b w:val="1"/>
          <w:bCs w:val="1"/>
          <w:color w:val="auto"/>
        </w:rPr>
        <w:t>After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4344670</wp:posOffset>
            </wp:positionH>
            <wp:positionV relativeFrom="paragraph">
              <wp:posOffset>-6985</wp:posOffset>
            </wp:positionV>
            <wp:extent cx="290703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jc w:val="center"/>
        <w:ind w:left="6840"/>
        <w:spacing w:after="0" w:line="223" w:lineRule="auto"/>
        <w:rPr>
          <w:sz w:val="20"/>
          <w:szCs w:val="20"/>
          <w:color w:val="auto"/>
        </w:rPr>
      </w:pPr>
      <w:r>
        <w:rPr>
          <w:rFonts w:ascii="Arial" w:cs="Arial" w:eastAsia="Arial" w:hAnsi="Arial"/>
          <w:sz w:val="14"/>
          <w:szCs w:val="14"/>
          <w:b w:val="1"/>
          <w:bCs w:val="1"/>
          <w:color w:val="auto"/>
        </w:rPr>
        <w:t>(In thousands)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Fixed rate debt</w:t>
            </w:r>
          </w:p>
        </w:tc>
        <w:tc>
          <w:tcPr>
            <w:tcW w:w="3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$ 1,964,979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$ 175,377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$ 295,307</w:t>
            </w: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2"/>
              </w:rPr>
              <w:t>$ 536,096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958,199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Capital lease obligations</w:t>
            </w:r>
          </w:p>
        </w:tc>
        <w:tc>
          <w:tcPr>
            <w:tcW w:w="2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179,219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2,798</w:t>
            </w:r>
          </w:p>
        </w:tc>
        <w:tc>
          <w:tcPr>
            <w:tcW w:w="2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11,180</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11,201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154,040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Total fixed rate debt obligations</w:t>
            </w:r>
          </w:p>
        </w:tc>
        <w:tc>
          <w:tcPr>
            <w:tcW w:w="2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2,144,198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$ 178,175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$ 306,487</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2"/>
              </w:rPr>
              <w:t>$ 547,297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1,112,239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Debt Obligations – Variable Rate Debt</w:t>
      </w:r>
    </w:p>
    <w:p>
      <w:pPr>
        <w:spacing w:after="0" w:line="90"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At June 30, 2009, variable rate debt includes our $372 million term loan which bears interest at LIBOR, subject to a 1.50% floor, plus 300 basis points, a $9.4 million bond which has an interest rate of 0.481% at June 30, 2009, and no outstanding balance on our revolving credit facility which bears interest at LIBOR plus 0.425%.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Cash Flows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84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91"/>
              </w:rPr>
              <w:t>Six Months Ended June30,</w:t>
            </w: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1060" w:type="dxa"/>
            <w:vAlign w:val="bottom"/>
            <w:gridSpan w:val="4"/>
          </w:tcPr>
          <w:p>
            <w:pPr>
              <w:jc w:val="right"/>
              <w:ind w:right="375"/>
              <w:spacing w:after="0" w:line="142" w:lineRule="exact"/>
              <w:rPr>
                <w:sz w:val="20"/>
                <w:szCs w:val="20"/>
                <w:color w:val="auto"/>
              </w:rPr>
            </w:pPr>
            <w:r>
              <w:rPr>
                <w:rFonts w:ascii="Arial" w:cs="Arial" w:eastAsia="Arial" w:hAnsi="Arial"/>
                <w:sz w:val="14"/>
                <w:szCs w:val="14"/>
                <w:b w:val="1"/>
                <w:bCs w:val="1"/>
                <w:color w:val="auto"/>
                <w:w w:val="76"/>
              </w:rPr>
              <w:t>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594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$146,209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122,983</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5940" w:type="dxa"/>
            <w:vAlign w:val="bottom"/>
            <w:gridSpan w:val="3"/>
          </w:tcPr>
          <w:p>
            <w:pPr>
              <w:jc w:val="right"/>
              <w:ind w:right="52"/>
              <w:spacing w:after="0"/>
              <w:rPr>
                <w:sz w:val="20"/>
                <w:szCs w:val="20"/>
                <w:color w:val="auto"/>
              </w:rPr>
            </w:pPr>
            <w:r>
              <w:rPr>
                <w:rFonts w:ascii="Arial" w:cs="Arial" w:eastAsia="Arial" w:hAnsi="Arial"/>
                <w:sz w:val="18"/>
                <w:szCs w:val="18"/>
                <w:color w:val="auto"/>
              </w:rPr>
              <w:t>(54,988)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(109,657)</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(used in) financing activities</w:t>
            </w:r>
          </w:p>
        </w:tc>
        <w:tc>
          <w:tcPr>
            <w:tcW w:w="50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63,615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(43,736)</w:t>
            </w: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18"/>
                <w:szCs w:val="18"/>
                <w:color w:val="auto"/>
              </w:rPr>
              <w:t>Increase (decrease) in cash and cash equivalents</w:t>
            </w:r>
          </w:p>
        </w:tc>
        <w:tc>
          <w:tcPr>
            <w:tcW w:w="50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500" w:type="dxa"/>
            <w:vAlign w:val="bottom"/>
            <w:vMerge w:val="continue"/>
          </w:tcPr>
          <w:p>
            <w:pPr>
              <w:spacing w:after="0"/>
              <w:rPr>
                <w:sz w:val="19"/>
                <w:szCs w:val="19"/>
                <w:color w:val="auto"/>
              </w:rPr>
            </w:pPr>
          </w:p>
        </w:tc>
        <w:tc>
          <w:tcPr>
            <w:tcW w:w="5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154,836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(30,410)</w:t>
            </w:r>
          </w:p>
        </w:tc>
        <w:tc>
          <w:tcPr>
            <w:tcW w:w="0" w:type="dxa"/>
            <w:vAlign w:val="bottom"/>
          </w:tcPr>
          <w:p>
            <w:pPr>
              <w:spacing w:after="0"/>
              <w:rPr>
                <w:sz w:val="1"/>
                <w:szCs w:val="1"/>
                <w:color w:val="auto"/>
              </w:rPr>
            </w:pPr>
          </w:p>
        </w:tc>
      </w:tr>
      <w:tr>
        <w:trPr>
          <w:trHeight w:val="218"/>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50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15,223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50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5940" w:type="dxa"/>
            <w:vAlign w:val="bottom"/>
            <w:gridSpan w:val="3"/>
          </w:tcPr>
          <w:p>
            <w:pPr>
              <w:jc w:val="right"/>
              <w:ind w:right="11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170,059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20,281</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5080" w:type="dxa"/>
            <w:vAlign w:val="bottom"/>
            <w:vMerge w:val="restart"/>
          </w:tcPr>
          <w:p>
            <w:pPr>
              <w:jc w:val="right"/>
              <w:ind w:right="3692"/>
              <w:spacing w:after="0"/>
              <w:rPr>
                <w:sz w:val="20"/>
                <w:szCs w:val="20"/>
                <w:color w:val="auto"/>
              </w:rPr>
            </w:pPr>
            <w:r>
              <w:rPr>
                <w:rFonts w:ascii="Arial" w:cs="Arial" w:eastAsia="Arial" w:hAnsi="Arial"/>
                <w:sz w:val="18"/>
                <w:szCs w:val="18"/>
                <w:color w:val="auto"/>
              </w:rPr>
              <w:t>27</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500" w:type="dxa"/>
            <w:vAlign w:val="bottom"/>
          </w:tcPr>
          <w:p>
            <w:pPr>
              <w:spacing w:after="0"/>
              <w:rPr>
                <w:sz w:val="24"/>
                <w:szCs w:val="24"/>
                <w:color w:val="auto"/>
              </w:rPr>
            </w:pPr>
          </w:p>
        </w:tc>
        <w:tc>
          <w:tcPr>
            <w:tcW w:w="508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Net cash provided by operating activities increased $23.2 million to $146.2 million during the six months ended June 30, 2009 from $123.0 million during the six months ended June 30, 2008. The increase was primarily attributable to a $16.2 million increase in cash provided by operating activities due primarily to higher accounts payable and accrued expenses balances and lower accounts receivable balances as well as $5.6 million higher net income before depreciation and amortization and litigation provision.</w:t>
      </w:r>
    </w:p>
    <w:p>
      <w:pPr>
        <w:spacing w:after="0" w:line="14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Net cash used in investing activities decreased $54.7 million to $55.0 million during the six months ended June 30, 2009 from $109.7 million during the six months ended June 30, 2008. The decrease was primarily attributable to a $42.6 million decrease in acquisitions of real estate as no acquisitions have occurred in 2009 and $10.1 million in lower capital expenditures.</w:t>
      </w:r>
    </w:p>
    <w:p>
      <w:pPr>
        <w:spacing w:after="0" w:line="140"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Net cash used in financing activities decreased $107.4 million to $63.6 million provided during the six months ended June 30, 2009 from $43.7 million used during the six months ended June 30, 2008. The decrease was primarily attributable to:</w:t>
      </w:r>
    </w:p>
    <w:p>
      <w:pPr>
        <w:spacing w:after="0" w:line="51" w:lineRule="exact"/>
        <w:rPr>
          <w:sz w:val="20"/>
          <w:szCs w:val="20"/>
          <w:color w:val="auto"/>
        </w:rPr>
      </w:pPr>
    </w:p>
    <w:p>
      <w:pPr>
        <w:ind w:left="900" w:right="16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$526.6 million increase in net proceeds from the issuance of mortgages, capital leases and notes payable due substantially to the proceeds from our new $372 million term loan and $163.1 million in new mortgage loans,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90" w:lineRule="exact"/>
        <w:rPr>
          <w:sz w:val="20"/>
          <w:szCs w:val="20"/>
          <w:color w:val="auto"/>
        </w:rPr>
      </w:pPr>
    </w:p>
    <w:p>
      <w:pPr>
        <w:ind w:left="900" w:right="10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$205.9 million increase in repayment of mortgages, capital leases and notes payable due substantially to the payoff of our $200 million term loan in May 2009 and the payoff of a loan secured by a portion of Mercer Mall in January 2009,</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$152.5 million increase in net repayments on our revolving credit facility,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$52.3 million purchase and retirement of a portion of our 8.75% senior notes which are due in December 2009,</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$5.1 million increase in dividends paid to shareholders due to an increase in the dividend rate and increased number of shares outstanding,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$2.8 million decrease in the number of new common shares issued during the quarter.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9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have a joint venture arrangement (“the Partnership”) with affiliates of a discretionary fund created and advised by ING Clarion Partners (“Clarion”). We own 30% of the equity in the Partnership and Clarion owns 70%. We hold a general partnership interest, however, Clarion has substantive participating rights and we cannot make significant decisions without Clarion’s approval. Accordingly, we account for our interest in the Partnership using the equity method. As of June 30, 2009, the Partnership owned seven retail real estate properties. We are the manager of the Partnership and its properties, earning fees for acquisitions, management, leasing and financing. We also have the opportunity to receive performance-based earnings through our Partnership interest. At June 30, 2009, the Partnership had approximately $81.3 million of mortgages payable outstanding; our investment in the Partnership was $28.8 million.</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Financing Arrangements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total debt outstanding as of June 30, 2009:</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Original</w:t>
            </w: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Principal Balance</w:t>
            </w:r>
          </w:p>
        </w:tc>
        <w:tc>
          <w:tcPr>
            <w:tcW w:w="17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6"/>
              </w:rPr>
              <w:t>Stated Interest Rate</w:t>
            </w: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Debt</w:t>
            </w:r>
          </w:p>
        </w:tc>
        <w:tc>
          <w:tcPr>
            <w:tcW w:w="120" w:type="dxa"/>
            <w:vAlign w:val="bottom"/>
          </w:tcPr>
          <w:p>
            <w:pPr>
              <w:spacing w:after="0"/>
              <w:rPr>
                <w:sz w:val="12"/>
                <w:szCs w:val="12"/>
                <w:color w:val="auto"/>
              </w:rPr>
            </w:pPr>
          </w:p>
        </w:tc>
        <w:tc>
          <w:tcPr>
            <w:tcW w:w="1340" w:type="dxa"/>
            <w:vAlign w:val="bottom"/>
            <w:gridSpan w:val="2"/>
          </w:tcPr>
          <w:p>
            <w:pPr>
              <w:jc w:val="right"/>
              <w:ind w:right="800"/>
              <w:spacing w:after="0" w:line="149" w:lineRule="exact"/>
              <w:rPr>
                <w:sz w:val="20"/>
                <w:szCs w:val="20"/>
                <w:color w:val="auto"/>
              </w:rPr>
            </w:pPr>
            <w:r>
              <w:rPr>
                <w:rFonts w:ascii="Arial" w:cs="Arial" w:eastAsia="Arial" w:hAnsi="Arial"/>
                <w:sz w:val="14"/>
                <w:szCs w:val="14"/>
                <w:b w:val="1"/>
                <w:bCs w:val="1"/>
                <w:color w:val="auto"/>
              </w:rPr>
              <w:t>as of</w:t>
            </w:r>
          </w:p>
        </w:tc>
        <w:tc>
          <w:tcPr>
            <w:tcW w:w="17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79"/>
              </w:rPr>
              <w:t>as of</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760" w:type="dxa"/>
            <w:vAlign w:val="bottom"/>
            <w:gridSpan w:val="3"/>
          </w:tcPr>
          <w:p>
            <w:pPr>
              <w:spacing w:after="0"/>
              <w:rPr>
                <w:sz w:val="20"/>
                <w:szCs w:val="20"/>
                <w:color w:val="auto"/>
              </w:rPr>
            </w:pPr>
            <w:r>
              <w:rPr>
                <w:rFonts w:ascii="Arial" w:cs="Arial" w:eastAsia="Arial" w:hAnsi="Arial"/>
                <w:sz w:val="14"/>
                <w:szCs w:val="14"/>
                <w:b w:val="1"/>
                <w:bCs w:val="1"/>
                <w:color w:val="auto"/>
              </w:rPr>
              <w:t>Description of Debt</w:t>
            </w: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Issued</w:t>
            </w:r>
          </w:p>
        </w:tc>
        <w:tc>
          <w:tcPr>
            <w:tcW w:w="120" w:type="dxa"/>
            <w:vAlign w:val="bottom"/>
          </w:tcPr>
          <w:p>
            <w:pPr>
              <w:spacing w:after="0"/>
              <w:rPr>
                <w:sz w:val="14"/>
                <w:szCs w:val="14"/>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5"/>
              </w:rPr>
              <w:t>June 30, 2009</w:t>
            </w:r>
          </w:p>
        </w:tc>
        <w:tc>
          <w:tcPr>
            <w:tcW w:w="17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5"/>
              </w:rPr>
              <w:t>June 30, 2009</w:t>
            </w:r>
          </w:p>
        </w:tc>
        <w:tc>
          <w:tcPr>
            <w:tcW w:w="1520" w:type="dxa"/>
            <w:vAlign w:val="bottom"/>
          </w:tcPr>
          <w:p>
            <w:pPr>
              <w:jc w:val="right"/>
              <w:ind w:right="253"/>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right w:val="single" w:sz="8" w:color="auto"/>
            </w:tcBorders>
            <w:shd w:val="clear" w:color="auto" w:fill="000000"/>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2440" w:type="dxa"/>
            <w:vAlign w:val="bottom"/>
            <w:gridSpan w:val="5"/>
          </w:tcPr>
          <w:p>
            <w:pPr>
              <w:jc w:val="right"/>
              <w:ind w:right="80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Mortgage loans (1)</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ind w:left="420"/>
              <w:spacing w:after="0"/>
              <w:rPr>
                <w:sz w:val="20"/>
                <w:szCs w:val="20"/>
                <w:color w:val="auto"/>
              </w:rPr>
            </w:pPr>
            <w:r>
              <w:rPr>
                <w:rFonts w:ascii="Arial" w:cs="Arial" w:eastAsia="Arial" w:hAnsi="Arial"/>
                <w:sz w:val="18"/>
                <w:szCs w:val="18"/>
                <w:i w:val="1"/>
                <w:iCs w:val="1"/>
                <w:color w:val="auto"/>
              </w:rPr>
              <w:t>Secured fixed rate</w:t>
            </w: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Federal Plaza</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36,500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32,828</w:t>
            </w:r>
          </w:p>
        </w:tc>
        <w:tc>
          <w:tcPr>
            <w:tcW w:w="1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6.750%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June 1,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ind w:left="860"/>
              <w:spacing w:after="0"/>
              <w:rPr>
                <w:sz w:val="20"/>
                <w:szCs w:val="20"/>
                <w:color w:val="auto"/>
              </w:rPr>
            </w:pPr>
            <w:r>
              <w:rPr>
                <w:rFonts w:ascii="Arial" w:cs="Arial" w:eastAsia="Arial" w:hAnsi="Arial"/>
                <w:sz w:val="18"/>
                <w:szCs w:val="18"/>
                <w:color w:val="auto"/>
              </w:rPr>
              <w:t>Tysons Station</w:t>
            </w:r>
          </w:p>
        </w:tc>
        <w:tc>
          <w:tcPr>
            <w:tcW w:w="660" w:type="dxa"/>
            <w:vAlign w:val="bottom"/>
          </w:tcPr>
          <w:p>
            <w:pPr>
              <w:jc w:val="right"/>
              <w:spacing w:after="0"/>
              <w:rPr>
                <w:sz w:val="20"/>
                <w:szCs w:val="20"/>
                <w:color w:val="auto"/>
              </w:rPr>
            </w:pPr>
            <w:r>
              <w:rPr>
                <w:rFonts w:ascii="Arial" w:cs="Arial" w:eastAsia="Arial" w:hAnsi="Arial"/>
                <w:sz w:val="18"/>
                <w:szCs w:val="18"/>
                <w:color w:val="auto"/>
              </w:rPr>
              <w:t>7,000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5,986</w:t>
            </w:r>
          </w:p>
        </w:tc>
        <w:tc>
          <w:tcPr>
            <w:tcW w:w="1700" w:type="dxa"/>
            <w:vAlign w:val="bottom"/>
            <w:gridSpan w:val="2"/>
          </w:tcPr>
          <w:p>
            <w:pPr>
              <w:jc w:val="right"/>
              <w:ind w:right="380"/>
              <w:spacing w:after="0"/>
              <w:rPr>
                <w:sz w:val="20"/>
                <w:szCs w:val="20"/>
                <w:color w:val="auto"/>
              </w:rPr>
            </w:pPr>
            <w:r>
              <w:rPr>
                <w:rFonts w:ascii="Arial" w:cs="Arial" w:eastAsia="Arial" w:hAnsi="Arial"/>
                <w:sz w:val="18"/>
                <w:szCs w:val="18"/>
                <w:color w:val="auto"/>
              </w:rPr>
              <w:t>7.400%</w:t>
            </w:r>
          </w:p>
        </w:tc>
        <w:tc>
          <w:tcPr>
            <w:tcW w:w="1520" w:type="dxa"/>
            <w:vAlign w:val="bottom"/>
          </w:tcPr>
          <w:p>
            <w:pPr>
              <w:jc w:val="right"/>
              <w:spacing w:after="0"/>
              <w:rPr>
                <w:sz w:val="20"/>
                <w:szCs w:val="20"/>
                <w:color w:val="auto"/>
              </w:rPr>
            </w:pPr>
            <w:r>
              <w:rPr>
                <w:rFonts w:ascii="Arial" w:cs="Arial" w:eastAsia="Arial" w:hAnsi="Arial"/>
                <w:sz w:val="18"/>
                <w:szCs w:val="18"/>
                <w:color w:val="auto"/>
                <w:w w:val="97"/>
              </w:rPr>
              <w:t>September 1,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Courtyard Shops</w:t>
            </w:r>
          </w:p>
        </w:tc>
        <w:tc>
          <w:tcPr>
            <w:tcW w:w="98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0"/>
              </w:rPr>
              <w:t>Acquired</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7,626</w:t>
            </w:r>
          </w:p>
        </w:tc>
        <w:tc>
          <w:tcPr>
            <w:tcW w:w="1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6.870%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July 1, 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ind w:left="860"/>
              <w:spacing w:after="0"/>
              <w:rPr>
                <w:sz w:val="20"/>
                <w:szCs w:val="20"/>
                <w:color w:val="auto"/>
              </w:rPr>
            </w:pPr>
            <w:r>
              <w:rPr>
                <w:rFonts w:ascii="Arial" w:cs="Arial" w:eastAsia="Arial" w:hAnsi="Arial"/>
                <w:sz w:val="18"/>
                <w:szCs w:val="18"/>
                <w:color w:val="auto"/>
              </w:rPr>
              <w:t>Bethesda Row</w:t>
            </w:r>
          </w:p>
        </w:tc>
        <w:tc>
          <w:tcPr>
            <w:tcW w:w="98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Acquired</w:t>
            </w:r>
          </w:p>
        </w:tc>
        <w:tc>
          <w:tcPr>
            <w:tcW w:w="12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19,996</w:t>
            </w:r>
          </w:p>
        </w:tc>
        <w:tc>
          <w:tcPr>
            <w:tcW w:w="1700" w:type="dxa"/>
            <w:vAlign w:val="bottom"/>
            <w:gridSpan w:val="2"/>
          </w:tcPr>
          <w:p>
            <w:pPr>
              <w:jc w:val="right"/>
              <w:ind w:right="380"/>
              <w:spacing w:after="0"/>
              <w:rPr>
                <w:sz w:val="20"/>
                <w:szCs w:val="20"/>
                <w:color w:val="auto"/>
              </w:rPr>
            </w:pPr>
            <w:r>
              <w:rPr>
                <w:rFonts w:ascii="Arial" w:cs="Arial" w:eastAsia="Arial" w:hAnsi="Arial"/>
                <w:sz w:val="18"/>
                <w:szCs w:val="18"/>
                <w:color w:val="auto"/>
              </w:rPr>
              <w:t>5.370%</w:t>
            </w:r>
          </w:p>
        </w:tc>
        <w:tc>
          <w:tcPr>
            <w:tcW w:w="1520" w:type="dxa"/>
            <w:vAlign w:val="bottom"/>
          </w:tcPr>
          <w:p>
            <w:pPr>
              <w:jc w:val="right"/>
              <w:spacing w:after="0"/>
              <w:rPr>
                <w:sz w:val="20"/>
                <w:szCs w:val="20"/>
                <w:color w:val="auto"/>
              </w:rPr>
            </w:pPr>
            <w:r>
              <w:rPr>
                <w:rFonts w:ascii="Arial" w:cs="Arial" w:eastAsia="Arial" w:hAnsi="Arial"/>
                <w:sz w:val="18"/>
                <w:szCs w:val="18"/>
                <w:color w:val="auto"/>
              </w:rPr>
              <w:t>January 1,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Bethesda Row</w:t>
            </w:r>
          </w:p>
        </w:tc>
        <w:tc>
          <w:tcPr>
            <w:tcW w:w="98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0"/>
              </w:rPr>
              <w:t>Acquired</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4,371</w:t>
            </w:r>
          </w:p>
        </w:tc>
        <w:tc>
          <w:tcPr>
            <w:tcW w:w="1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5.050%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February 1,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ind w:left="860"/>
              <w:spacing w:after="0"/>
              <w:rPr>
                <w:sz w:val="20"/>
                <w:szCs w:val="20"/>
                <w:color w:val="auto"/>
              </w:rPr>
            </w:pPr>
            <w:r>
              <w:rPr>
                <w:rFonts w:ascii="Arial" w:cs="Arial" w:eastAsia="Arial" w:hAnsi="Arial"/>
                <w:sz w:val="18"/>
                <w:szCs w:val="18"/>
                <w:color w:val="auto"/>
              </w:rPr>
              <w:t>White Marsh Plaza (2)</w:t>
            </w:r>
          </w:p>
        </w:tc>
        <w:tc>
          <w:tcPr>
            <w:tcW w:w="98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Acquired</w:t>
            </w:r>
          </w:p>
        </w:tc>
        <w:tc>
          <w:tcPr>
            <w:tcW w:w="12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9,993</w:t>
            </w:r>
          </w:p>
        </w:tc>
        <w:tc>
          <w:tcPr>
            <w:tcW w:w="1700" w:type="dxa"/>
            <w:vAlign w:val="bottom"/>
            <w:gridSpan w:val="2"/>
          </w:tcPr>
          <w:p>
            <w:pPr>
              <w:jc w:val="right"/>
              <w:ind w:right="380"/>
              <w:spacing w:after="0"/>
              <w:rPr>
                <w:sz w:val="20"/>
                <w:szCs w:val="20"/>
                <w:color w:val="auto"/>
              </w:rPr>
            </w:pPr>
            <w:r>
              <w:rPr>
                <w:rFonts w:ascii="Arial" w:cs="Arial" w:eastAsia="Arial" w:hAnsi="Arial"/>
                <w:sz w:val="18"/>
                <w:szCs w:val="18"/>
                <w:color w:val="auto"/>
              </w:rPr>
              <w:t>6.040%</w:t>
            </w:r>
          </w:p>
        </w:tc>
        <w:tc>
          <w:tcPr>
            <w:tcW w:w="1520" w:type="dxa"/>
            <w:vAlign w:val="bottom"/>
          </w:tcPr>
          <w:p>
            <w:pPr>
              <w:jc w:val="right"/>
              <w:spacing w:after="0"/>
              <w:rPr>
                <w:sz w:val="20"/>
                <w:szCs w:val="20"/>
                <w:color w:val="auto"/>
              </w:rPr>
            </w:pPr>
            <w:r>
              <w:rPr>
                <w:rFonts w:ascii="Arial" w:cs="Arial" w:eastAsia="Arial" w:hAnsi="Arial"/>
                <w:sz w:val="18"/>
                <w:szCs w:val="18"/>
                <w:color w:val="auto"/>
              </w:rPr>
              <w:t>April 1,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Crow Canyon</w:t>
            </w:r>
          </w:p>
        </w:tc>
        <w:tc>
          <w:tcPr>
            <w:tcW w:w="98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0"/>
              </w:rPr>
              <w:t>Acquired</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21,016</w:t>
            </w:r>
          </w:p>
        </w:tc>
        <w:tc>
          <w:tcPr>
            <w:tcW w:w="1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5.400%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August 11,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ind w:left="860"/>
              <w:spacing w:after="0"/>
              <w:rPr>
                <w:sz w:val="20"/>
                <w:szCs w:val="20"/>
                <w:color w:val="auto"/>
              </w:rPr>
            </w:pPr>
            <w:r>
              <w:rPr>
                <w:rFonts w:ascii="Arial" w:cs="Arial" w:eastAsia="Arial" w:hAnsi="Arial"/>
                <w:sz w:val="18"/>
                <w:szCs w:val="18"/>
                <w:color w:val="auto"/>
              </w:rPr>
              <w:t>Idylwood Plaza</w:t>
            </w:r>
          </w:p>
        </w:tc>
        <w:tc>
          <w:tcPr>
            <w:tcW w:w="660" w:type="dxa"/>
            <w:vAlign w:val="bottom"/>
          </w:tcPr>
          <w:p>
            <w:pPr>
              <w:jc w:val="right"/>
              <w:spacing w:after="0"/>
              <w:rPr>
                <w:sz w:val="20"/>
                <w:szCs w:val="20"/>
                <w:color w:val="auto"/>
              </w:rPr>
            </w:pPr>
            <w:r>
              <w:rPr>
                <w:rFonts w:ascii="Arial" w:cs="Arial" w:eastAsia="Arial" w:hAnsi="Arial"/>
                <w:sz w:val="18"/>
                <w:szCs w:val="18"/>
                <w:color w:val="auto"/>
              </w:rPr>
              <w:t>16,910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16,910</w:t>
            </w:r>
          </w:p>
        </w:tc>
        <w:tc>
          <w:tcPr>
            <w:tcW w:w="1700" w:type="dxa"/>
            <w:vAlign w:val="bottom"/>
            <w:gridSpan w:val="2"/>
          </w:tcPr>
          <w:p>
            <w:pPr>
              <w:jc w:val="right"/>
              <w:ind w:right="380"/>
              <w:spacing w:after="0"/>
              <w:rPr>
                <w:sz w:val="20"/>
                <w:szCs w:val="20"/>
                <w:color w:val="auto"/>
              </w:rPr>
            </w:pPr>
            <w:r>
              <w:rPr>
                <w:rFonts w:ascii="Arial" w:cs="Arial" w:eastAsia="Arial" w:hAnsi="Arial"/>
                <w:sz w:val="18"/>
                <w:szCs w:val="18"/>
                <w:color w:val="auto"/>
              </w:rPr>
              <w:t>7.500%</w:t>
            </w:r>
          </w:p>
        </w:tc>
        <w:tc>
          <w:tcPr>
            <w:tcW w:w="1520" w:type="dxa"/>
            <w:vAlign w:val="bottom"/>
          </w:tcPr>
          <w:p>
            <w:pPr>
              <w:jc w:val="right"/>
              <w:spacing w:after="0"/>
              <w:rPr>
                <w:sz w:val="20"/>
                <w:szCs w:val="20"/>
                <w:color w:val="auto"/>
              </w:rPr>
            </w:pPr>
            <w:r>
              <w:rPr>
                <w:rFonts w:ascii="Arial" w:cs="Arial" w:eastAsia="Arial" w:hAnsi="Arial"/>
                <w:sz w:val="18"/>
                <w:szCs w:val="18"/>
                <w:color w:val="auto"/>
              </w:rPr>
              <w:t>June 5, 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Leesburg Plaza</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29,423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29,423</w:t>
            </w:r>
          </w:p>
        </w:tc>
        <w:tc>
          <w:tcPr>
            <w:tcW w:w="1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7.500%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June 5, 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ind w:left="860"/>
              <w:spacing w:after="0"/>
              <w:rPr>
                <w:sz w:val="20"/>
                <w:szCs w:val="20"/>
                <w:color w:val="auto"/>
              </w:rPr>
            </w:pPr>
            <w:r>
              <w:rPr>
                <w:rFonts w:ascii="Arial" w:cs="Arial" w:eastAsia="Arial" w:hAnsi="Arial"/>
                <w:sz w:val="18"/>
                <w:szCs w:val="18"/>
                <w:color w:val="auto"/>
              </w:rPr>
              <w:t>Loehmann’s Plaza</w:t>
            </w:r>
          </w:p>
        </w:tc>
        <w:tc>
          <w:tcPr>
            <w:tcW w:w="660" w:type="dxa"/>
            <w:vAlign w:val="bottom"/>
          </w:tcPr>
          <w:p>
            <w:pPr>
              <w:jc w:val="right"/>
              <w:spacing w:after="0"/>
              <w:rPr>
                <w:sz w:val="20"/>
                <w:szCs w:val="20"/>
                <w:color w:val="auto"/>
              </w:rPr>
            </w:pPr>
            <w:r>
              <w:rPr>
                <w:rFonts w:ascii="Arial" w:cs="Arial" w:eastAsia="Arial" w:hAnsi="Arial"/>
                <w:sz w:val="18"/>
                <w:szCs w:val="18"/>
                <w:color w:val="auto"/>
              </w:rPr>
              <w:t>38,047</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38,047</w:t>
            </w:r>
          </w:p>
        </w:tc>
        <w:tc>
          <w:tcPr>
            <w:tcW w:w="1700" w:type="dxa"/>
            <w:vAlign w:val="bottom"/>
            <w:gridSpan w:val="2"/>
          </w:tcPr>
          <w:p>
            <w:pPr>
              <w:jc w:val="right"/>
              <w:ind w:right="380"/>
              <w:spacing w:after="0"/>
              <w:rPr>
                <w:sz w:val="20"/>
                <w:szCs w:val="20"/>
                <w:color w:val="auto"/>
              </w:rPr>
            </w:pPr>
            <w:r>
              <w:rPr>
                <w:rFonts w:ascii="Arial" w:cs="Arial" w:eastAsia="Arial" w:hAnsi="Arial"/>
                <w:sz w:val="18"/>
                <w:szCs w:val="18"/>
                <w:color w:val="auto"/>
              </w:rPr>
              <w:t>7.500%</w:t>
            </w:r>
          </w:p>
        </w:tc>
        <w:tc>
          <w:tcPr>
            <w:tcW w:w="1520" w:type="dxa"/>
            <w:vAlign w:val="bottom"/>
          </w:tcPr>
          <w:p>
            <w:pPr>
              <w:jc w:val="right"/>
              <w:spacing w:after="0"/>
              <w:rPr>
                <w:sz w:val="20"/>
                <w:szCs w:val="20"/>
                <w:color w:val="auto"/>
              </w:rPr>
            </w:pPr>
            <w:r>
              <w:rPr>
                <w:rFonts w:ascii="Arial" w:cs="Arial" w:eastAsia="Arial" w:hAnsi="Arial"/>
                <w:sz w:val="18"/>
                <w:szCs w:val="18"/>
                <w:color w:val="auto"/>
              </w:rPr>
              <w:t>June 5, 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Pentagon Row</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54,619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54,619</w:t>
            </w:r>
          </w:p>
        </w:tc>
        <w:tc>
          <w:tcPr>
            <w:tcW w:w="1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7.500%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June 5, 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ind w:left="860"/>
              <w:spacing w:after="0"/>
              <w:rPr>
                <w:sz w:val="20"/>
                <w:szCs w:val="20"/>
                <w:color w:val="auto"/>
              </w:rPr>
            </w:pPr>
            <w:r>
              <w:rPr>
                <w:rFonts w:ascii="Arial" w:cs="Arial" w:eastAsia="Arial" w:hAnsi="Arial"/>
                <w:sz w:val="18"/>
                <w:szCs w:val="18"/>
                <w:color w:val="auto"/>
              </w:rPr>
              <w:t>Melville Mall (3)</w:t>
            </w:r>
          </w:p>
        </w:tc>
        <w:tc>
          <w:tcPr>
            <w:tcW w:w="98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Acquired</w:t>
            </w:r>
          </w:p>
        </w:tc>
        <w:tc>
          <w:tcPr>
            <w:tcW w:w="12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24,124</w:t>
            </w:r>
          </w:p>
        </w:tc>
        <w:tc>
          <w:tcPr>
            <w:tcW w:w="1700" w:type="dxa"/>
            <w:vAlign w:val="bottom"/>
            <w:gridSpan w:val="2"/>
          </w:tcPr>
          <w:p>
            <w:pPr>
              <w:jc w:val="right"/>
              <w:ind w:right="380"/>
              <w:spacing w:after="0"/>
              <w:rPr>
                <w:sz w:val="20"/>
                <w:szCs w:val="20"/>
                <w:color w:val="auto"/>
              </w:rPr>
            </w:pPr>
            <w:r>
              <w:rPr>
                <w:rFonts w:ascii="Arial" w:cs="Arial" w:eastAsia="Arial" w:hAnsi="Arial"/>
                <w:sz w:val="18"/>
                <w:szCs w:val="18"/>
                <w:color w:val="auto"/>
              </w:rPr>
              <w:t>5.250%</w:t>
            </w:r>
          </w:p>
        </w:tc>
        <w:tc>
          <w:tcPr>
            <w:tcW w:w="1520" w:type="dxa"/>
            <w:vAlign w:val="bottom"/>
          </w:tcPr>
          <w:p>
            <w:pPr>
              <w:jc w:val="right"/>
              <w:spacing w:after="0"/>
              <w:rPr>
                <w:sz w:val="20"/>
                <w:szCs w:val="20"/>
                <w:color w:val="auto"/>
              </w:rPr>
            </w:pPr>
            <w:r>
              <w:rPr>
                <w:rFonts w:ascii="Arial" w:cs="Arial" w:eastAsia="Arial" w:hAnsi="Arial"/>
                <w:sz w:val="18"/>
                <w:szCs w:val="18"/>
                <w:color w:val="auto"/>
                <w:w w:val="97"/>
              </w:rPr>
              <w:t>September 1, 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THE AVENUE at White Marsh</w:t>
            </w:r>
          </w:p>
        </w:tc>
        <w:tc>
          <w:tcPr>
            <w:tcW w:w="98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0"/>
              </w:rPr>
              <w:t>Acquired</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59,485</w:t>
            </w:r>
          </w:p>
        </w:tc>
        <w:tc>
          <w:tcPr>
            <w:tcW w:w="1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5.460%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January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ind w:left="860"/>
              <w:spacing w:after="0"/>
              <w:rPr>
                <w:sz w:val="20"/>
                <w:szCs w:val="20"/>
                <w:color w:val="auto"/>
              </w:rPr>
            </w:pPr>
            <w:r>
              <w:rPr>
                <w:rFonts w:ascii="Arial" w:cs="Arial" w:eastAsia="Arial" w:hAnsi="Arial"/>
                <w:sz w:val="18"/>
                <w:szCs w:val="18"/>
                <w:color w:val="auto"/>
              </w:rPr>
              <w:t>Barracks Road</w:t>
            </w:r>
          </w:p>
        </w:tc>
        <w:tc>
          <w:tcPr>
            <w:tcW w:w="660" w:type="dxa"/>
            <w:vAlign w:val="bottom"/>
          </w:tcPr>
          <w:p>
            <w:pPr>
              <w:jc w:val="right"/>
              <w:spacing w:after="0"/>
              <w:rPr>
                <w:sz w:val="20"/>
                <w:szCs w:val="20"/>
                <w:color w:val="auto"/>
              </w:rPr>
            </w:pPr>
            <w:r>
              <w:rPr>
                <w:rFonts w:ascii="Arial" w:cs="Arial" w:eastAsia="Arial" w:hAnsi="Arial"/>
                <w:sz w:val="18"/>
                <w:szCs w:val="18"/>
                <w:color w:val="auto"/>
              </w:rPr>
              <w:t>44,300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41,011</w:t>
            </w:r>
          </w:p>
        </w:tc>
        <w:tc>
          <w:tcPr>
            <w:tcW w:w="1700" w:type="dxa"/>
            <w:vAlign w:val="bottom"/>
            <w:gridSpan w:val="2"/>
          </w:tcPr>
          <w:p>
            <w:pPr>
              <w:jc w:val="right"/>
              <w:ind w:right="380"/>
              <w:spacing w:after="0"/>
              <w:rPr>
                <w:sz w:val="20"/>
                <w:szCs w:val="20"/>
                <w:color w:val="auto"/>
              </w:rPr>
            </w:pPr>
            <w:r>
              <w:rPr>
                <w:rFonts w:ascii="Arial" w:cs="Arial" w:eastAsia="Arial" w:hAnsi="Arial"/>
                <w:sz w:val="18"/>
                <w:szCs w:val="18"/>
                <w:color w:val="auto"/>
              </w:rPr>
              <w:t>7.950%</w:t>
            </w:r>
          </w:p>
        </w:tc>
        <w:tc>
          <w:tcPr>
            <w:tcW w:w="1520" w:type="dxa"/>
            <w:vAlign w:val="bottom"/>
          </w:tcPr>
          <w:p>
            <w:pPr>
              <w:jc w:val="right"/>
              <w:spacing w:after="0"/>
              <w:rPr>
                <w:sz w:val="20"/>
                <w:szCs w:val="20"/>
                <w:color w:val="auto"/>
              </w:rPr>
            </w:pPr>
            <w:r>
              <w:rPr>
                <w:rFonts w:ascii="Arial" w:cs="Arial" w:eastAsia="Arial" w:hAnsi="Arial"/>
                <w:sz w:val="18"/>
                <w:szCs w:val="18"/>
                <w:color w:val="auto"/>
              </w:rPr>
              <w:t>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Hauppauge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15,460</w:t>
            </w:r>
          </w:p>
        </w:tc>
        <w:tc>
          <w:tcPr>
            <w:tcW w:w="1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7.950%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ind w:left="860"/>
              <w:spacing w:after="0"/>
              <w:rPr>
                <w:sz w:val="20"/>
                <w:szCs w:val="20"/>
                <w:color w:val="auto"/>
              </w:rPr>
            </w:pPr>
            <w:r>
              <w:rPr>
                <w:rFonts w:ascii="Arial" w:cs="Arial" w:eastAsia="Arial" w:hAnsi="Arial"/>
                <w:sz w:val="18"/>
                <w:szCs w:val="18"/>
                <w:color w:val="auto"/>
              </w:rPr>
              <w:t>Lawrence Park</w:t>
            </w:r>
          </w:p>
        </w:tc>
        <w:tc>
          <w:tcPr>
            <w:tcW w:w="660" w:type="dxa"/>
            <w:vAlign w:val="bottom"/>
          </w:tcPr>
          <w:p>
            <w:pPr>
              <w:jc w:val="right"/>
              <w:spacing w:after="0"/>
              <w:rPr>
                <w:sz w:val="20"/>
                <w:szCs w:val="20"/>
                <w:color w:val="auto"/>
              </w:rPr>
            </w:pPr>
            <w:r>
              <w:rPr>
                <w:rFonts w:ascii="Arial" w:cs="Arial" w:eastAsia="Arial" w:hAnsi="Arial"/>
                <w:sz w:val="18"/>
                <w:szCs w:val="18"/>
                <w:color w:val="auto"/>
              </w:rPr>
              <w:t>31,400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29,069</w:t>
            </w:r>
          </w:p>
        </w:tc>
        <w:tc>
          <w:tcPr>
            <w:tcW w:w="1700" w:type="dxa"/>
            <w:vAlign w:val="bottom"/>
            <w:gridSpan w:val="2"/>
          </w:tcPr>
          <w:p>
            <w:pPr>
              <w:jc w:val="right"/>
              <w:ind w:right="380"/>
              <w:spacing w:after="0"/>
              <w:rPr>
                <w:sz w:val="20"/>
                <w:szCs w:val="20"/>
                <w:color w:val="auto"/>
              </w:rPr>
            </w:pPr>
            <w:r>
              <w:rPr>
                <w:rFonts w:ascii="Arial" w:cs="Arial" w:eastAsia="Arial" w:hAnsi="Arial"/>
                <w:sz w:val="18"/>
                <w:szCs w:val="18"/>
                <w:color w:val="auto"/>
              </w:rPr>
              <w:t>7.950%</w:t>
            </w:r>
          </w:p>
        </w:tc>
        <w:tc>
          <w:tcPr>
            <w:tcW w:w="1520" w:type="dxa"/>
            <w:vAlign w:val="bottom"/>
          </w:tcPr>
          <w:p>
            <w:pPr>
              <w:jc w:val="right"/>
              <w:spacing w:after="0"/>
              <w:rPr>
                <w:sz w:val="20"/>
                <w:szCs w:val="20"/>
                <w:color w:val="auto"/>
              </w:rPr>
            </w:pPr>
            <w:r>
              <w:rPr>
                <w:rFonts w:ascii="Arial" w:cs="Arial" w:eastAsia="Arial" w:hAnsi="Arial"/>
                <w:sz w:val="18"/>
                <w:szCs w:val="18"/>
                <w:color w:val="auto"/>
              </w:rPr>
              <w:t>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Wildwood</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27,600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25,551</w:t>
            </w:r>
          </w:p>
        </w:tc>
        <w:tc>
          <w:tcPr>
            <w:tcW w:w="1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7.950%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ind w:left="860"/>
              <w:spacing w:after="0"/>
              <w:rPr>
                <w:sz w:val="20"/>
                <w:szCs w:val="20"/>
                <w:color w:val="auto"/>
              </w:rPr>
            </w:pPr>
            <w:r>
              <w:rPr>
                <w:rFonts w:ascii="Arial" w:cs="Arial" w:eastAsia="Arial" w:hAnsi="Arial"/>
                <w:sz w:val="18"/>
                <w:szCs w:val="18"/>
                <w:color w:val="auto"/>
              </w:rPr>
              <w:t>Wynnewood</w:t>
            </w:r>
          </w:p>
        </w:tc>
        <w:tc>
          <w:tcPr>
            <w:tcW w:w="660" w:type="dxa"/>
            <w:vAlign w:val="bottom"/>
          </w:tcPr>
          <w:p>
            <w:pPr>
              <w:jc w:val="right"/>
              <w:spacing w:after="0"/>
              <w:rPr>
                <w:sz w:val="20"/>
                <w:szCs w:val="20"/>
                <w:color w:val="auto"/>
              </w:rPr>
            </w:pPr>
            <w:r>
              <w:rPr>
                <w:rFonts w:ascii="Arial" w:cs="Arial" w:eastAsia="Arial" w:hAnsi="Arial"/>
                <w:sz w:val="18"/>
                <w:szCs w:val="18"/>
                <w:color w:val="auto"/>
              </w:rPr>
              <w:t>32,000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29,624</w:t>
            </w:r>
          </w:p>
        </w:tc>
        <w:tc>
          <w:tcPr>
            <w:tcW w:w="1700" w:type="dxa"/>
            <w:vAlign w:val="bottom"/>
            <w:gridSpan w:val="2"/>
          </w:tcPr>
          <w:p>
            <w:pPr>
              <w:jc w:val="right"/>
              <w:ind w:right="380"/>
              <w:spacing w:after="0"/>
              <w:rPr>
                <w:sz w:val="20"/>
                <w:szCs w:val="20"/>
                <w:color w:val="auto"/>
              </w:rPr>
            </w:pPr>
            <w:r>
              <w:rPr>
                <w:rFonts w:ascii="Arial" w:cs="Arial" w:eastAsia="Arial" w:hAnsi="Arial"/>
                <w:sz w:val="18"/>
                <w:szCs w:val="18"/>
                <w:color w:val="auto"/>
              </w:rPr>
              <w:t>7.950%</w:t>
            </w:r>
          </w:p>
        </w:tc>
        <w:tc>
          <w:tcPr>
            <w:tcW w:w="1520" w:type="dxa"/>
            <w:vAlign w:val="bottom"/>
          </w:tcPr>
          <w:p>
            <w:pPr>
              <w:jc w:val="right"/>
              <w:spacing w:after="0"/>
              <w:rPr>
                <w:sz w:val="20"/>
                <w:szCs w:val="20"/>
                <w:color w:val="auto"/>
              </w:rPr>
            </w:pPr>
            <w:r>
              <w:rPr>
                <w:rFonts w:ascii="Arial" w:cs="Arial" w:eastAsia="Arial" w:hAnsi="Arial"/>
                <w:sz w:val="18"/>
                <w:szCs w:val="18"/>
                <w:color w:val="auto"/>
              </w:rPr>
              <w:t>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Brick Plaza</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30,348</w:t>
            </w:r>
          </w:p>
        </w:tc>
        <w:tc>
          <w:tcPr>
            <w:tcW w:w="1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7.415%</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ind w:left="860"/>
              <w:spacing w:after="0"/>
              <w:rPr>
                <w:sz w:val="20"/>
                <w:szCs w:val="20"/>
                <w:color w:val="auto"/>
              </w:rPr>
            </w:pPr>
            <w:r>
              <w:rPr>
                <w:rFonts w:ascii="Arial" w:cs="Arial" w:eastAsia="Arial" w:hAnsi="Arial"/>
                <w:sz w:val="18"/>
                <w:szCs w:val="18"/>
                <w:color w:val="auto"/>
              </w:rPr>
              <w:t>Rollingwood Apartments</w:t>
            </w:r>
          </w:p>
        </w:tc>
        <w:tc>
          <w:tcPr>
            <w:tcW w:w="660" w:type="dxa"/>
            <w:vAlign w:val="bottom"/>
          </w:tcPr>
          <w:p>
            <w:pPr>
              <w:jc w:val="right"/>
              <w:spacing w:after="0"/>
              <w:rPr>
                <w:sz w:val="20"/>
                <w:szCs w:val="20"/>
                <w:color w:val="auto"/>
              </w:rPr>
            </w:pPr>
            <w:r>
              <w:rPr>
                <w:rFonts w:ascii="Arial" w:cs="Arial" w:eastAsia="Arial" w:hAnsi="Arial"/>
                <w:sz w:val="18"/>
                <w:szCs w:val="18"/>
                <w:color w:val="auto"/>
              </w:rPr>
              <w:t>24,050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24,028</w:t>
            </w:r>
          </w:p>
        </w:tc>
        <w:tc>
          <w:tcPr>
            <w:tcW w:w="1700" w:type="dxa"/>
            <w:vAlign w:val="bottom"/>
            <w:gridSpan w:val="2"/>
          </w:tcPr>
          <w:p>
            <w:pPr>
              <w:jc w:val="right"/>
              <w:ind w:right="380"/>
              <w:spacing w:after="0"/>
              <w:rPr>
                <w:sz w:val="20"/>
                <w:szCs w:val="20"/>
                <w:color w:val="auto"/>
              </w:rPr>
            </w:pPr>
            <w:r>
              <w:rPr>
                <w:rFonts w:ascii="Arial" w:cs="Arial" w:eastAsia="Arial" w:hAnsi="Arial"/>
                <w:sz w:val="18"/>
                <w:szCs w:val="18"/>
                <w:color w:val="auto"/>
              </w:rPr>
              <w:t>5.540%</w:t>
            </w:r>
          </w:p>
        </w:tc>
        <w:tc>
          <w:tcPr>
            <w:tcW w:w="1520" w:type="dxa"/>
            <w:vAlign w:val="bottom"/>
          </w:tcPr>
          <w:p>
            <w:pPr>
              <w:jc w:val="right"/>
              <w:spacing w:after="0"/>
              <w:rPr>
                <w:sz w:val="20"/>
                <w:szCs w:val="20"/>
                <w:color w:val="auto"/>
              </w:rPr>
            </w:pPr>
            <w:r>
              <w:rPr>
                <w:rFonts w:ascii="Arial" w:cs="Arial" w:eastAsia="Arial" w:hAnsi="Arial"/>
                <w:sz w:val="18"/>
                <w:szCs w:val="18"/>
                <w:color w:val="auto"/>
              </w:rPr>
              <w:t>May 1,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Shoppers’ World</w:t>
            </w:r>
          </w:p>
        </w:tc>
        <w:tc>
          <w:tcPr>
            <w:tcW w:w="98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0"/>
              </w:rPr>
              <w:t>Acquired</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5,800</w:t>
            </w:r>
          </w:p>
        </w:tc>
        <w:tc>
          <w:tcPr>
            <w:tcW w:w="1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5.910%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January 31, 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ind w:left="860"/>
              <w:spacing w:after="0"/>
              <w:rPr>
                <w:sz w:val="20"/>
                <w:szCs w:val="20"/>
                <w:color w:val="auto"/>
              </w:rPr>
            </w:pPr>
            <w:r>
              <w:rPr>
                <w:rFonts w:ascii="Arial" w:cs="Arial" w:eastAsia="Arial" w:hAnsi="Arial"/>
                <w:sz w:val="18"/>
                <w:szCs w:val="18"/>
                <w:color w:val="auto"/>
              </w:rPr>
              <w:t>Mount Vernon (4)</w:t>
            </w:r>
          </w:p>
        </w:tc>
        <w:tc>
          <w:tcPr>
            <w:tcW w:w="660" w:type="dxa"/>
            <w:vAlign w:val="bottom"/>
          </w:tcPr>
          <w:p>
            <w:pPr>
              <w:jc w:val="right"/>
              <w:spacing w:after="0"/>
              <w:rPr>
                <w:sz w:val="20"/>
                <w:szCs w:val="20"/>
                <w:color w:val="auto"/>
              </w:rPr>
            </w:pPr>
            <w:r>
              <w:rPr>
                <w:rFonts w:ascii="Arial" w:cs="Arial" w:eastAsia="Arial" w:hAnsi="Arial"/>
                <w:sz w:val="18"/>
                <w:szCs w:val="18"/>
                <w:color w:val="auto"/>
              </w:rPr>
              <w:t>13,250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11,471</w:t>
            </w:r>
          </w:p>
        </w:tc>
        <w:tc>
          <w:tcPr>
            <w:tcW w:w="1700" w:type="dxa"/>
            <w:vAlign w:val="bottom"/>
            <w:gridSpan w:val="2"/>
          </w:tcPr>
          <w:p>
            <w:pPr>
              <w:jc w:val="right"/>
              <w:ind w:right="380"/>
              <w:spacing w:after="0"/>
              <w:rPr>
                <w:sz w:val="20"/>
                <w:szCs w:val="20"/>
                <w:color w:val="auto"/>
              </w:rPr>
            </w:pPr>
            <w:r>
              <w:rPr>
                <w:rFonts w:ascii="Arial" w:cs="Arial" w:eastAsia="Arial" w:hAnsi="Arial"/>
                <w:sz w:val="18"/>
                <w:szCs w:val="18"/>
                <w:color w:val="auto"/>
              </w:rPr>
              <w:t>5.660%</w:t>
            </w:r>
          </w:p>
        </w:tc>
        <w:tc>
          <w:tcPr>
            <w:tcW w:w="1520" w:type="dxa"/>
            <w:vAlign w:val="bottom"/>
          </w:tcPr>
          <w:p>
            <w:pPr>
              <w:jc w:val="right"/>
              <w:spacing w:after="0"/>
              <w:rPr>
                <w:sz w:val="20"/>
                <w:szCs w:val="20"/>
                <w:color w:val="auto"/>
              </w:rPr>
            </w:pPr>
            <w:r>
              <w:rPr>
                <w:rFonts w:ascii="Arial" w:cs="Arial" w:eastAsia="Arial" w:hAnsi="Arial"/>
                <w:sz w:val="18"/>
                <w:szCs w:val="18"/>
                <w:color w:val="auto"/>
              </w:rPr>
              <w:t>April 15, 2028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Chelsea</w:t>
            </w:r>
          </w:p>
        </w:tc>
        <w:tc>
          <w:tcPr>
            <w:tcW w:w="98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0"/>
              </w:rPr>
              <w:t>Acquired</w:t>
            </w: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8,025</w:t>
            </w:r>
          </w:p>
        </w:tc>
        <w:tc>
          <w:tcPr>
            <w:tcW w:w="4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5.360%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January 15, 2031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560" w:type="dxa"/>
            <w:vAlign w:val="bottom"/>
          </w:tcPr>
          <w:p>
            <w:pPr>
              <w:ind w:left="100"/>
              <w:spacing w:after="0"/>
              <w:rPr>
                <w:sz w:val="20"/>
                <w:szCs w:val="20"/>
                <w:color w:val="auto"/>
              </w:rPr>
            </w:pPr>
            <w:r>
              <w:rPr>
                <w:rFonts w:ascii="Arial" w:cs="Arial" w:eastAsia="Arial" w:hAnsi="Arial"/>
                <w:sz w:val="18"/>
                <w:szCs w:val="18"/>
                <w:color w:val="auto"/>
              </w:rPr>
              <w:t>Subtotal</w:t>
            </w: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544,811</w:t>
            </w:r>
          </w:p>
        </w:tc>
        <w:tc>
          <w:tcPr>
            <w:tcW w:w="1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4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unamortized discount</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(414)</w:t>
            </w: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560" w:type="dxa"/>
            <w:vAlign w:val="bottom"/>
          </w:tcPr>
          <w:p>
            <w:pPr>
              <w:ind w:left="100"/>
              <w:spacing w:after="0"/>
              <w:rPr>
                <w:sz w:val="20"/>
                <w:szCs w:val="20"/>
                <w:color w:val="auto"/>
              </w:rPr>
            </w:pPr>
            <w:r>
              <w:rPr>
                <w:rFonts w:ascii="Arial" w:cs="Arial" w:eastAsia="Arial" w:hAnsi="Arial"/>
                <w:sz w:val="18"/>
                <w:szCs w:val="18"/>
                <w:color w:val="auto"/>
              </w:rPr>
              <w:t>Total mortgage loans</w:t>
            </w: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544,397</w:t>
            </w: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18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Notes payable</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ind w:left="420"/>
              <w:spacing w:after="0"/>
              <w:rPr>
                <w:sz w:val="20"/>
                <w:szCs w:val="20"/>
                <w:color w:val="auto"/>
              </w:rPr>
            </w:pPr>
            <w:r>
              <w:rPr>
                <w:rFonts w:ascii="Arial" w:cs="Arial" w:eastAsia="Arial" w:hAnsi="Arial"/>
                <w:sz w:val="18"/>
                <w:szCs w:val="18"/>
                <w:i w:val="1"/>
                <w:iCs w:val="1"/>
                <w:color w:val="auto"/>
              </w:rPr>
              <w:t>Unsecured fixed rate</w:t>
            </w: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Other</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1,355</w:t>
            </w:r>
          </w:p>
        </w:tc>
        <w:tc>
          <w:tcPr>
            <w:tcW w:w="1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6.50%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April 1, 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ind w:left="860"/>
              <w:spacing w:after="0"/>
              <w:rPr>
                <w:sz w:val="20"/>
                <w:szCs w:val="20"/>
                <w:color w:val="auto"/>
              </w:rPr>
            </w:pPr>
            <w:r>
              <w:rPr>
                <w:rFonts w:ascii="Arial" w:cs="Arial" w:eastAsia="Arial" w:hAnsi="Arial"/>
                <w:sz w:val="18"/>
                <w:szCs w:val="18"/>
                <w:color w:val="auto"/>
              </w:rPr>
              <w:t>Perring Plaza renovation</w:t>
            </w:r>
          </w:p>
        </w:tc>
        <w:tc>
          <w:tcPr>
            <w:tcW w:w="660" w:type="dxa"/>
            <w:vAlign w:val="bottom"/>
          </w:tcPr>
          <w:p>
            <w:pPr>
              <w:jc w:val="right"/>
              <w:spacing w:after="0"/>
              <w:rPr>
                <w:sz w:val="20"/>
                <w:szCs w:val="20"/>
                <w:color w:val="auto"/>
              </w:rPr>
            </w:pPr>
            <w:r>
              <w:rPr>
                <w:rFonts w:ascii="Arial" w:cs="Arial" w:eastAsia="Arial" w:hAnsi="Arial"/>
                <w:sz w:val="18"/>
                <w:szCs w:val="18"/>
                <w:color w:val="auto"/>
              </w:rPr>
              <w:t>3,087</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1,073</w:t>
            </w:r>
          </w:p>
        </w:tc>
        <w:tc>
          <w:tcPr>
            <w:tcW w:w="1700" w:type="dxa"/>
            <w:vAlign w:val="bottom"/>
            <w:gridSpan w:val="2"/>
          </w:tcPr>
          <w:p>
            <w:pPr>
              <w:jc w:val="right"/>
              <w:ind w:right="380"/>
              <w:spacing w:after="0"/>
              <w:rPr>
                <w:sz w:val="20"/>
                <w:szCs w:val="20"/>
                <w:color w:val="auto"/>
              </w:rPr>
            </w:pPr>
            <w:r>
              <w:rPr>
                <w:rFonts w:ascii="Arial" w:cs="Arial" w:eastAsia="Arial" w:hAnsi="Arial"/>
                <w:sz w:val="18"/>
                <w:szCs w:val="18"/>
                <w:color w:val="auto"/>
              </w:rPr>
              <w:t>10.000%</w:t>
            </w:r>
          </w:p>
        </w:tc>
        <w:tc>
          <w:tcPr>
            <w:tcW w:w="1520" w:type="dxa"/>
            <w:vAlign w:val="bottom"/>
          </w:tcPr>
          <w:p>
            <w:pPr>
              <w:jc w:val="right"/>
              <w:spacing w:after="0"/>
              <w:rPr>
                <w:sz w:val="20"/>
                <w:szCs w:val="20"/>
                <w:color w:val="auto"/>
              </w:rPr>
            </w:pPr>
            <w:r>
              <w:rPr>
                <w:rFonts w:ascii="Arial" w:cs="Arial" w:eastAsia="Arial" w:hAnsi="Arial"/>
                <w:sz w:val="18"/>
                <w:szCs w:val="18"/>
                <w:color w:val="auto"/>
              </w:rPr>
              <w:t>January 31,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ind w:left="420"/>
              <w:spacing w:after="0"/>
              <w:rPr>
                <w:sz w:val="20"/>
                <w:szCs w:val="20"/>
                <w:color w:val="auto"/>
              </w:rPr>
            </w:pPr>
            <w:r>
              <w:rPr>
                <w:rFonts w:ascii="Arial" w:cs="Arial" w:eastAsia="Arial" w:hAnsi="Arial"/>
                <w:sz w:val="18"/>
                <w:szCs w:val="18"/>
                <w:i w:val="1"/>
                <w:iCs w:val="1"/>
                <w:color w:val="auto"/>
              </w:rPr>
              <w:t>Unsecured variable rate</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ind w:left="860"/>
              <w:spacing w:after="0"/>
              <w:rPr>
                <w:sz w:val="20"/>
                <w:szCs w:val="20"/>
                <w:color w:val="auto"/>
              </w:rPr>
            </w:pPr>
            <w:r>
              <w:rPr>
                <w:rFonts w:ascii="Arial" w:cs="Arial" w:eastAsia="Arial" w:hAnsi="Arial"/>
                <w:sz w:val="18"/>
                <w:szCs w:val="18"/>
                <w:color w:val="auto"/>
              </w:rPr>
              <w:t>Revolving credit facility (5)</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300,000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LIBOR + 0.425%</w:t>
            </w:r>
          </w:p>
        </w:tc>
        <w:tc>
          <w:tcPr>
            <w:tcW w:w="1520" w:type="dxa"/>
            <w:vAlign w:val="bottom"/>
          </w:tcPr>
          <w:p>
            <w:pPr>
              <w:jc w:val="right"/>
              <w:spacing w:after="0"/>
              <w:rPr>
                <w:sz w:val="20"/>
                <w:szCs w:val="20"/>
                <w:color w:val="auto"/>
              </w:rPr>
            </w:pPr>
            <w:r>
              <w:rPr>
                <w:rFonts w:ascii="Arial" w:cs="Arial" w:eastAsia="Arial" w:hAnsi="Arial"/>
                <w:sz w:val="18"/>
                <w:szCs w:val="18"/>
                <w:color w:val="auto"/>
              </w:rPr>
              <w:t>July 27, 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Term loan (6)</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372,000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372,000</w:t>
            </w:r>
          </w:p>
        </w:tc>
        <w:tc>
          <w:tcPr>
            <w:tcW w:w="1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LIBOR + 3.000%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July 27, 2011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gridSpan w:val="2"/>
          </w:tcPr>
          <w:p>
            <w:pPr>
              <w:ind w:left="860"/>
              <w:spacing w:after="0"/>
              <w:rPr>
                <w:sz w:val="20"/>
                <w:szCs w:val="20"/>
                <w:color w:val="auto"/>
              </w:rPr>
            </w:pPr>
            <w:r>
              <w:rPr>
                <w:rFonts w:ascii="Arial" w:cs="Arial" w:eastAsia="Arial" w:hAnsi="Arial"/>
                <w:sz w:val="18"/>
                <w:szCs w:val="18"/>
                <w:color w:val="auto"/>
              </w:rPr>
              <w:t>Escondido (Municipal bonds) (7)</w:t>
            </w:r>
          </w:p>
        </w:tc>
        <w:tc>
          <w:tcPr>
            <w:tcW w:w="660" w:type="dxa"/>
            <w:vAlign w:val="bottom"/>
          </w:tcPr>
          <w:p>
            <w:pPr>
              <w:jc w:val="right"/>
              <w:spacing w:after="0"/>
              <w:rPr>
                <w:sz w:val="20"/>
                <w:szCs w:val="20"/>
                <w:color w:val="auto"/>
              </w:rPr>
            </w:pPr>
            <w:r>
              <w:rPr>
                <w:rFonts w:ascii="Arial" w:cs="Arial" w:eastAsia="Arial" w:hAnsi="Arial"/>
                <w:sz w:val="18"/>
                <w:szCs w:val="18"/>
                <w:color w:val="auto"/>
              </w:rPr>
              <w:t>9,400</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9,400</w:t>
            </w:r>
          </w:p>
        </w:tc>
        <w:tc>
          <w:tcPr>
            <w:tcW w:w="420" w:type="dxa"/>
            <w:vAlign w:val="bottom"/>
          </w:tcPr>
          <w:p>
            <w:pPr>
              <w:spacing w:after="0"/>
              <w:rPr>
                <w:sz w:val="19"/>
                <w:szCs w:val="19"/>
                <w:color w:val="auto"/>
              </w:rPr>
            </w:pPr>
          </w:p>
        </w:tc>
        <w:tc>
          <w:tcPr>
            <w:tcW w:w="1700" w:type="dxa"/>
            <w:vAlign w:val="bottom"/>
            <w:gridSpan w:val="2"/>
          </w:tcPr>
          <w:p>
            <w:pPr>
              <w:jc w:val="right"/>
              <w:ind w:right="380"/>
              <w:spacing w:after="0"/>
              <w:rPr>
                <w:sz w:val="20"/>
                <w:szCs w:val="20"/>
                <w:color w:val="auto"/>
              </w:rPr>
            </w:pPr>
            <w:r>
              <w:rPr>
                <w:rFonts w:ascii="Arial" w:cs="Arial" w:eastAsia="Arial" w:hAnsi="Arial"/>
                <w:sz w:val="18"/>
                <w:szCs w:val="18"/>
                <w:color w:val="auto"/>
              </w:rPr>
              <w:t>0.481%</w:t>
            </w:r>
          </w:p>
        </w:tc>
        <w:tc>
          <w:tcPr>
            <w:tcW w:w="1520" w:type="dxa"/>
            <w:vAlign w:val="bottom"/>
          </w:tcPr>
          <w:p>
            <w:pPr>
              <w:jc w:val="right"/>
              <w:spacing w:after="0"/>
              <w:rPr>
                <w:sz w:val="20"/>
                <w:szCs w:val="20"/>
                <w:color w:val="auto"/>
              </w:rPr>
            </w:pPr>
            <w:r>
              <w:rPr>
                <w:rFonts w:ascii="Arial" w:cs="Arial" w:eastAsia="Arial" w:hAnsi="Arial"/>
                <w:sz w:val="18"/>
                <w:szCs w:val="18"/>
                <w:color w:val="auto"/>
              </w:rPr>
              <w:t>October 1, 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4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notes payable</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383,828</w:t>
            </w: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5760" w:type="dxa"/>
            <w:vAlign w:val="bottom"/>
            <w:gridSpan w:val="3"/>
          </w:tcPr>
          <w:p>
            <w:pPr>
              <w:spacing w:after="0"/>
              <w:rPr>
                <w:sz w:val="20"/>
                <w:szCs w:val="20"/>
                <w:color w:val="auto"/>
              </w:rPr>
            </w:pPr>
            <w:r>
              <w:rPr>
                <w:rFonts w:ascii="Arial" w:cs="Arial" w:eastAsia="Arial" w:hAnsi="Arial"/>
                <w:sz w:val="18"/>
                <w:szCs w:val="18"/>
                <w:b w:val="1"/>
                <w:bCs w:val="1"/>
                <w:color w:val="auto"/>
              </w:rPr>
              <w:t>Senior notes and debentures</w:t>
            </w: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40" w:type="dxa"/>
            <w:vAlign w:val="bottom"/>
            <w:gridSpan w:val="2"/>
            <w:shd w:val="clear" w:color="auto" w:fill="CCEEFF"/>
          </w:tcPr>
          <w:p>
            <w:pPr>
              <w:ind w:left="420"/>
              <w:spacing w:after="0"/>
              <w:rPr>
                <w:sz w:val="20"/>
                <w:szCs w:val="20"/>
                <w:color w:val="auto"/>
              </w:rPr>
            </w:pPr>
            <w:r>
              <w:rPr>
                <w:rFonts w:ascii="Arial" w:cs="Arial" w:eastAsia="Arial" w:hAnsi="Arial"/>
                <w:sz w:val="18"/>
                <w:szCs w:val="18"/>
                <w:i w:val="1"/>
                <w:iCs w:val="1"/>
                <w:color w:val="auto"/>
              </w:rPr>
              <w:t>Unsecured fixed rate</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ind w:left="860"/>
              <w:spacing w:after="0"/>
              <w:rPr>
                <w:sz w:val="20"/>
                <w:szCs w:val="20"/>
                <w:color w:val="auto"/>
              </w:rPr>
            </w:pPr>
            <w:r>
              <w:rPr>
                <w:rFonts w:ascii="Arial" w:cs="Arial" w:eastAsia="Arial" w:hAnsi="Arial"/>
                <w:sz w:val="18"/>
                <w:szCs w:val="18"/>
                <w:color w:val="auto"/>
              </w:rPr>
              <w:t>8.75% notes (8)</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175,000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123,589</w:t>
            </w:r>
          </w:p>
        </w:tc>
        <w:tc>
          <w:tcPr>
            <w:tcW w:w="1700" w:type="dxa"/>
            <w:vAlign w:val="bottom"/>
            <w:gridSpan w:val="2"/>
          </w:tcPr>
          <w:p>
            <w:pPr>
              <w:jc w:val="right"/>
              <w:ind w:right="380"/>
              <w:spacing w:after="0"/>
              <w:rPr>
                <w:sz w:val="20"/>
                <w:szCs w:val="20"/>
                <w:color w:val="auto"/>
              </w:rPr>
            </w:pPr>
            <w:r>
              <w:rPr>
                <w:rFonts w:ascii="Arial" w:cs="Arial" w:eastAsia="Arial" w:hAnsi="Arial"/>
                <w:sz w:val="18"/>
                <w:szCs w:val="18"/>
                <w:color w:val="auto"/>
              </w:rPr>
              <w:t>8.750%</w:t>
            </w:r>
          </w:p>
        </w:tc>
        <w:tc>
          <w:tcPr>
            <w:tcW w:w="1520" w:type="dxa"/>
            <w:vAlign w:val="bottom"/>
          </w:tcPr>
          <w:p>
            <w:pPr>
              <w:jc w:val="right"/>
              <w:spacing w:after="0"/>
              <w:rPr>
                <w:sz w:val="20"/>
                <w:szCs w:val="20"/>
                <w:color w:val="auto"/>
              </w:rPr>
            </w:pPr>
            <w:r>
              <w:rPr>
                <w:rFonts w:ascii="Arial" w:cs="Arial" w:eastAsia="Arial" w:hAnsi="Arial"/>
                <w:sz w:val="18"/>
                <w:szCs w:val="18"/>
                <w:color w:val="auto"/>
              </w:rPr>
              <w:t>December 1,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4.50% notes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75,000</w:t>
            </w:r>
          </w:p>
        </w:tc>
        <w:tc>
          <w:tcPr>
            <w:tcW w:w="1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4.500%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February 15,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ind w:left="860"/>
              <w:spacing w:after="0"/>
              <w:rPr>
                <w:sz w:val="20"/>
                <w:szCs w:val="20"/>
                <w:color w:val="auto"/>
              </w:rPr>
            </w:pPr>
            <w:r>
              <w:rPr>
                <w:rFonts w:ascii="Arial" w:cs="Arial" w:eastAsia="Arial" w:hAnsi="Arial"/>
                <w:sz w:val="18"/>
                <w:szCs w:val="18"/>
                <w:color w:val="auto"/>
              </w:rPr>
              <w:t>6.00% notes</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175,000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175,000</w:t>
            </w:r>
          </w:p>
        </w:tc>
        <w:tc>
          <w:tcPr>
            <w:tcW w:w="1700" w:type="dxa"/>
            <w:vAlign w:val="bottom"/>
            <w:gridSpan w:val="2"/>
          </w:tcPr>
          <w:p>
            <w:pPr>
              <w:jc w:val="right"/>
              <w:ind w:right="380"/>
              <w:spacing w:after="0"/>
              <w:rPr>
                <w:sz w:val="20"/>
                <w:szCs w:val="20"/>
                <w:color w:val="auto"/>
              </w:rPr>
            </w:pPr>
            <w:r>
              <w:rPr>
                <w:rFonts w:ascii="Arial" w:cs="Arial" w:eastAsia="Arial" w:hAnsi="Arial"/>
                <w:sz w:val="18"/>
                <w:szCs w:val="18"/>
                <w:color w:val="auto"/>
              </w:rPr>
              <w:t>6.000%</w:t>
            </w:r>
          </w:p>
        </w:tc>
        <w:tc>
          <w:tcPr>
            <w:tcW w:w="1520" w:type="dxa"/>
            <w:vAlign w:val="bottom"/>
          </w:tcPr>
          <w:p>
            <w:pPr>
              <w:jc w:val="right"/>
              <w:spacing w:after="0"/>
              <w:rPr>
                <w:sz w:val="20"/>
                <w:szCs w:val="20"/>
                <w:color w:val="auto"/>
              </w:rPr>
            </w:pPr>
            <w:r>
              <w:rPr>
                <w:rFonts w:ascii="Arial" w:cs="Arial" w:eastAsia="Arial" w:hAnsi="Arial"/>
                <w:sz w:val="18"/>
                <w:szCs w:val="18"/>
                <w:color w:val="auto"/>
              </w:rPr>
              <w:t>July 15, 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5.40% notes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135,000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135,000</w:t>
            </w:r>
          </w:p>
        </w:tc>
        <w:tc>
          <w:tcPr>
            <w:tcW w:w="1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5.400%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December 1,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ind w:left="860"/>
              <w:spacing w:after="0"/>
              <w:rPr>
                <w:sz w:val="20"/>
                <w:szCs w:val="20"/>
                <w:color w:val="auto"/>
              </w:rPr>
            </w:pPr>
            <w:r>
              <w:rPr>
                <w:rFonts w:ascii="Arial" w:cs="Arial" w:eastAsia="Arial" w:hAnsi="Arial"/>
                <w:sz w:val="18"/>
                <w:szCs w:val="18"/>
                <w:color w:val="auto"/>
              </w:rPr>
              <w:t>5.65% notes</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125,000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125,000</w:t>
            </w:r>
          </w:p>
        </w:tc>
        <w:tc>
          <w:tcPr>
            <w:tcW w:w="1700" w:type="dxa"/>
            <w:vAlign w:val="bottom"/>
            <w:gridSpan w:val="2"/>
          </w:tcPr>
          <w:p>
            <w:pPr>
              <w:jc w:val="right"/>
              <w:ind w:right="380"/>
              <w:spacing w:after="0"/>
              <w:rPr>
                <w:sz w:val="20"/>
                <w:szCs w:val="20"/>
                <w:color w:val="auto"/>
              </w:rPr>
            </w:pPr>
            <w:r>
              <w:rPr>
                <w:rFonts w:ascii="Arial" w:cs="Arial" w:eastAsia="Arial" w:hAnsi="Arial"/>
                <w:sz w:val="18"/>
                <w:szCs w:val="18"/>
                <w:color w:val="auto"/>
              </w:rPr>
              <w:t>5.650%</w:t>
            </w:r>
          </w:p>
        </w:tc>
        <w:tc>
          <w:tcPr>
            <w:tcW w:w="1520" w:type="dxa"/>
            <w:vAlign w:val="bottom"/>
          </w:tcPr>
          <w:p>
            <w:pPr>
              <w:jc w:val="right"/>
              <w:spacing w:after="0"/>
              <w:rPr>
                <w:sz w:val="20"/>
                <w:szCs w:val="20"/>
                <w:color w:val="auto"/>
              </w:rPr>
            </w:pPr>
            <w:r>
              <w:rPr>
                <w:rFonts w:ascii="Arial" w:cs="Arial" w:eastAsia="Arial" w:hAnsi="Arial"/>
                <w:sz w:val="18"/>
                <w:szCs w:val="18"/>
                <w:color w:val="auto"/>
              </w:rPr>
              <w:t>June 1, 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6.20% notes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200,000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200,000</w:t>
            </w:r>
          </w:p>
        </w:tc>
        <w:tc>
          <w:tcPr>
            <w:tcW w:w="1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6.200%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January 15, 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ind w:left="860"/>
              <w:spacing w:after="0"/>
              <w:rPr>
                <w:sz w:val="20"/>
                <w:szCs w:val="20"/>
                <w:color w:val="auto"/>
              </w:rPr>
            </w:pPr>
            <w:r>
              <w:rPr>
                <w:rFonts w:ascii="Arial" w:cs="Arial" w:eastAsia="Arial" w:hAnsi="Arial"/>
                <w:sz w:val="18"/>
                <w:szCs w:val="18"/>
                <w:color w:val="auto"/>
              </w:rPr>
              <w:t>7.48% debentures</w:t>
            </w:r>
          </w:p>
        </w:tc>
        <w:tc>
          <w:tcPr>
            <w:tcW w:w="660" w:type="dxa"/>
            <w:vAlign w:val="bottom"/>
          </w:tcPr>
          <w:p>
            <w:pPr>
              <w:jc w:val="right"/>
              <w:spacing w:after="0"/>
              <w:rPr>
                <w:sz w:val="20"/>
                <w:szCs w:val="20"/>
                <w:color w:val="auto"/>
              </w:rPr>
            </w:pPr>
            <w:r>
              <w:rPr>
                <w:rFonts w:ascii="Arial" w:cs="Arial" w:eastAsia="Arial" w:hAnsi="Arial"/>
                <w:sz w:val="18"/>
                <w:szCs w:val="18"/>
                <w:color w:val="auto"/>
              </w:rPr>
              <w:t>50,000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29,200</w:t>
            </w:r>
          </w:p>
        </w:tc>
        <w:tc>
          <w:tcPr>
            <w:tcW w:w="1700" w:type="dxa"/>
            <w:vAlign w:val="bottom"/>
            <w:gridSpan w:val="2"/>
          </w:tcPr>
          <w:p>
            <w:pPr>
              <w:jc w:val="right"/>
              <w:ind w:right="380"/>
              <w:spacing w:after="0"/>
              <w:rPr>
                <w:sz w:val="20"/>
                <w:szCs w:val="20"/>
                <w:color w:val="auto"/>
              </w:rPr>
            </w:pPr>
            <w:r>
              <w:rPr>
                <w:rFonts w:ascii="Arial" w:cs="Arial" w:eastAsia="Arial" w:hAnsi="Arial"/>
                <w:sz w:val="18"/>
                <w:szCs w:val="18"/>
                <w:color w:val="auto"/>
              </w:rPr>
              <w:t>7.480%</w:t>
            </w:r>
          </w:p>
        </w:tc>
        <w:tc>
          <w:tcPr>
            <w:tcW w:w="1520" w:type="dxa"/>
            <w:vAlign w:val="bottom"/>
          </w:tcPr>
          <w:p>
            <w:pPr>
              <w:jc w:val="right"/>
              <w:spacing w:after="0"/>
              <w:rPr>
                <w:sz w:val="20"/>
                <w:szCs w:val="20"/>
                <w:color w:val="auto"/>
              </w:rPr>
            </w:pPr>
            <w:r>
              <w:rPr>
                <w:rFonts w:ascii="Arial" w:cs="Arial" w:eastAsia="Arial" w:hAnsi="Arial"/>
                <w:sz w:val="18"/>
                <w:szCs w:val="18"/>
                <w:color w:val="auto"/>
              </w:rPr>
              <w:t>August 15, 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6.82% medium term notes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4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6.820%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August 1, 2027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560" w:type="dxa"/>
            <w:vAlign w:val="bottom"/>
          </w:tcPr>
          <w:p>
            <w:pPr>
              <w:ind w:left="100"/>
              <w:spacing w:after="0"/>
              <w:rPr>
                <w:sz w:val="20"/>
                <w:szCs w:val="20"/>
                <w:color w:val="auto"/>
              </w:rPr>
            </w:pPr>
            <w:r>
              <w:rPr>
                <w:rFonts w:ascii="Arial" w:cs="Arial" w:eastAsia="Arial" w:hAnsi="Arial"/>
                <w:sz w:val="18"/>
                <w:szCs w:val="18"/>
                <w:color w:val="auto"/>
              </w:rPr>
              <w:t>Subtotal</w:t>
            </w: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902,789</w:t>
            </w:r>
          </w:p>
        </w:tc>
        <w:tc>
          <w:tcPr>
            <w:tcW w:w="1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4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unamortized premium</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2,325</w:t>
            </w: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560" w:type="dxa"/>
            <w:vAlign w:val="bottom"/>
          </w:tcPr>
          <w:p>
            <w:pPr>
              <w:ind w:left="100"/>
              <w:spacing w:after="0"/>
              <w:rPr>
                <w:sz w:val="20"/>
                <w:szCs w:val="20"/>
                <w:color w:val="auto"/>
              </w:rPr>
            </w:pPr>
            <w:r>
              <w:rPr>
                <w:rFonts w:ascii="Arial" w:cs="Arial" w:eastAsia="Arial" w:hAnsi="Arial"/>
                <w:sz w:val="18"/>
                <w:szCs w:val="18"/>
                <w:color w:val="auto"/>
              </w:rPr>
              <w:t>Total senior notes and debentures</w:t>
            </w: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905,114</w:t>
            </w:r>
          </w:p>
        </w:tc>
        <w:tc>
          <w:tcPr>
            <w:tcW w:w="1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18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Capital lease obligations</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gridSpan w:val="2"/>
          </w:tcPr>
          <w:p>
            <w:pPr>
              <w:ind w:left="860"/>
              <w:spacing w:after="0"/>
              <w:rPr>
                <w:sz w:val="20"/>
                <w:szCs w:val="20"/>
                <w:color w:val="auto"/>
              </w:rPr>
            </w:pPr>
            <w:r>
              <w:rPr>
                <w:rFonts w:ascii="Arial" w:cs="Arial" w:eastAsia="Arial" w:hAnsi="Arial"/>
                <w:sz w:val="18"/>
                <w:szCs w:val="18"/>
                <w:color w:val="auto"/>
              </w:rPr>
              <w:t>Various</w:t>
            </w: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62,894</w:t>
            </w:r>
          </w:p>
        </w:tc>
        <w:tc>
          <w:tcPr>
            <w:tcW w:w="420" w:type="dxa"/>
            <w:vAlign w:val="bottom"/>
          </w:tcPr>
          <w:p>
            <w:pPr>
              <w:spacing w:after="0"/>
              <w:rPr>
                <w:sz w:val="19"/>
                <w:szCs w:val="19"/>
                <w:color w:val="auto"/>
              </w:rPr>
            </w:pPr>
          </w:p>
        </w:tc>
        <w:tc>
          <w:tcPr>
            <w:tcW w:w="1700" w:type="dxa"/>
            <w:vAlign w:val="bottom"/>
            <w:gridSpan w:val="2"/>
          </w:tcPr>
          <w:p>
            <w:pPr>
              <w:jc w:val="right"/>
              <w:ind w:right="540"/>
              <w:spacing w:after="0"/>
              <w:rPr>
                <w:sz w:val="20"/>
                <w:szCs w:val="20"/>
                <w:color w:val="auto"/>
              </w:rPr>
            </w:pPr>
            <w:r>
              <w:rPr>
                <w:rFonts w:ascii="Arial" w:cs="Arial" w:eastAsia="Arial" w:hAnsi="Arial"/>
                <w:sz w:val="18"/>
                <w:szCs w:val="18"/>
                <w:color w:val="auto"/>
              </w:rPr>
              <w:t>Various</w:t>
            </w:r>
          </w:p>
        </w:tc>
        <w:tc>
          <w:tcPr>
            <w:tcW w:w="1520" w:type="dxa"/>
            <w:vAlign w:val="bottom"/>
          </w:tcPr>
          <w:p>
            <w:pPr>
              <w:jc w:val="right"/>
              <w:spacing w:after="0"/>
              <w:rPr>
                <w:sz w:val="20"/>
                <w:szCs w:val="20"/>
                <w:color w:val="auto"/>
              </w:rPr>
            </w:pPr>
            <w:r>
              <w:rPr>
                <w:rFonts w:ascii="Arial" w:cs="Arial" w:eastAsia="Arial" w:hAnsi="Arial"/>
                <w:sz w:val="18"/>
                <w:szCs w:val="18"/>
                <w:color w:val="auto"/>
                <w:w w:val="87"/>
              </w:rPr>
              <w:t>Various through 2106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debt and capital lease obligations</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1,896,233</w:t>
            </w: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4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459" w:right="23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40" w:hanging="452"/>
        <w:spacing w:after="0" w:line="254"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Mortgage loans do not include our 30% share ($24.4 million) of the $81.3 million debt of the partnership with a discretionary fund created and advised by ING Clarion Partners.</w:t>
      </w:r>
    </w:p>
    <w:p>
      <w:pPr>
        <w:ind w:left="460" w:right="320" w:hanging="452"/>
        <w:spacing w:after="0" w:line="281"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interest rate of 6.04% represents the weighted average interest rate for two mortgage loans secured by this property. The loan balance represents an interest only loan of $4.35 million at a stated rate of 6.18% and the remaining balance at a stated rate of 5.96%.</w:t>
      </w:r>
    </w:p>
    <w:p>
      <w:pPr>
        <w:spacing w:after="0" w:line="1" w:lineRule="exact"/>
        <w:rPr>
          <w:rFonts w:ascii="Arial" w:cs="Arial" w:eastAsia="Arial" w:hAnsi="Arial"/>
          <w:sz w:val="16"/>
          <w:szCs w:val="16"/>
          <w:color w:val="auto"/>
        </w:rPr>
      </w:pPr>
    </w:p>
    <w:p>
      <w:pPr>
        <w:jc w:val="both"/>
        <w:ind w:left="460" w:right="40" w:hanging="452"/>
        <w:spacing w:after="0" w:line="250"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acquired control of Melville Mall through a 20-year master lease and secondary financing. Because we control this property and retain substantially all of the economic benefit and risk associated with it, this property is consolidated and the mortgage loan is reflected on the balance sheet, though it is not our legal obligation.</w:t>
      </w:r>
    </w:p>
    <w:p>
      <w:pPr>
        <w:spacing w:after="0" w:line="1" w:lineRule="exact"/>
        <w:rPr>
          <w:rFonts w:ascii="Arial" w:cs="Arial" w:eastAsia="Arial" w:hAnsi="Arial"/>
          <w:sz w:val="18"/>
          <w:szCs w:val="18"/>
          <w:color w:val="auto"/>
        </w:rPr>
      </w:pPr>
    </w:p>
    <w:p>
      <w:pPr>
        <w:ind w:left="460" w:right="640" w:hanging="452"/>
        <w:spacing w:after="0" w:line="250"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interest rate is fixed at 5.66% for the first ten years and then will be reset to a market rate in 2013. The lender has the option to call the loan on April 15, 2013 or any time thereafter.</w:t>
      </w:r>
    </w:p>
    <w:p>
      <w:pPr>
        <w:ind w:left="460" w:right="200" w:hanging="452"/>
        <w:spacing w:after="0" w:line="250"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maximum amount drawn under our revolving credit facility during the three and six months ended June 30, 2009 was $156.0 and million and $172.5 million, respectively. The weighted average effective interest rate on borrowings under our revolving credit facility, before amortization of debt fees, was 0.96% and 1.37% for the three and six months ended June 30, 2009, respectively. This credit facility matures on July 27, 2010, subject to a one-year extension at our option.</w:t>
      </w:r>
    </w:p>
    <w:p>
      <w:pPr>
        <w:spacing w:after="0" w:line="1" w:lineRule="exact"/>
        <w:rPr>
          <w:rFonts w:ascii="Arial" w:cs="Arial" w:eastAsia="Arial" w:hAnsi="Arial"/>
          <w:sz w:val="18"/>
          <w:szCs w:val="18"/>
          <w:color w:val="auto"/>
        </w:rPr>
      </w:pPr>
    </w:p>
    <w:p>
      <w:pPr>
        <w:ind w:left="460" w:right="400" w:hanging="452"/>
        <w:spacing w:after="0" w:line="281"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$372 million term loan bears interest at LIBOR, subject to a 1.5% floor, plus 300 basis points. The weighted average effective interest rate, before amortization of debt fees, was 4.63% for the period from the inception of the loan of May 4, 2009 through June 30, 2009.</w:t>
      </w:r>
    </w:p>
    <w:p>
      <w:pPr>
        <w:spacing w:after="0" w:line="1" w:lineRule="exact"/>
        <w:rPr>
          <w:rFonts w:ascii="Arial" w:cs="Arial" w:eastAsia="Arial" w:hAnsi="Arial"/>
          <w:sz w:val="16"/>
          <w:szCs w:val="16"/>
          <w:color w:val="auto"/>
        </w:rPr>
      </w:pPr>
    </w:p>
    <w:p>
      <w:pPr>
        <w:ind w:left="460" w:right="140" w:hanging="452"/>
        <w:spacing w:after="0" w:line="250"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bonds require monthly interest only payments through maturity. The bonds bear interest at a variable rate determined weekly, which would enable the bonds to be remarketed at 100% of their principal amount. The property is not encumbered by a lien.</w:t>
      </w:r>
    </w:p>
    <w:p>
      <w:pPr>
        <w:ind w:left="460" w:right="20" w:hanging="452"/>
        <w:spacing w:after="0" w:line="302"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On various dates from January 12, 2009 to April 1, 2009, we purchased and retired $11.1 million of our 8.75% senior notes. On June 4, 2009, we purchased and retired $40.3 million of our 8.75% senior notes as a part of a cash tender offer whereby we repaid the notes at a 2% premium to par value. These notes were repaid with funds borrowed on our $300 million revolving credit facility and our $372 million term loan.</w:t>
      </w:r>
    </w:p>
    <w:p>
      <w:pPr>
        <w:spacing w:after="0" w:line="109"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Our revolving credit facility and other debt agreements include financial and other covenants that may limit our operating activities in the future. As of June 30, 2009, we were in compliance with all of the financial and other covenants. If we were to breach any of our debt covenants and did not cure the breach within an applicable cure period, our lenders could require us to repay the debt immediately and, if the debt is secured, could immediately begin proceedings to take possession of the property securing the loan. Many of our debt arrangements, including our public notes and our revolving credit facility, are cross-defaulted, which means that the lenders under those debt arrangements can put us in default and require immediate repayment of their debt if we breach and fail to cure a covenant or default under certain of our other debt obligations. As a result, any default under our debt covenants could have an adverse effect on our financial condition, our results of operations, our ability to meet our obligations and the market value of our shares. Our organizational documents do not limit the level or amount of debt that we may incur.</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scheduled principal repayments as of June 30, 2009:</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82"/>
              </w:rPr>
              <w:t>Unsecured</w:t>
            </w: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7"/>
              </w:rPr>
              <w:t>Secured</w:t>
            </w:r>
          </w:p>
        </w:tc>
        <w:tc>
          <w:tcPr>
            <w:tcW w:w="320" w:type="dxa"/>
            <w:vAlign w:val="bottom"/>
          </w:tcPr>
          <w:p>
            <w:pPr>
              <w:spacing w:after="0"/>
              <w:rPr>
                <w:sz w:val="14"/>
                <w:szCs w:val="14"/>
                <w:color w:val="auto"/>
              </w:rPr>
            </w:pPr>
          </w:p>
        </w:tc>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Capital Lease</w:t>
            </w: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ind w:left="260"/>
              <w:spacing w:after="0" w:line="142" w:lineRule="exact"/>
              <w:rPr>
                <w:sz w:val="20"/>
                <w:szCs w:val="20"/>
                <w:color w:val="auto"/>
              </w:rPr>
            </w:pPr>
            <w:r>
              <w:rPr>
                <w:rFonts w:ascii="Arial" w:cs="Arial" w:eastAsia="Arial" w:hAnsi="Arial"/>
                <w:sz w:val="14"/>
                <w:szCs w:val="14"/>
                <w:b w:val="1"/>
                <w:bCs w:val="1"/>
                <w:color w:val="auto"/>
              </w:rPr>
              <w:t>(In</w:t>
            </w:r>
          </w:p>
        </w:tc>
        <w:tc>
          <w:tcPr>
            <w:tcW w:w="5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74"/>
              </w:rPr>
              <w:t>thousands)</w:t>
            </w: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Remainder of 2009</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123,679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4,567</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128,868</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2010</w:t>
            </w:r>
          </w:p>
        </w:tc>
        <w:tc>
          <w:tcPr>
            <w:tcW w:w="29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861(1)</w:t>
            </w:r>
          </w:p>
        </w:tc>
        <w:tc>
          <w:tcPr>
            <w:tcW w:w="100" w:type="dxa"/>
            <w:vAlign w:val="bottom"/>
          </w:tcPr>
          <w:p>
            <w:pPr>
              <w:spacing w:after="0"/>
              <w:rPr>
                <w:sz w:val="18"/>
                <w:szCs w:val="18"/>
                <w:color w:val="auto"/>
              </w:rPr>
            </w:pPr>
          </w:p>
        </w:tc>
        <w:tc>
          <w:tcPr>
            <w:tcW w:w="880" w:type="dxa"/>
            <w:vAlign w:val="bottom"/>
            <w:gridSpan w:val="2"/>
          </w:tcPr>
          <w:p>
            <w:pPr>
              <w:jc w:val="right"/>
              <w:ind w:right="252"/>
              <w:spacing w:after="0"/>
              <w:rPr>
                <w:sz w:val="20"/>
                <w:szCs w:val="20"/>
                <w:color w:val="auto"/>
              </w:rPr>
            </w:pPr>
            <w:r>
              <w:rPr>
                <w:rFonts w:ascii="Arial" w:cs="Arial" w:eastAsia="Arial" w:hAnsi="Arial"/>
                <w:sz w:val="18"/>
                <w:szCs w:val="18"/>
                <w:color w:val="auto"/>
                <w:w w:val="98"/>
              </w:rPr>
              <w:t>10,069</w:t>
            </w:r>
          </w:p>
        </w:tc>
        <w:tc>
          <w:tcPr>
            <w:tcW w:w="26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1,305</w:t>
            </w: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12,235</w:t>
            </w: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298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447,720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w w:val="98"/>
              </w:rPr>
              <w:t>47,571</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1,399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496,690</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2012</w:t>
            </w:r>
          </w:p>
        </w:tc>
        <w:tc>
          <w:tcPr>
            <w:tcW w:w="29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175,727</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52"/>
              <w:spacing w:after="0"/>
              <w:rPr>
                <w:sz w:val="20"/>
                <w:szCs w:val="20"/>
                <w:color w:val="auto"/>
              </w:rPr>
            </w:pPr>
            <w:r>
              <w:rPr>
                <w:rFonts w:ascii="Arial" w:cs="Arial" w:eastAsia="Arial" w:hAnsi="Arial"/>
                <w:sz w:val="18"/>
                <w:szCs w:val="18"/>
                <w:color w:val="auto"/>
                <w:w w:val="98"/>
              </w:rPr>
              <w:t>17,380</w:t>
            </w:r>
          </w:p>
        </w:tc>
        <w:tc>
          <w:tcPr>
            <w:tcW w:w="26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194,607</w:t>
            </w: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298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135,030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w w:val="98"/>
              </w:rPr>
              <w:t>72,107</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1,609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208,746</w:t>
            </w: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403,600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52"/>
              <w:spacing w:after="0"/>
              <w:rPr>
                <w:sz w:val="20"/>
                <w:szCs w:val="20"/>
                <w:color w:val="auto"/>
              </w:rPr>
            </w:pPr>
            <w:r>
              <w:rPr>
                <w:rFonts w:ascii="Arial" w:cs="Arial" w:eastAsia="Arial" w:hAnsi="Arial"/>
                <w:sz w:val="18"/>
                <w:szCs w:val="18"/>
                <w:color w:val="auto"/>
                <w:w w:val="82"/>
              </w:rPr>
              <w:t>393,117</w:t>
            </w:r>
          </w:p>
        </w:tc>
        <w:tc>
          <w:tcPr>
            <w:tcW w:w="26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56,459</w:t>
            </w: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853,176</w:t>
            </w:r>
          </w:p>
        </w:tc>
      </w:tr>
      <w:tr>
        <w:trPr>
          <w:trHeight w:val="27"/>
        </w:trPr>
        <w:tc>
          <w:tcPr>
            <w:tcW w:w="11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116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1,286,617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w w:val="82"/>
              </w:rPr>
              <w:t>544,811</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62,894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1,894,322(2)</w:t>
            </w:r>
          </w:p>
        </w:tc>
      </w:tr>
      <w:tr>
        <w:trPr>
          <w:trHeight w:val="20"/>
        </w:trPr>
        <w:tc>
          <w:tcPr>
            <w:tcW w:w="11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2980" w:type="dxa"/>
            <w:vAlign w:val="bottom"/>
          </w:tcPr>
          <w:p>
            <w:pPr>
              <w:spacing w:after="0"/>
              <w:rPr>
                <w:sz w:val="8"/>
                <w:szCs w:val="8"/>
                <w:color w:val="auto"/>
              </w:rPr>
            </w:pPr>
          </w:p>
        </w:tc>
        <w:tc>
          <w:tcPr>
            <w:tcW w:w="2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r>
    </w:tbl>
    <w:p>
      <w:pPr>
        <w:spacing w:after="0" w:line="19" w:lineRule="exact"/>
        <w:rPr>
          <w:sz w:val="20"/>
          <w:szCs w:val="20"/>
          <w:color w:val="auto"/>
        </w:rPr>
      </w:pPr>
    </w:p>
    <w:p>
      <w:pPr>
        <w:ind w:left="460" w:right="80" w:hanging="452"/>
        <w:spacing w:after="0" w:line="254"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$300 million four-year revolving credit facility matures on July 27, 2010, subject to a one-year extension at our option. As of June 30, 2009, there was $0 drawn under this credit facility.</w:t>
      </w:r>
    </w:p>
    <w:p>
      <w:pPr>
        <w:ind w:left="460" w:right="560" w:hanging="452"/>
        <w:spacing w:after="0" w:line="261"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total debt maturities differs from the total reported on the consolidated balance sheet due to the unamortized net premium or discount on certain mortgage loans, senior notes and debentures as of June 30, 2009.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Hedging</w:t>
      </w:r>
    </w:p>
    <w:p>
      <w:pPr>
        <w:spacing w:after="0" w:line="90"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We had no hedging instruments outstanding during the six months ended June 30, 2009. We may use derivative instruments to manage exposure to variable interest rate risk. We generally enter into interest rate swaps to manage our exposure to variable interest rate risk and treasury locks to manage the risk of interest rates rising prior to the issuance of debt. We enter into derivative instruments that qualify as cash flow hedges under SFAS No. 133, “Accounting for Derivative Instruments and Hedging Activities” and do not enter into derivative instruments for speculative purposes.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Funds from operations (“FFO”) is a supplemental non-GAAP financial measure of real estate companies’ operating performance. The National Association of Real Estate Investment Trusts (“NAREIT”) defines FFO as follows: net income, computed in accordance with the U.S. GAAP, plus depreciation and amortization of real estate assets and excluding extraordinary items and gains and losses on the sale of real estate. We compute FFO in accordance with the NAREIT definition, and we have historically reported our FFO available for common shareholders in addition to our net income and net cash provided by operating activities. It should be noted that FFO:</w:t>
      </w:r>
    </w:p>
    <w:p>
      <w:pPr>
        <w:spacing w:after="0" w:line="62" w:lineRule="exact"/>
        <w:rPr>
          <w:sz w:val="20"/>
          <w:szCs w:val="20"/>
          <w:color w:val="auto"/>
        </w:rPr>
      </w:pPr>
    </w:p>
    <w:p>
      <w:pPr>
        <w:ind w:left="900" w:right="78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does not represent cash flows from operating activities in accordance with GAAP (which, unlike FFO, generally reflects all cash effects of transactions and other events in the determination of net income);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should not be considered an alternative to net income as an indication of our performance;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 not necessarily indicative of cash flow as a measure of liquidity or ability to fund cash needs, including the payment of dividends.</w:t>
      </w:r>
    </w:p>
    <w:p>
      <w:pPr>
        <w:spacing w:after="0" w:line="171" w:lineRule="exact"/>
        <w:rPr>
          <w:sz w:val="20"/>
          <w:szCs w:val="20"/>
          <w:color w:val="auto"/>
        </w:rPr>
      </w:pPr>
    </w:p>
    <w:p>
      <w:pPr>
        <w:jc w:val="both"/>
        <w:ind w:right="140"/>
        <w:spacing w:after="0" w:line="255" w:lineRule="auto"/>
        <w:rPr>
          <w:sz w:val="20"/>
          <w:szCs w:val="20"/>
          <w:color w:val="auto"/>
        </w:rPr>
      </w:pPr>
      <w:r>
        <w:rPr>
          <w:rFonts w:ascii="Arial" w:cs="Arial" w:eastAsia="Arial" w:hAnsi="Arial"/>
          <w:sz w:val="18"/>
          <w:szCs w:val="18"/>
          <w:color w:val="auto"/>
        </w:rPr>
        <w:t>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 Comparison of our presentation of FFO to similarly titled measures for other REITs may not necessarily be meaningful due to possible differences in the application of the NAREIT definition used by such REITs.</w:t>
      </w:r>
    </w:p>
    <w:p>
      <w:pPr>
        <w:spacing w:after="0" w:line="143"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An increase or decrease in FFO available for common shareholders does not necessarily result in an increase or decrease in aggregate distributions because our Board of Trustees is not required to increase distributions on a quarterly basis unless necessary for us to maintain REIT status. However, we must distribute at least 90% of our REIT taxable income (including net capital gain) to remain qualified as a REIT. Therefore, a significant increase in FFO will generally require an increase in distributions to shareholders although not necessarily on a proportionate basis.</w:t>
      </w:r>
    </w:p>
    <w:p>
      <w:pPr>
        <w:spacing w:after="0" w:line="113"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Effective January 1, 2009, we adopted FSP EITF No. 03-6-1 and have calculated FFO per share for all periods presented under the two-class method. The two-class method is an earnings allocation methodology whereby earnings per share for each class of common stock and participating securities is calculated according to dividends declared and participation rights in undistributed earnings. The implementation resulted in a decrease to the reported FFO per share for the three months ended June 30, 2008 from $0.96 to $0.95 per share as presented below. There was no change to FFO per share for the six months ended June 30, 2008. FFO per share for prior periods has been restated to conform to the requirements of FSP EITF No. 03-6-1.</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net income to FFO available for common shareholders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7"/>
          </w:tcPr>
          <w:p>
            <w:pPr>
              <w:jc w:val="center"/>
              <w:ind w:right="338"/>
              <w:spacing w:after="0"/>
              <w:rPr>
                <w:sz w:val="20"/>
                <w:szCs w:val="20"/>
                <w:color w:val="auto"/>
              </w:rPr>
            </w:pPr>
            <w:r>
              <w:rPr>
                <w:rFonts w:ascii="Arial" w:cs="Arial" w:eastAsia="Arial" w:hAnsi="Arial"/>
                <w:sz w:val="14"/>
                <w:szCs w:val="14"/>
                <w:b w:val="1"/>
                <w:bCs w:val="1"/>
                <w:color w:val="auto"/>
                <w:w w:val="89"/>
              </w:rPr>
              <w:t>Three Months Ended</w:t>
            </w:r>
          </w:p>
        </w:tc>
        <w:tc>
          <w:tcPr>
            <w:tcW w:w="100" w:type="dxa"/>
            <w:vAlign w:val="bottom"/>
          </w:tcPr>
          <w:p>
            <w:pPr>
              <w:spacing w:after="0"/>
              <w:rPr>
                <w:sz w:val="14"/>
                <w:szCs w:val="14"/>
                <w:color w:val="auto"/>
              </w:rPr>
            </w:pPr>
          </w:p>
        </w:tc>
        <w:tc>
          <w:tcPr>
            <w:tcW w:w="15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5"/>
          </w:tcPr>
          <w:p>
            <w:pPr>
              <w:jc w:val="center"/>
              <w:ind w:left="316"/>
              <w:spacing w:after="0"/>
              <w:rPr>
                <w:sz w:val="20"/>
                <w:szCs w:val="20"/>
                <w:color w:val="auto"/>
              </w:rPr>
            </w:pPr>
            <w:r>
              <w:rPr>
                <w:rFonts w:ascii="Arial" w:cs="Arial" w:eastAsia="Arial" w:hAnsi="Arial"/>
                <w:sz w:val="14"/>
                <w:szCs w:val="14"/>
                <w:b w:val="1"/>
                <w:bCs w:val="1"/>
                <w:color w:val="auto"/>
                <w:w w:val="85"/>
              </w:rPr>
              <w:t>June 30,</w:t>
            </w: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2008</w:t>
            </w:r>
          </w:p>
        </w:tc>
        <w:tc>
          <w:tcPr>
            <w:tcW w:w="3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(In</w:t>
            </w:r>
          </w:p>
        </w:tc>
        <w:tc>
          <w:tcPr>
            <w:tcW w:w="5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74"/>
              </w:rPr>
              <w:t>thousands,</w:t>
            </w:r>
          </w:p>
        </w:tc>
        <w:tc>
          <w:tcPr>
            <w:tcW w:w="320" w:type="dxa"/>
            <w:vAlign w:val="bottom"/>
          </w:tcPr>
          <w:p>
            <w:pPr>
              <w:jc w:val="right"/>
              <w:spacing w:after="0"/>
              <w:rPr>
                <w:sz w:val="20"/>
                <w:szCs w:val="20"/>
                <w:color w:val="auto"/>
              </w:rPr>
            </w:pPr>
            <w:r>
              <w:rPr>
                <w:rFonts w:ascii="Arial" w:cs="Arial" w:eastAsia="Arial" w:hAnsi="Arial"/>
                <w:sz w:val="12"/>
                <w:szCs w:val="12"/>
                <w:b w:val="1"/>
                <w:bCs w:val="1"/>
                <w:color w:val="auto"/>
                <w:w w:val="78"/>
              </w:rPr>
              <w:t>except</w:t>
            </w: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8"/>
              </w:rPr>
              <w:t>per share</w:t>
            </w:r>
          </w:p>
        </w:tc>
        <w:tc>
          <w:tcPr>
            <w:tcW w:w="340" w:type="dxa"/>
            <w:vAlign w:val="bottom"/>
          </w:tcPr>
          <w:p>
            <w:pPr>
              <w:jc w:val="center"/>
              <w:ind w:left="12"/>
              <w:spacing w:after="0" w:line="142" w:lineRule="exact"/>
              <w:rPr>
                <w:sz w:val="20"/>
                <w:szCs w:val="20"/>
                <w:color w:val="auto"/>
              </w:rPr>
            </w:pPr>
            <w:r>
              <w:rPr>
                <w:rFonts w:ascii="Arial" w:cs="Arial" w:eastAsia="Arial" w:hAnsi="Arial"/>
                <w:sz w:val="14"/>
                <w:szCs w:val="14"/>
                <w:b w:val="1"/>
                <w:bCs w:val="1"/>
                <w:color w:val="auto"/>
                <w:w w:val="77"/>
              </w:rPr>
              <w:t>data)</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the Trust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28,417</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58"/>
              <w:spacing w:after="0"/>
              <w:rPr>
                <w:sz w:val="20"/>
                <w:szCs w:val="20"/>
                <w:color w:val="auto"/>
              </w:rPr>
            </w:pPr>
            <w:r>
              <w:rPr>
                <w:rFonts w:ascii="Arial" w:cs="Arial" w:eastAsia="Arial" w:hAnsi="Arial"/>
                <w:sz w:val="18"/>
                <w:szCs w:val="18"/>
                <w:color w:val="auto"/>
                <w:w w:val="83"/>
              </w:rPr>
              <w:t>28,974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38,901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58,960</w:t>
            </w:r>
          </w:p>
        </w:tc>
        <w:tc>
          <w:tcPr>
            <w:tcW w:w="0" w:type="dxa"/>
            <w:vAlign w:val="bottom"/>
          </w:tcPr>
          <w:p>
            <w:pPr>
              <w:spacing w:after="0"/>
              <w:rPr>
                <w:sz w:val="1"/>
                <w:szCs w:val="1"/>
                <w:color w:val="auto"/>
              </w:rPr>
            </w:pPr>
          </w:p>
        </w:tc>
      </w:tr>
      <w:tr>
        <w:trPr>
          <w:trHeight w:val="216"/>
        </w:trPr>
        <w:tc>
          <w:tcPr>
            <w:tcW w:w="7940" w:type="dxa"/>
            <w:vAlign w:val="bottom"/>
            <w:gridSpan w:val="2"/>
          </w:tcPr>
          <w:p>
            <w:pPr>
              <w:spacing w:after="0"/>
              <w:rPr>
                <w:sz w:val="20"/>
                <w:szCs w:val="20"/>
                <w:color w:val="auto"/>
              </w:rPr>
            </w:pPr>
            <w:r>
              <w:rPr>
                <w:rFonts w:ascii="Arial" w:cs="Arial" w:eastAsia="Arial" w:hAnsi="Arial"/>
                <w:sz w:val="18"/>
                <w:szCs w:val="18"/>
                <w:color w:val="auto"/>
              </w:rPr>
              <w:t>Gain on sale of real estate</w:t>
            </w:r>
          </w:p>
        </w:tc>
        <w:tc>
          <w:tcPr>
            <w:tcW w:w="80" w:type="dxa"/>
            <w:vAlign w:val="bottom"/>
          </w:tcPr>
          <w:p>
            <w:pPr>
              <w:spacing w:after="0"/>
              <w:rPr>
                <w:sz w:val="18"/>
                <w:szCs w:val="18"/>
                <w:color w:val="auto"/>
              </w:rPr>
            </w:pPr>
          </w:p>
        </w:tc>
        <w:tc>
          <w:tcPr>
            <w:tcW w:w="680" w:type="dxa"/>
            <w:vAlign w:val="bottom"/>
            <w:gridSpan w:val="3"/>
          </w:tcPr>
          <w:p>
            <w:pPr>
              <w:jc w:val="right"/>
              <w:ind w:right="52"/>
              <w:spacing w:after="0"/>
              <w:rPr>
                <w:sz w:val="20"/>
                <w:szCs w:val="20"/>
                <w:color w:val="auto"/>
              </w:rPr>
            </w:pPr>
            <w:r>
              <w:rPr>
                <w:rFonts w:ascii="Arial" w:cs="Arial" w:eastAsia="Arial" w:hAnsi="Arial"/>
                <w:sz w:val="18"/>
                <w:szCs w:val="18"/>
                <w:color w:val="auto"/>
              </w:rPr>
              <w:t>(383)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3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12"/>
              <w:spacing w:after="0"/>
              <w:rPr>
                <w:sz w:val="20"/>
                <w:szCs w:val="20"/>
                <w:color w:val="auto"/>
              </w:rPr>
            </w:pPr>
            <w:r>
              <w:rPr>
                <w:rFonts w:ascii="Arial" w:cs="Arial" w:eastAsia="Arial" w:hAnsi="Arial"/>
                <w:sz w:val="18"/>
                <w:szCs w:val="18"/>
                <w:color w:val="auto"/>
                <w:w w:val="91"/>
              </w:rPr>
              <w:t>(1,298)</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 of real estate assets</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26,563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58"/>
              <w:spacing w:after="0"/>
              <w:rPr>
                <w:sz w:val="20"/>
                <w:szCs w:val="20"/>
                <w:color w:val="auto"/>
              </w:rPr>
            </w:pPr>
            <w:r>
              <w:rPr>
                <w:rFonts w:ascii="Arial" w:cs="Arial" w:eastAsia="Arial" w:hAnsi="Arial"/>
                <w:sz w:val="18"/>
                <w:szCs w:val="18"/>
                <w:color w:val="auto"/>
                <w:w w:val="83"/>
              </w:rPr>
              <w:t>25,050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51,999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48,000</w:t>
            </w:r>
          </w:p>
        </w:tc>
        <w:tc>
          <w:tcPr>
            <w:tcW w:w="0" w:type="dxa"/>
            <w:vAlign w:val="bottom"/>
          </w:tcPr>
          <w:p>
            <w:pPr>
              <w:spacing w:after="0"/>
              <w:rPr>
                <w:sz w:val="1"/>
                <w:szCs w:val="1"/>
                <w:color w:val="auto"/>
              </w:rPr>
            </w:pPr>
          </w:p>
        </w:tc>
      </w:tr>
      <w:tr>
        <w:trPr>
          <w:trHeight w:val="216"/>
        </w:trPr>
        <w:tc>
          <w:tcPr>
            <w:tcW w:w="7940" w:type="dxa"/>
            <w:vAlign w:val="bottom"/>
            <w:gridSpan w:val="2"/>
          </w:tcPr>
          <w:p>
            <w:pPr>
              <w:spacing w:after="0"/>
              <w:rPr>
                <w:sz w:val="20"/>
                <w:szCs w:val="20"/>
                <w:color w:val="auto"/>
              </w:rPr>
            </w:pPr>
            <w:r>
              <w:rPr>
                <w:rFonts w:ascii="Arial" w:cs="Arial" w:eastAsia="Arial" w:hAnsi="Arial"/>
                <w:sz w:val="18"/>
                <w:szCs w:val="18"/>
                <w:color w:val="auto"/>
              </w:rPr>
              <w:t>Amortization of initial direct costs of leases</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2,515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58"/>
              <w:spacing w:after="0"/>
              <w:rPr>
                <w:sz w:val="20"/>
                <w:szCs w:val="20"/>
                <w:color w:val="auto"/>
              </w:rPr>
            </w:pPr>
            <w:r>
              <w:rPr>
                <w:rFonts w:ascii="Arial" w:cs="Arial" w:eastAsia="Arial" w:hAnsi="Arial"/>
                <w:sz w:val="18"/>
                <w:szCs w:val="18"/>
                <w:color w:val="auto"/>
              </w:rPr>
              <w:t>2,283</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5,182</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4,305</w:t>
            </w: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of joint venture real estate assets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58"/>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0"/>
        </w:trPr>
        <w:tc>
          <w:tcPr>
            <w:tcW w:w="7940" w:type="dxa"/>
            <w:vAlign w:val="bottom"/>
            <w:gridSpan w:val="2"/>
            <w:vMerge w:val="restart"/>
          </w:tcPr>
          <w:p>
            <w:pPr>
              <w:ind w:left="440"/>
              <w:spacing w:after="0"/>
              <w:rPr>
                <w:sz w:val="20"/>
                <w:szCs w:val="20"/>
                <w:color w:val="auto"/>
              </w:rPr>
            </w:pPr>
            <w:r>
              <w:rPr>
                <w:rFonts w:ascii="Arial" w:cs="Arial" w:eastAsia="Arial" w:hAnsi="Arial"/>
                <w:sz w:val="18"/>
                <w:szCs w:val="18"/>
                <w:color w:val="auto"/>
              </w:rPr>
              <w:t>Funds from operations</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94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57,449</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58"/>
              <w:spacing w:after="0"/>
              <w:rPr>
                <w:sz w:val="20"/>
                <w:szCs w:val="20"/>
                <w:color w:val="auto"/>
              </w:rPr>
            </w:pPr>
            <w:r>
              <w:rPr>
                <w:rFonts w:ascii="Arial" w:cs="Arial" w:eastAsia="Arial" w:hAnsi="Arial"/>
                <w:sz w:val="18"/>
                <w:szCs w:val="18"/>
                <w:color w:val="auto"/>
                <w:w w:val="83"/>
              </w:rPr>
              <w:t>56,638</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95,475</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111,926</w:t>
            </w:r>
          </w:p>
        </w:tc>
        <w:tc>
          <w:tcPr>
            <w:tcW w:w="0" w:type="dxa"/>
            <w:vAlign w:val="bottom"/>
          </w:tcPr>
          <w:p>
            <w:pPr>
              <w:spacing w:after="0"/>
              <w:rPr>
                <w:sz w:val="1"/>
                <w:szCs w:val="1"/>
                <w:color w:val="auto"/>
              </w:rPr>
            </w:pPr>
          </w:p>
        </w:tc>
      </w:tr>
      <w:tr>
        <w:trPr>
          <w:trHeight w:val="218"/>
        </w:trPr>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on preferred stock</w:t>
            </w: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52"/>
              <w:spacing w:after="0"/>
              <w:rPr>
                <w:sz w:val="20"/>
                <w:szCs w:val="20"/>
                <w:color w:val="auto"/>
              </w:rPr>
            </w:pPr>
            <w:r>
              <w:rPr>
                <w:rFonts w:ascii="Arial" w:cs="Arial" w:eastAsia="Arial" w:hAnsi="Arial"/>
                <w:sz w:val="18"/>
                <w:szCs w:val="18"/>
                <w:color w:val="auto"/>
              </w:rPr>
              <w:t>(135)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98"/>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(271)</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7940" w:type="dxa"/>
            <w:vAlign w:val="bottom"/>
            <w:gridSpan w:val="2"/>
          </w:tcPr>
          <w:p>
            <w:pPr>
              <w:spacing w:after="0"/>
              <w:rPr>
                <w:sz w:val="20"/>
                <w:szCs w:val="20"/>
                <w:color w:val="auto"/>
              </w:rPr>
            </w:pPr>
            <w:r>
              <w:rPr>
                <w:rFonts w:ascii="Arial" w:cs="Arial" w:eastAsia="Arial" w:hAnsi="Arial"/>
                <w:sz w:val="18"/>
                <w:szCs w:val="18"/>
                <w:color w:val="auto"/>
              </w:rPr>
              <w:t>Income attributable to operating partnership units</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241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58"/>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484</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attributable to unvested shares</w:t>
            </w: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52"/>
              <w:spacing w:after="0"/>
              <w:rPr>
                <w:sz w:val="20"/>
                <w:szCs w:val="20"/>
                <w:color w:val="auto"/>
              </w:rPr>
            </w:pPr>
            <w:r>
              <w:rPr>
                <w:rFonts w:ascii="Arial" w:cs="Arial" w:eastAsia="Arial" w:hAnsi="Arial"/>
                <w:sz w:val="18"/>
                <w:szCs w:val="18"/>
                <w:color w:val="auto"/>
              </w:rPr>
              <w:t>(189)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98"/>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(314)</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0"/>
        </w:trPr>
        <w:tc>
          <w:tcPr>
            <w:tcW w:w="7940" w:type="dxa"/>
            <w:vAlign w:val="bottom"/>
            <w:gridSpan w:val="2"/>
            <w:vMerge w:val="restart"/>
          </w:tcPr>
          <w:p>
            <w:pPr>
              <w:ind w:left="440"/>
              <w:spacing w:after="0"/>
              <w:rPr>
                <w:sz w:val="20"/>
                <w:szCs w:val="20"/>
                <w:color w:val="auto"/>
              </w:rPr>
            </w:pPr>
            <w:r>
              <w:rPr>
                <w:rFonts w:ascii="Arial" w:cs="Arial" w:eastAsia="Arial" w:hAnsi="Arial"/>
                <w:sz w:val="18"/>
                <w:szCs w:val="18"/>
                <w:color w:val="auto"/>
              </w:rPr>
              <w:t>Funds from operations available for common shareholders (2)</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94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57,366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gridSpan w:val="2"/>
          </w:tcPr>
          <w:p>
            <w:pPr>
              <w:jc w:val="right"/>
              <w:ind w:right="258"/>
              <w:spacing w:after="0"/>
              <w:rPr>
                <w:sz w:val="20"/>
                <w:szCs w:val="20"/>
                <w:color w:val="auto"/>
              </w:rPr>
            </w:pPr>
            <w:r>
              <w:rPr>
                <w:rFonts w:ascii="Arial" w:cs="Arial" w:eastAsia="Arial" w:hAnsi="Arial"/>
                <w:sz w:val="18"/>
                <w:szCs w:val="18"/>
                <w:color w:val="auto"/>
                <w:w w:val="83"/>
              </w:rPr>
              <w:t>56,533</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95,374</w:t>
            </w:r>
          </w:p>
        </w:tc>
        <w:tc>
          <w:tcPr>
            <w:tcW w:w="3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111,729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number of common shares, diluted (1)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59,414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58"/>
              <w:spacing w:after="0"/>
              <w:rPr>
                <w:sz w:val="20"/>
                <w:szCs w:val="20"/>
                <w:color w:val="auto"/>
              </w:rPr>
            </w:pPr>
            <w:r>
              <w:rPr>
                <w:rFonts w:ascii="Arial" w:cs="Arial" w:eastAsia="Arial" w:hAnsi="Arial"/>
                <w:sz w:val="18"/>
                <w:szCs w:val="18"/>
                <w:color w:val="auto"/>
                <w:w w:val="83"/>
              </w:rPr>
              <w:t>59,284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59,377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59,222</w:t>
            </w:r>
          </w:p>
        </w:tc>
        <w:tc>
          <w:tcPr>
            <w:tcW w:w="0" w:type="dxa"/>
            <w:vAlign w:val="bottom"/>
          </w:tcPr>
          <w:p>
            <w:pPr>
              <w:spacing w:after="0"/>
              <w:rPr>
                <w:sz w:val="1"/>
                <w:szCs w:val="1"/>
                <w:color w:val="auto"/>
              </w:rPr>
            </w:pPr>
          </w:p>
        </w:tc>
      </w:tr>
      <w:tr>
        <w:trPr>
          <w:trHeight w:val="20"/>
        </w:trPr>
        <w:tc>
          <w:tcPr>
            <w:tcW w:w="7940" w:type="dxa"/>
            <w:vAlign w:val="bottom"/>
            <w:gridSpan w:val="2"/>
            <w:vMerge w:val="restart"/>
          </w:tcPr>
          <w:p>
            <w:pPr>
              <w:spacing w:after="0"/>
              <w:rPr>
                <w:sz w:val="20"/>
                <w:szCs w:val="20"/>
                <w:color w:val="auto"/>
              </w:rPr>
            </w:pPr>
            <w:r>
              <w:rPr>
                <w:rFonts w:ascii="Arial" w:cs="Arial" w:eastAsia="Arial" w:hAnsi="Arial"/>
                <w:sz w:val="18"/>
                <w:szCs w:val="18"/>
                <w:color w:val="auto"/>
              </w:rPr>
              <w:t>Funds from operations available for common shareholders, per diluted share (2)</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940" w:type="dxa"/>
            <w:vAlign w:val="bottom"/>
            <w:gridSpan w:val="2"/>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0.97</w:t>
            </w:r>
          </w:p>
        </w:tc>
        <w:tc>
          <w:tcPr>
            <w:tcW w:w="160" w:type="dxa"/>
            <w:vAlign w:val="bottom"/>
          </w:tcPr>
          <w:p>
            <w:pPr>
              <w:spacing w:after="0"/>
              <w:rPr>
                <w:sz w:val="18"/>
                <w:szCs w:val="18"/>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58"/>
              <w:spacing w:after="0"/>
              <w:rPr>
                <w:sz w:val="20"/>
                <w:szCs w:val="20"/>
                <w:color w:val="auto"/>
              </w:rPr>
            </w:pPr>
            <w:r>
              <w:rPr>
                <w:rFonts w:ascii="Arial" w:cs="Arial" w:eastAsia="Arial" w:hAnsi="Arial"/>
                <w:sz w:val="18"/>
                <w:szCs w:val="18"/>
                <w:color w:val="auto"/>
              </w:rPr>
              <w:t>0.95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1.61</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7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jc w:val="both"/>
        <w:ind w:left="460" w:right="280" w:hanging="452"/>
        <w:spacing w:after="0" w:line="253"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weighted average common shares used to compute FFO per diluted common share includes operating partnership units that were excluded from the computation of diluted EPS. Conversion of these operating partnership units is dilutive in the computation of FFO per diluted common share but is anti-dilutive for the computation of diluted EPS for the periods presented.</w:t>
      </w:r>
    </w:p>
    <w:p>
      <w:pPr>
        <w:ind w:left="460" w:right="360" w:hanging="452"/>
        <w:spacing w:after="0" w:line="302" w:lineRule="auto"/>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FFO and FFO per diluted share for the three and six months ended June 30, 2009, include a $0.1 million and a $20.8 million charge, respectively, for increasing the accrual for litigation regarding a parcel of land located adjacent to Santana Row as well as other costs related to the litigation and appeal process. See Note F to the consolidated financial statements in this Form 10-Q for further discussion on the litigation.</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Our use of financial instruments, such as debt instruments, subjects us to market risk which may affect our future earnings and cash flows, as well as the fair value of our assets. Market risk generally refers to the risk of loss from changes in interest rates and market prices. We manage our market risk by attempting to match anticipated inflow of cash from our operating, investing and financing activities with anticipated outflow of cash to fund debt payments, dividends to common and preferred shareholders, investments, capital expenditures and other cash requirements.</w:t>
      </w:r>
    </w:p>
    <w:p>
      <w:pPr>
        <w:spacing w:after="0" w:line="11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As of June 30, 2009, we were not party to any open derivative financial instruments. We may enter into certain types of derivative financial instruments to further reduce interest rate risk. We use interest rate protection and swap agreements, for example, to convert some of our variable rate debt to a fixed-rate basis or to hedge anticipated financing transactions. We use derivatives for hedging purposes rather than speculation and do not enter into financial instruments for trading purposes.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following discusses the effect of hypothetical changes in market rates of interest on interest expense for our variable rate debt and on the fair value of our total outstanding debt, including our fixed-rate debt. Interest rate risk amounts were determined by considering the impact of hypothetical interest rates on our debt. Quoted market prices were used to estimate the fair value of our marketable senior notes and debentures and discounted cash flow analysis is generally used to estimate the fair value of our mortgage and notes payable. Considerable judgment is necessary to estimate the fair value of financial instruments. This analysis does not purport to take into account all of the factors that may affect our debt, such as the effect that a changing interest rate environment could have on the overall level of economic activity or the action that our management might take to reduce our exposure to the change. This analysis assumes no change in our financial structure.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Fixed Interest Rate Debt</w:t>
      </w:r>
    </w:p>
    <w:p>
      <w:pPr>
        <w:spacing w:after="0" w:line="9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majority of our outstanding debt obligations (maturing at various times through 2031 or through 2106 including capital lease obligations) have fixed interest rates which limit the risk of fluctuating interest rates. However, interest rate fluctuations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may affect the fair value of our fixed rate debt instruments. At June 30, 2009, we had $1.5 billion of fixed-rate debt outstanding. If market interest rates on our fixed-rate debt instruments at June 30, 2009 had been 1.0% higher, the fair value of those debt instruments on that date would have decreased by approximately $53.4 million. If market interest rates on our fixed-rate debt instruments at June 30, 2009 had been 1.0% lower, the fair value of those debt instruments on that date would have increased by approximately $56.9 million.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Rate Debt</w:t>
      </w:r>
    </w:p>
    <w:p>
      <w:pPr>
        <w:spacing w:after="0" w:line="9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believe that our primary interest rate risk is due to fluctuations in interest rates on our variable rate debt. At June 30, 2009, we had $381.4 million of variable rate debt outstanding which consisted of a $372 million term loan which bears interest at LIBOR, subject to a 1.5% floor, plus 300 basis points and $9.4 million of municipal bonds. Based upon this amount of variable rate debt and the specific terms, if market interest rates increased 1.0%, our annual interest expense would increase by approximately $3.8 million, and our net income and cash flows for the year would decrease by approximately $3.8 million. Conversely, if market interest rates decreased 1.0%, our annual interest expense would decrease by approximately $0.3 million with a corresponding increase in our net income and cash flows for the year.</w:t>
      </w:r>
    </w:p>
    <w:p>
      <w:pPr>
        <w:spacing w:after="0" w:line="26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Periodic Evaluation and Conclusion of Disclosure Controls and Procedures</w:t>
      </w:r>
    </w:p>
    <w:p>
      <w:pPr>
        <w:spacing w:after="0" w:line="96" w:lineRule="exact"/>
        <w:rPr>
          <w:sz w:val="20"/>
          <w:szCs w:val="20"/>
          <w:color w:val="auto"/>
        </w:rPr>
      </w:pPr>
    </w:p>
    <w:p>
      <w:pPr>
        <w:ind w:right="280"/>
        <w:spacing w:after="0" w:line="318" w:lineRule="auto"/>
        <w:rPr>
          <w:sz w:val="20"/>
          <w:szCs w:val="20"/>
          <w:color w:val="auto"/>
        </w:rPr>
      </w:pPr>
      <w:r>
        <w:rPr>
          <w:rFonts w:ascii="Arial" w:cs="Arial" w:eastAsia="Arial" w:hAnsi="Arial"/>
          <w:sz w:val="15"/>
          <w:szCs w:val="15"/>
          <w:color w:val="auto"/>
        </w:rPr>
        <w:t>An evaluation has been performed, under the supervision and with the participation of our management, including our Chief Executive Officer and Chief Financial Officer, of the effectiveness of the design and operation of our disclosure controls and procedures as of June 30, 2009. Based on this evaluation, our management, including our Chief Executive Officer and Chief Financial Officer, concluded that our disclosure controls and procedures were effective as of June 30, 2009 to provide reasonable assurance that information required to be disclosed in our reports filed or submitted under the Securities Exchange Act of 1934 is recorded, processed, summarized and reported within the time periods specified in the rules and forms of the Securities and Exchange Commission.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There has been no change in our internal controls over financial reporting during the quarterly period covered by this report that has materially affected, or is reasonably likely to materially affect, our internal control over financial reporting.</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May 2003, a breach of contract action was filed against us which alleged that a one page document entitled “Final Proposal” constituted a ground lease of a parcel of property located adjacent to our Santana Row property and gave the plaintiff the option to require that we acquire the property at a price determined in accordance with a formula included in the “Final Proposal.” The “Final Proposal” explicitly stated that it was subject to approval of the terms and conditions of a formal agreement. A trial as to liability only was held in June 2006 and a jury rendered a verdict against us. A trial on the issue of damages was held in April 2008 and the court issued a tentative ruling in April 2009 awarding damages to the plaintiff of approximately $14.4 million plus interest. Based on this tentative ruling, we estimated interest could range from $2.1 million to $8.4 million. Accordingly, considering all the information available to us on May 6, 2009, when we filed our Form 10-Q for the three months ended March 31, 2009, our best estimate of damages, interest, and other costs was $21.4 million. Accordingly, we increased our accrual for the matter from $0.8 million at December 31, 2008, to $21.4 million at March 31, 2009. The increase in our accrual of $20.6 million is presented as a separate line item in our consolidated statement of operations.</w:t>
      </w:r>
    </w:p>
    <w:p>
      <w:pPr>
        <w:spacing w:after="0" w:line="12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In June 2009, the court issued a final judgment awarding damages of $15.9 million (including interest) plus costs of suit. In July 2009, we and the plaintiff both filed a notice of appeal. The plaintiff also filed reimbursement motions for $2.1 million of legal fees, expert fees, and court costs. We expect the appeal process will take in excess of a year to complete; all judgments will be stayed until completion of the appeals. Given the uncertainty surrounding the final outcome of the lawsuit, no further adjustment was made to the $21.4 million litigation provision accrual. During the three months ended June 30, 2009, we incurred additional legal and other costs related to the lawsuit and appeal process which are also included in the “litigation provision” line item in the consolidated statement of operations. Furthermore, we continue to believe that the “Final Proposal” which included express language that it was subject to formal documentation was not a binding contract and that we should have no liability whatsoever, and will vigorously defend our position as part of the appeal process.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There have been no material changes to the risk factors previously disclosed in our Annual Report for the year ended December 31, 2008 filed with the Securities and Exchange Commission on February 26, 2009 and amended on June 25, 2009. These factors include, but are not limited to, the following:</w:t>
      </w:r>
    </w:p>
    <w:p>
      <w:pPr>
        <w:spacing w:after="0" w:line="4"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risks that our tenants will not pay rent or that we may be unable to renew leases or re-let space at favorable rents as leases expire;</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risks that we may not be able to proceed with or obtain necessary approvals for any redevelopment or renovation project, and that any redevelopment or renovation projects that we do pursue may not perform as anticipated;</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risks that the number of properties we acquire for our own account, and therefore the amount of capital we invest in acquisitions, may be impacted by our real estate partnership;</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risks normally associated with the real estate industry, including risks that:</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occupancy levels at our properties and the amount of rent that we receive from our properties may be lower than expected,</w:t>
      </w:r>
    </w:p>
    <w:p>
      <w:pPr>
        <w:spacing w:after="0" w:line="90" w:lineRule="exact"/>
        <w:rPr>
          <w:rFonts w:ascii="Arial" w:cs="Arial" w:eastAsia="Arial" w:hAnsi="Arial"/>
          <w:sz w:val="18"/>
          <w:szCs w:val="18"/>
          <w:color w:val="auto"/>
        </w:rPr>
      </w:pPr>
    </w:p>
    <w:p>
      <w:pPr>
        <w:ind w:left="1480" w:right="100" w:hanging="446"/>
        <w:spacing w:after="0" w:line="268" w:lineRule="auto"/>
        <w:tabs>
          <w:tab w:leader="none" w:pos="14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completion of anticipated or ongoing property redevelopments or renovations may cost more, take more time to complete, or fail to perform as expected,</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new acquisitions may fail to perform as expected,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competition for acquisitions could result in increased prices for acquisitions,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environmental issues may develop at our properties and result in unanticipated costs,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because real estate is illiquid, we may not be able to sell properties when appropriate;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90" w:lineRule="exact"/>
        <w:rPr>
          <w:rFonts w:ascii="Arial" w:cs="Arial" w:eastAsia="Arial" w:hAnsi="Arial"/>
          <w:sz w:val="18"/>
          <w:szCs w:val="18"/>
          <w:color w:val="auto"/>
        </w:rPr>
      </w:pPr>
    </w:p>
    <w:p>
      <w:pPr>
        <w:ind w:left="900" w:right="140" w:hanging="325"/>
        <w:spacing w:after="0" w:line="259"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59" w:lineRule="exact"/>
        <w:rPr>
          <w:rFonts w:ascii="Arial" w:cs="Arial" w:eastAsia="Arial" w:hAnsi="Arial"/>
          <w:sz w:val="18"/>
          <w:szCs w:val="18"/>
          <w:color w:val="auto"/>
        </w:rPr>
      </w:pPr>
    </w:p>
    <w:p>
      <w:pPr>
        <w:ind w:left="900" w:right="120" w:hanging="325"/>
        <w:spacing w:after="0" w:line="259"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UNREGISTERED SALES OF EQUITY SECURITIES AND USE OF PROCEEDS</w:t>
      </w:r>
    </w:p>
    <w:p>
      <w:pPr>
        <w:spacing w:after="0" w:line="177"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During the three months ended June 30, 2009, we issued 13,275 unregistered shares at a weighted average price per share of $52.93 pursuant to our Dividend Reinvestment and Stock Purchase Plan (the “Plan”). Our registration statement on Form S-3 relating to the Plan expired on December 1, 2008. As a result, these shares were inadvertently sold under an expired registration statement and do not appear to qualify for an exemption from registration under the Securities Act of 1933, as amended. Accordingly, we filed a new registration statement on Form S-3 relating to the Plan on June 29, 2009.</w:t>
      </w:r>
    </w:p>
    <w:p>
      <w:pPr>
        <w:spacing w:after="0" w:line="113"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Under the terms of various operating partnership agreements of certain of our affiliated limited partnerships, the interests of limited partners in those limited partnerships may be redeemed, subject to certain conditions, for cash or an equivalent number of our common shares, at our option. On April 6, 2009, we redeemed 2,000 operating partnership units for cash.</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9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The annual meeting of shareholders was held on May 6, 2009 in Rockville, Maryland. The following table sets forth the matters presented for a vote by the shareholders and the votes cast for and against such matters:</w:t>
      </w:r>
    </w:p>
    <w:p>
      <w:pPr>
        <w:spacing w:after="0" w:line="156" w:lineRule="exact"/>
        <w:rPr>
          <w:sz w:val="20"/>
          <w:szCs w:val="20"/>
          <w:color w:val="auto"/>
        </w:rPr>
      </w:pPr>
    </w:p>
    <w:tbl>
      <w:tblPr>
        <w:tblLayout w:type="fixed"/>
        <w:tblInd w:w="4060" w:type="dxa"/>
        <w:tblCellMar>
          <w:top w:w="0" w:type="dxa"/>
          <w:left w:w="0" w:type="dxa"/>
          <w:bottom w:w="0" w:type="dxa"/>
          <w:right w:w="0" w:type="dxa"/>
        </w:tblCellMar>
      </w:tblPr>
      <w:tr>
        <w:trPr>
          <w:trHeight w:val="161"/>
        </w:trPr>
        <w:tc>
          <w:tcPr>
            <w:tcW w:w="2380" w:type="dxa"/>
            <w:vAlign w:val="bottom"/>
            <w:vMerge w:val="restart"/>
          </w:tcPr>
          <w:p>
            <w:pPr>
              <w:spacing w:after="0"/>
              <w:rPr>
                <w:sz w:val="20"/>
                <w:szCs w:val="20"/>
                <w:color w:val="auto"/>
              </w:rPr>
            </w:pPr>
            <w:r>
              <w:rPr>
                <w:rFonts w:ascii="Arial" w:cs="Arial" w:eastAsia="Arial" w:hAnsi="Arial"/>
                <w:sz w:val="14"/>
                <w:szCs w:val="14"/>
                <w:b w:val="1"/>
                <w:bCs w:val="1"/>
                <w:color w:val="auto"/>
              </w:rPr>
              <w:t>Matter</w:t>
            </w:r>
          </w:p>
        </w:tc>
        <w:tc>
          <w:tcPr>
            <w:tcW w:w="27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jc w:val="center"/>
              <w:ind w:left="52"/>
              <w:spacing w:after="0"/>
              <w:rPr>
                <w:sz w:val="20"/>
                <w:szCs w:val="20"/>
                <w:color w:val="auto"/>
              </w:rPr>
            </w:pPr>
            <w:r>
              <w:rPr>
                <w:rFonts w:ascii="Arial" w:cs="Arial" w:eastAsia="Arial" w:hAnsi="Arial"/>
                <w:sz w:val="14"/>
                <w:szCs w:val="14"/>
                <w:b w:val="1"/>
                <w:bCs w:val="1"/>
                <w:color w:val="auto"/>
                <w:w w:val="84"/>
              </w:rPr>
              <w:t>Abstentions/</w:t>
            </w:r>
          </w:p>
        </w:tc>
        <w:tc>
          <w:tcPr>
            <w:tcW w:w="0" w:type="dxa"/>
            <w:vAlign w:val="bottom"/>
          </w:tcPr>
          <w:p>
            <w:pPr>
              <w:spacing w:after="0"/>
              <w:rPr>
                <w:sz w:val="1"/>
                <w:szCs w:val="1"/>
                <w:color w:val="auto"/>
              </w:rPr>
            </w:pPr>
          </w:p>
        </w:tc>
      </w:tr>
      <w:tr>
        <w:trPr>
          <w:trHeight w:val="174"/>
        </w:trPr>
        <w:tc>
          <w:tcPr>
            <w:tcW w:w="2380" w:type="dxa"/>
            <w:vAlign w:val="bottom"/>
            <w:vMerge w:val="continue"/>
          </w:tcPr>
          <w:p>
            <w:pPr>
              <w:spacing w:after="0"/>
              <w:rPr>
                <w:sz w:val="15"/>
                <w:szCs w:val="15"/>
                <w:color w:val="auto"/>
              </w:rPr>
            </w:pPr>
          </w:p>
        </w:tc>
        <w:tc>
          <w:tcPr>
            <w:tcW w:w="2720" w:type="dxa"/>
            <w:vAlign w:val="bottom"/>
          </w:tcPr>
          <w:p>
            <w:pPr>
              <w:ind w:left="1980"/>
              <w:spacing w:after="0"/>
              <w:rPr>
                <w:sz w:val="20"/>
                <w:szCs w:val="20"/>
                <w:color w:val="auto"/>
              </w:rPr>
            </w:pPr>
            <w:r>
              <w:rPr>
                <w:rFonts w:ascii="Arial" w:cs="Arial" w:eastAsia="Arial" w:hAnsi="Arial"/>
                <w:sz w:val="14"/>
                <w:szCs w:val="14"/>
                <w:b w:val="1"/>
                <w:bCs w:val="1"/>
                <w:color w:val="auto"/>
              </w:rPr>
              <w:t>Votes For</w:t>
            </w:r>
          </w:p>
        </w:tc>
        <w:tc>
          <w:tcPr>
            <w:tcW w:w="1080" w:type="dxa"/>
            <w:vAlign w:val="bottom"/>
          </w:tcPr>
          <w:p>
            <w:pPr>
              <w:ind w:left="180"/>
              <w:spacing w:after="0"/>
              <w:rPr>
                <w:sz w:val="20"/>
                <w:szCs w:val="20"/>
                <w:color w:val="auto"/>
              </w:rPr>
            </w:pPr>
            <w:r>
              <w:rPr>
                <w:rFonts w:ascii="Arial" w:cs="Arial" w:eastAsia="Arial" w:hAnsi="Arial"/>
                <w:sz w:val="14"/>
                <w:szCs w:val="14"/>
                <w:b w:val="1"/>
                <w:bCs w:val="1"/>
                <w:u w:val="single" w:color="auto"/>
                <w:color w:val="auto"/>
                <w:w w:val="94"/>
              </w:rPr>
              <w:t>Votes Against</w:t>
            </w:r>
          </w:p>
        </w:tc>
        <w:tc>
          <w:tcPr>
            <w:tcW w:w="1160" w:type="dxa"/>
            <w:vAlign w:val="bottom"/>
          </w:tcPr>
          <w:p>
            <w:pPr>
              <w:jc w:val="center"/>
              <w:ind w:left="52"/>
              <w:spacing w:after="0"/>
              <w:rPr>
                <w:sz w:val="20"/>
                <w:szCs w:val="20"/>
                <w:color w:val="auto"/>
              </w:rPr>
            </w:pPr>
            <w:r>
              <w:rPr>
                <w:rFonts w:ascii="Arial" w:cs="Arial" w:eastAsia="Arial" w:hAnsi="Arial"/>
                <w:sz w:val="14"/>
                <w:szCs w:val="14"/>
                <w:b w:val="1"/>
                <w:bCs w:val="1"/>
                <w:u w:val="single" w:color="auto"/>
                <w:color w:val="auto"/>
                <w:w w:val="87"/>
              </w:rPr>
              <w:t>Broker Non-Votes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-7620</wp:posOffset>
            </wp:positionV>
            <wp:extent cx="55054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505450" cy="8890"/>
                    </a:xfrm>
                    <a:prstGeom prst="rect">
                      <a:avLst/>
                    </a:prstGeom>
                    <a:noFill/>
                  </pic:spPr>
                </pic:pic>
              </a:graphicData>
            </a:graphic>
          </wp:anchor>
        </w:drawing>
      </w:r>
    </w:p>
    <w:p>
      <w:pPr>
        <w:ind w:left="440" w:hanging="432"/>
        <w:spacing w:after="0"/>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Election of Gail P. Steinel as a Class I Independent Trustee with a term serving until the 2012 Annual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2743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tbl>
      <w:tblPr>
        <w:tblLayout w:type="fixed"/>
        <w:tblInd w:w="440" w:type="dxa"/>
        <w:tblCellMar>
          <w:top w:w="0" w:type="dxa"/>
          <w:left w:w="0" w:type="dxa"/>
          <w:bottom w:w="0" w:type="dxa"/>
          <w:right w:w="0" w:type="dxa"/>
        </w:tblCellMar>
      </w:tblPr>
      <w:tr>
        <w:trPr>
          <w:trHeight w:val="222"/>
        </w:trPr>
        <w:tc>
          <w:tcPr>
            <w:tcW w:w="4240" w:type="dxa"/>
            <w:vAlign w:val="bottom"/>
          </w:tcPr>
          <w:p>
            <w:pPr>
              <w:spacing w:after="0"/>
              <w:rPr>
                <w:sz w:val="20"/>
                <w:szCs w:val="20"/>
                <w:color w:val="auto"/>
              </w:rPr>
            </w:pPr>
            <w:r>
              <w:rPr>
                <w:rFonts w:ascii="Arial" w:cs="Arial" w:eastAsia="Arial" w:hAnsi="Arial"/>
                <w:sz w:val="18"/>
                <w:szCs w:val="18"/>
                <w:color w:val="auto"/>
              </w:rPr>
              <w:t>Meeting</w:t>
            </w:r>
          </w:p>
        </w:tc>
        <w:tc>
          <w:tcPr>
            <w:tcW w:w="4660" w:type="dxa"/>
            <w:vAlign w:val="bottom"/>
          </w:tcPr>
          <w:p>
            <w:pPr>
              <w:jc w:val="right"/>
              <w:ind w:right="132"/>
              <w:spacing w:after="0"/>
              <w:rPr>
                <w:sz w:val="20"/>
                <w:szCs w:val="20"/>
                <w:color w:val="auto"/>
              </w:rPr>
            </w:pPr>
            <w:r>
              <w:rPr>
                <w:rFonts w:ascii="Arial" w:cs="Arial" w:eastAsia="Arial" w:hAnsi="Arial"/>
                <w:sz w:val="18"/>
                <w:szCs w:val="18"/>
                <w:color w:val="auto"/>
              </w:rPr>
              <w:t>50,213,808</w:t>
            </w:r>
          </w:p>
        </w:tc>
        <w:tc>
          <w:tcPr>
            <w:tcW w:w="1200" w:type="dxa"/>
            <w:vAlign w:val="bottom"/>
          </w:tcPr>
          <w:p>
            <w:pPr>
              <w:jc w:val="right"/>
              <w:ind w:right="312"/>
              <w:spacing w:after="0"/>
              <w:rPr>
                <w:sz w:val="20"/>
                <w:szCs w:val="20"/>
                <w:color w:val="auto"/>
              </w:rPr>
            </w:pPr>
            <w:r>
              <w:rPr>
                <w:rFonts w:ascii="Arial" w:cs="Arial" w:eastAsia="Arial" w:hAnsi="Arial"/>
                <w:sz w:val="18"/>
                <w:szCs w:val="18"/>
                <w:color w:val="auto"/>
              </w:rPr>
              <w:t>390,749</w:t>
            </w:r>
          </w:p>
        </w:tc>
        <w:tc>
          <w:tcPr>
            <w:tcW w:w="880" w:type="dxa"/>
            <w:vAlign w:val="bottom"/>
          </w:tcPr>
          <w:p>
            <w:pPr>
              <w:jc w:val="right"/>
              <w:spacing w:after="0"/>
              <w:rPr>
                <w:sz w:val="20"/>
                <w:szCs w:val="20"/>
                <w:color w:val="auto"/>
              </w:rPr>
            </w:pPr>
            <w:r>
              <w:rPr>
                <w:rFonts w:ascii="Arial" w:cs="Arial" w:eastAsia="Arial" w:hAnsi="Arial"/>
                <w:sz w:val="18"/>
                <w:szCs w:val="18"/>
                <w:color w:val="auto"/>
              </w:rPr>
              <w:t>71,469</w:t>
            </w:r>
          </w:p>
        </w:tc>
      </w:tr>
    </w:tbl>
    <w:p>
      <w:pPr>
        <w:ind w:left="440" w:hanging="432"/>
        <w:spacing w:after="0"/>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Election of Joseph S. Vassalluzo as a Class I Independent Trustee and Non-Executive Chairman of the</w:t>
      </w:r>
    </w:p>
    <w:p>
      <w:pPr>
        <w:spacing w:after="0" w:line="3" w:lineRule="exact"/>
        <w:rPr>
          <w:sz w:val="20"/>
          <w:szCs w:val="20"/>
          <w:color w:val="auto"/>
        </w:rPr>
      </w:pPr>
    </w:p>
    <w:tbl>
      <w:tblPr>
        <w:tblLayout w:type="fixed"/>
        <w:tblInd w:w="440" w:type="dxa"/>
        <w:tblCellMar>
          <w:top w:w="0" w:type="dxa"/>
          <w:left w:w="0" w:type="dxa"/>
          <w:bottom w:w="0" w:type="dxa"/>
          <w:right w:w="0" w:type="dxa"/>
        </w:tblCellMar>
      </w:tblPr>
      <w:tr>
        <w:trPr>
          <w:trHeight w:val="222"/>
        </w:trPr>
        <w:tc>
          <w:tcPr>
            <w:tcW w:w="5960" w:type="dxa"/>
            <w:vAlign w:val="bottom"/>
          </w:tcPr>
          <w:p>
            <w:pPr>
              <w:spacing w:after="0"/>
              <w:rPr>
                <w:sz w:val="20"/>
                <w:szCs w:val="20"/>
                <w:color w:val="auto"/>
              </w:rPr>
            </w:pPr>
            <w:r>
              <w:rPr>
                <w:rFonts w:ascii="Arial" w:cs="Arial" w:eastAsia="Arial" w:hAnsi="Arial"/>
                <w:sz w:val="18"/>
                <w:szCs w:val="18"/>
                <w:color w:val="auto"/>
              </w:rPr>
              <w:t>Board with a term serving until the 2012 Annual Meeting</w:t>
            </w:r>
          </w:p>
        </w:tc>
        <w:tc>
          <w:tcPr>
            <w:tcW w:w="2940" w:type="dxa"/>
            <w:vAlign w:val="bottom"/>
          </w:tcPr>
          <w:p>
            <w:pPr>
              <w:jc w:val="right"/>
              <w:ind w:right="132"/>
              <w:spacing w:after="0"/>
              <w:rPr>
                <w:sz w:val="20"/>
                <w:szCs w:val="20"/>
                <w:color w:val="auto"/>
              </w:rPr>
            </w:pPr>
            <w:r>
              <w:rPr>
                <w:rFonts w:ascii="Arial" w:cs="Arial" w:eastAsia="Arial" w:hAnsi="Arial"/>
                <w:sz w:val="18"/>
                <w:szCs w:val="18"/>
                <w:color w:val="auto"/>
              </w:rPr>
              <w:t>50,228,361</w:t>
            </w:r>
          </w:p>
        </w:tc>
        <w:tc>
          <w:tcPr>
            <w:tcW w:w="1200" w:type="dxa"/>
            <w:vAlign w:val="bottom"/>
          </w:tcPr>
          <w:p>
            <w:pPr>
              <w:jc w:val="right"/>
              <w:ind w:right="312"/>
              <w:spacing w:after="0"/>
              <w:rPr>
                <w:sz w:val="20"/>
                <w:szCs w:val="20"/>
                <w:color w:val="auto"/>
              </w:rPr>
            </w:pPr>
            <w:r>
              <w:rPr>
                <w:rFonts w:ascii="Arial" w:cs="Arial" w:eastAsia="Arial" w:hAnsi="Arial"/>
                <w:sz w:val="18"/>
                <w:szCs w:val="18"/>
                <w:color w:val="auto"/>
              </w:rPr>
              <w:t>394,561</w:t>
            </w:r>
          </w:p>
        </w:tc>
        <w:tc>
          <w:tcPr>
            <w:tcW w:w="880" w:type="dxa"/>
            <w:vAlign w:val="bottom"/>
          </w:tcPr>
          <w:p>
            <w:pPr>
              <w:jc w:val="right"/>
              <w:spacing w:after="0"/>
              <w:rPr>
                <w:sz w:val="20"/>
                <w:szCs w:val="20"/>
                <w:color w:val="auto"/>
              </w:rPr>
            </w:pPr>
            <w:r>
              <w:rPr>
                <w:rFonts w:ascii="Arial" w:cs="Arial" w:eastAsia="Arial" w:hAnsi="Arial"/>
                <w:sz w:val="18"/>
                <w:szCs w:val="18"/>
                <w:color w:val="auto"/>
              </w:rPr>
              <w:t>53,104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2743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left="440" w:hanging="432"/>
        <w:spacing w:after="0"/>
        <w:tabs>
          <w:tab w:leader="none" w:pos="4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ratification of the appointment of Grant Thornton LLP as the Trust’s independent registered public</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00" w:type="dxa"/>
            <w:vAlign w:val="bottom"/>
          </w:tcPr>
          <w:p>
            <w:pPr>
              <w:ind w:left="440"/>
              <w:spacing w:after="0"/>
              <w:rPr>
                <w:sz w:val="20"/>
                <w:szCs w:val="20"/>
                <w:color w:val="auto"/>
              </w:rPr>
            </w:pPr>
            <w:r>
              <w:rPr>
                <w:rFonts w:ascii="Arial" w:cs="Arial" w:eastAsia="Arial" w:hAnsi="Arial"/>
                <w:sz w:val="18"/>
                <w:szCs w:val="18"/>
                <w:color w:val="auto"/>
              </w:rPr>
              <w:t>accounting firm for the year ending December 31, 2009</w:t>
            </w:r>
          </w:p>
        </w:tc>
        <w:tc>
          <w:tcPr>
            <w:tcW w:w="1940" w:type="dxa"/>
            <w:vAlign w:val="bottom"/>
          </w:tcPr>
          <w:p>
            <w:pPr>
              <w:jc w:val="right"/>
              <w:ind w:right="132"/>
              <w:spacing w:after="0"/>
              <w:rPr>
                <w:sz w:val="20"/>
                <w:szCs w:val="20"/>
                <w:color w:val="auto"/>
              </w:rPr>
            </w:pPr>
            <w:r>
              <w:rPr>
                <w:rFonts w:ascii="Arial" w:cs="Arial" w:eastAsia="Arial" w:hAnsi="Arial"/>
                <w:sz w:val="18"/>
                <w:szCs w:val="18"/>
                <w:color w:val="auto"/>
              </w:rPr>
              <w:t>50,124,962</w:t>
            </w:r>
          </w:p>
        </w:tc>
        <w:tc>
          <w:tcPr>
            <w:tcW w:w="1160" w:type="dxa"/>
            <w:vAlign w:val="bottom"/>
          </w:tcPr>
          <w:p>
            <w:pPr>
              <w:jc w:val="right"/>
              <w:ind w:right="272"/>
              <w:spacing w:after="0"/>
              <w:rPr>
                <w:sz w:val="20"/>
                <w:szCs w:val="20"/>
                <w:color w:val="auto"/>
              </w:rPr>
            </w:pPr>
            <w:r>
              <w:rPr>
                <w:rFonts w:ascii="Arial" w:cs="Arial" w:eastAsia="Arial" w:hAnsi="Arial"/>
                <w:sz w:val="18"/>
                <w:szCs w:val="18"/>
                <w:color w:val="auto"/>
              </w:rPr>
              <w:t>496,227</w:t>
            </w:r>
          </w:p>
        </w:tc>
        <w:tc>
          <w:tcPr>
            <w:tcW w:w="920" w:type="dxa"/>
            <w:vAlign w:val="bottom"/>
          </w:tcPr>
          <w:p>
            <w:pPr>
              <w:jc w:val="right"/>
              <w:spacing w:after="0"/>
              <w:rPr>
                <w:sz w:val="20"/>
                <w:szCs w:val="20"/>
                <w:color w:val="auto"/>
              </w:rPr>
            </w:pPr>
            <w:r>
              <w:rPr>
                <w:rFonts w:ascii="Arial" w:cs="Arial" w:eastAsia="Arial" w:hAnsi="Arial"/>
                <w:sz w:val="18"/>
                <w:szCs w:val="18"/>
                <w:color w:val="auto"/>
              </w:rPr>
              <w:t>54,833</w:t>
            </w:r>
          </w:p>
        </w:tc>
      </w:tr>
      <w:tr>
        <w:trPr>
          <w:trHeight w:val="222"/>
        </w:trPr>
        <w:tc>
          <w:tcPr>
            <w:tcW w:w="7400" w:type="dxa"/>
            <w:vAlign w:val="bottom"/>
          </w:tcPr>
          <w:p>
            <w:pPr>
              <w:spacing w:after="0"/>
              <w:rPr>
                <w:sz w:val="20"/>
                <w:szCs w:val="20"/>
                <w:color w:val="auto"/>
              </w:rPr>
            </w:pPr>
            <w:r>
              <w:rPr>
                <w:rFonts w:ascii="Arial" w:cs="Arial" w:eastAsia="Arial" w:hAnsi="Arial"/>
                <w:sz w:val="18"/>
                <w:szCs w:val="18"/>
                <w:color w:val="auto"/>
              </w:rPr>
              <w:t>(4)   The amendment of the Trust’s Declaration of Trust to declassify the Board of Trustees</w:t>
            </w:r>
          </w:p>
        </w:tc>
        <w:tc>
          <w:tcPr>
            <w:tcW w:w="1940" w:type="dxa"/>
            <w:vAlign w:val="bottom"/>
          </w:tcPr>
          <w:p>
            <w:pPr>
              <w:jc w:val="right"/>
              <w:ind w:right="132"/>
              <w:spacing w:after="0"/>
              <w:rPr>
                <w:sz w:val="20"/>
                <w:szCs w:val="20"/>
                <w:color w:val="auto"/>
              </w:rPr>
            </w:pPr>
            <w:r>
              <w:rPr>
                <w:rFonts w:ascii="Arial" w:cs="Arial" w:eastAsia="Arial" w:hAnsi="Arial"/>
                <w:sz w:val="18"/>
                <w:szCs w:val="18"/>
                <w:color w:val="auto"/>
              </w:rPr>
              <w:t>49,573,073</w:t>
            </w:r>
          </w:p>
        </w:tc>
        <w:tc>
          <w:tcPr>
            <w:tcW w:w="1160" w:type="dxa"/>
            <w:vAlign w:val="bottom"/>
          </w:tcPr>
          <w:p>
            <w:pPr>
              <w:jc w:val="right"/>
              <w:ind w:right="272"/>
              <w:spacing w:after="0"/>
              <w:rPr>
                <w:sz w:val="20"/>
                <w:szCs w:val="20"/>
                <w:color w:val="auto"/>
              </w:rPr>
            </w:pPr>
            <w:r>
              <w:rPr>
                <w:rFonts w:ascii="Arial" w:cs="Arial" w:eastAsia="Arial" w:hAnsi="Arial"/>
                <w:sz w:val="18"/>
                <w:szCs w:val="18"/>
                <w:color w:val="auto"/>
              </w:rPr>
              <w:t>923,860</w:t>
            </w:r>
          </w:p>
        </w:tc>
        <w:tc>
          <w:tcPr>
            <w:tcW w:w="920" w:type="dxa"/>
            <w:vAlign w:val="bottom"/>
          </w:tcPr>
          <w:p>
            <w:pPr>
              <w:jc w:val="right"/>
              <w:spacing w:after="0"/>
              <w:rPr>
                <w:sz w:val="20"/>
                <w:szCs w:val="20"/>
                <w:color w:val="auto"/>
              </w:rPr>
            </w:pPr>
            <w:r>
              <w:rPr>
                <w:rFonts w:ascii="Arial" w:cs="Arial" w:eastAsia="Arial" w:hAnsi="Arial"/>
                <w:sz w:val="18"/>
                <w:szCs w:val="18"/>
                <w:color w:val="auto"/>
              </w:rPr>
              <w:t>179,086</w:t>
            </w:r>
          </w:p>
        </w:tc>
      </w:tr>
    </w:tbl>
    <w:p>
      <w:pPr>
        <w:ind w:left="440" w:hanging="432"/>
        <w:spacing w:after="0"/>
        <w:tabs>
          <w:tab w:leader="none" w:pos="4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ratification of an amendment to our shareholders rights plan to extend the term and add a qualified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2743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tbl>
      <w:tblPr>
        <w:tblLayout w:type="fixed"/>
        <w:tblInd w:w="440" w:type="dxa"/>
        <w:tblCellMar>
          <w:top w:w="0" w:type="dxa"/>
          <w:left w:w="0" w:type="dxa"/>
          <w:bottom w:w="0" w:type="dxa"/>
          <w:right w:w="0" w:type="dxa"/>
        </w:tblCellMar>
      </w:tblPr>
      <w:tr>
        <w:trPr>
          <w:trHeight w:val="222"/>
        </w:trPr>
        <w:tc>
          <w:tcPr>
            <w:tcW w:w="4280" w:type="dxa"/>
            <w:vAlign w:val="bottom"/>
          </w:tcPr>
          <w:p>
            <w:pPr>
              <w:spacing w:after="0"/>
              <w:rPr>
                <w:sz w:val="20"/>
                <w:szCs w:val="20"/>
                <w:color w:val="auto"/>
              </w:rPr>
            </w:pPr>
            <w:r>
              <w:rPr>
                <w:rFonts w:ascii="Arial" w:cs="Arial" w:eastAsia="Arial" w:hAnsi="Arial"/>
                <w:sz w:val="18"/>
                <w:szCs w:val="18"/>
                <w:color w:val="auto"/>
              </w:rPr>
              <w:t>provision</w:t>
            </w:r>
          </w:p>
        </w:tc>
        <w:tc>
          <w:tcPr>
            <w:tcW w:w="4520" w:type="dxa"/>
            <w:vAlign w:val="bottom"/>
          </w:tcPr>
          <w:p>
            <w:pPr>
              <w:jc w:val="right"/>
              <w:ind w:right="32"/>
              <w:spacing w:after="0"/>
              <w:rPr>
                <w:sz w:val="20"/>
                <w:szCs w:val="20"/>
                <w:color w:val="auto"/>
              </w:rPr>
            </w:pPr>
            <w:r>
              <w:rPr>
                <w:rFonts w:ascii="Arial" w:cs="Arial" w:eastAsia="Arial" w:hAnsi="Arial"/>
                <w:sz w:val="18"/>
                <w:szCs w:val="18"/>
                <w:color w:val="auto"/>
              </w:rPr>
              <w:t>33,199,171</w:t>
            </w:r>
          </w:p>
        </w:tc>
        <w:tc>
          <w:tcPr>
            <w:tcW w:w="1180" w:type="dxa"/>
            <w:vAlign w:val="bottom"/>
          </w:tcPr>
          <w:p>
            <w:pPr>
              <w:jc w:val="right"/>
              <w:ind w:right="192"/>
              <w:spacing w:after="0"/>
              <w:rPr>
                <w:sz w:val="20"/>
                <w:szCs w:val="20"/>
                <w:color w:val="auto"/>
              </w:rPr>
            </w:pPr>
            <w:r>
              <w:rPr>
                <w:rFonts w:ascii="Arial" w:cs="Arial" w:eastAsia="Arial" w:hAnsi="Arial"/>
                <w:sz w:val="18"/>
                <w:szCs w:val="18"/>
                <w:color w:val="auto"/>
                <w:w w:val="97"/>
              </w:rPr>
              <w:t>11,808,698</w:t>
            </w:r>
          </w:p>
        </w:tc>
        <w:tc>
          <w:tcPr>
            <w:tcW w:w="1000" w:type="dxa"/>
            <w:vAlign w:val="bottom"/>
          </w:tcPr>
          <w:p>
            <w:pPr>
              <w:jc w:val="right"/>
              <w:spacing w:after="0"/>
              <w:rPr>
                <w:sz w:val="20"/>
                <w:szCs w:val="20"/>
                <w:color w:val="auto"/>
              </w:rPr>
            </w:pPr>
            <w:r>
              <w:rPr>
                <w:rFonts w:ascii="Arial" w:cs="Arial" w:eastAsia="Arial" w:hAnsi="Arial"/>
                <w:sz w:val="18"/>
                <w:szCs w:val="18"/>
                <w:color w:val="auto"/>
              </w:rPr>
              <w:t>5,668,157</w:t>
            </w:r>
          </w:p>
        </w:tc>
      </w:tr>
    </w:tbl>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The terms of office of the following Trustees continued after the meeting: Jon E. Bortz, David W. Faeder, Kristin Gamble, Warren M. Thompson and Donald C.</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Wood.</w:t>
      </w:r>
    </w:p>
    <w:p>
      <w:pPr>
        <w:spacing w:after="0" w:line="28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9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A list of exhibits to this Quarterly Report on Form 10-Q is set forth on the Exhibit Index immediately preceding such exhibits and is incorporated herein by reference.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authorized.</w:t>
      </w:r>
    </w:p>
    <w:p>
      <w:pPr>
        <w:spacing w:after="0" w:line="166" w:lineRule="exact"/>
        <w:rPr>
          <w:sz w:val="20"/>
          <w:szCs w:val="20"/>
          <w:color w:val="auto"/>
        </w:rPr>
      </w:pPr>
    </w:p>
    <w:p>
      <w:pPr>
        <w:ind w:left="6900"/>
        <w:spacing w:after="0"/>
        <w:rPr>
          <w:sz w:val="20"/>
          <w:szCs w:val="20"/>
          <w:color w:val="auto"/>
        </w:rPr>
      </w:pPr>
      <w:r>
        <w:rPr>
          <w:rFonts w:ascii="Arial" w:cs="Arial" w:eastAsia="Arial" w:hAnsi="Arial"/>
          <w:sz w:val="18"/>
          <w:szCs w:val="18"/>
          <w:b w:val="1"/>
          <w:bCs w:val="1"/>
          <w:color w:val="auto"/>
        </w:rPr>
        <w:t>FEDERAL REALTY INVESTMENT TRUST</w:t>
      </w:r>
    </w:p>
    <w:p>
      <w:pPr>
        <w:spacing w:after="0" w:line="231" w:lineRule="exact"/>
        <w:rPr>
          <w:sz w:val="20"/>
          <w:szCs w:val="20"/>
          <w:color w:val="auto"/>
        </w:rPr>
      </w:pPr>
    </w:p>
    <w:p>
      <w:pPr>
        <w:spacing w:after="0"/>
        <w:tabs>
          <w:tab w:leader="none" w:pos="7840" w:val="left"/>
          <w:tab w:leader="none" w:pos="8180" w:val="left"/>
        </w:tabs>
        <w:rPr>
          <w:sz w:val="20"/>
          <w:szCs w:val="20"/>
          <w:color w:val="auto"/>
        </w:rPr>
      </w:pPr>
      <w:r>
        <w:rPr>
          <w:rFonts w:ascii="Arial" w:cs="Arial" w:eastAsia="Arial" w:hAnsi="Arial"/>
          <w:sz w:val="18"/>
          <w:szCs w:val="18"/>
          <w:color w:val="auto"/>
        </w:rPr>
        <w:t>August 4, 2009</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0"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Donald C. Wood,</w:t>
      </w:r>
    </w:p>
    <w:p>
      <w:pPr>
        <w:spacing w:after="0" w:line="21"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9"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(Principal Executive Officer)</w:t>
      </w:r>
    </w:p>
    <w:p>
      <w:pPr>
        <w:spacing w:after="0" w:line="232" w:lineRule="exact"/>
        <w:rPr>
          <w:sz w:val="20"/>
          <w:szCs w:val="20"/>
          <w:color w:val="auto"/>
        </w:rPr>
      </w:pPr>
    </w:p>
    <w:p>
      <w:pPr>
        <w:spacing w:after="0"/>
        <w:tabs>
          <w:tab w:leader="none" w:pos="7780" w:val="left"/>
          <w:tab w:leader="none" w:pos="8100" w:val="left"/>
        </w:tabs>
        <w:rPr>
          <w:sz w:val="20"/>
          <w:szCs w:val="20"/>
          <w:color w:val="auto"/>
        </w:rPr>
      </w:pPr>
      <w:r>
        <w:rPr>
          <w:rFonts w:ascii="Arial" w:cs="Arial" w:eastAsia="Arial" w:hAnsi="Arial"/>
          <w:sz w:val="18"/>
          <w:szCs w:val="18"/>
          <w:color w:val="auto"/>
        </w:rPr>
        <w:t>August 4, 2009</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Andrew P. Blocher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0"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Andrew P. Blocher,</w:t>
      </w:r>
    </w:p>
    <w:p>
      <w:pPr>
        <w:spacing w:after="0" w:line="21"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Senior Vice President,</w:t>
      </w:r>
    </w:p>
    <w:p>
      <w:pPr>
        <w:spacing w:after="0" w:line="9"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9"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165"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0"/>
          </w:cols>
          <w:pgMar w:left="240" w:top="459" w:right="6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940" w:type="dxa"/>
            <w:vAlign w:val="bottom"/>
          </w:tcPr>
          <w:p>
            <w:pPr>
              <w:jc w:val="center"/>
              <w:ind w:right="1373"/>
              <w:spacing w:after="0"/>
              <w:rPr>
                <w:sz w:val="20"/>
                <w:szCs w:val="20"/>
                <w:color w:val="auto"/>
              </w:rPr>
            </w:pPr>
            <w:r>
              <w:rPr>
                <w:rFonts w:ascii="Arial" w:cs="Arial" w:eastAsia="Arial" w:hAnsi="Arial"/>
                <w:sz w:val="18"/>
                <w:szCs w:val="18"/>
                <w:b w:val="1"/>
                <w:bCs w:val="1"/>
                <w:color w:val="auto"/>
              </w:rPr>
              <w:t>EXHIBIT INDEX</w:t>
            </w:r>
          </w:p>
        </w:tc>
      </w:tr>
      <w:tr>
        <w:trPr>
          <w:trHeight w:val="367"/>
        </w:trPr>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Exhibit No.</w:t>
            </w:r>
          </w:p>
        </w:tc>
        <w:tc>
          <w:tcPr>
            <w:tcW w:w="760" w:type="dxa"/>
            <w:vAlign w:val="bottom"/>
          </w:tcPr>
          <w:p>
            <w:pPr>
              <w:spacing w:after="0"/>
              <w:rPr>
                <w:sz w:val="24"/>
                <w:szCs w:val="24"/>
                <w:color w:val="auto"/>
              </w:rPr>
            </w:pPr>
          </w:p>
        </w:tc>
        <w:tc>
          <w:tcPr>
            <w:tcW w:w="9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309"/>
        </w:trPr>
        <w:tc>
          <w:tcPr>
            <w:tcW w:w="720" w:type="dxa"/>
            <w:vAlign w:val="bottom"/>
          </w:tcPr>
          <w:p>
            <w:pPr>
              <w:jc w:val="right"/>
              <w:ind w:right="313"/>
              <w:spacing w:after="0"/>
              <w:rPr>
                <w:sz w:val="20"/>
                <w:szCs w:val="20"/>
                <w:color w:val="auto"/>
              </w:rPr>
            </w:pPr>
            <w:r>
              <w:rPr>
                <w:rFonts w:ascii="Arial" w:cs="Arial" w:eastAsia="Arial" w:hAnsi="Arial"/>
                <w:sz w:val="18"/>
                <w:szCs w:val="18"/>
                <w:color w:val="auto"/>
              </w:rPr>
              <w:t>3.1</w:t>
            </w:r>
          </w:p>
        </w:tc>
        <w:tc>
          <w:tcPr>
            <w:tcW w:w="76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2"/>
              </w:rPr>
              <w:t>Declaration of Trust of Federal Realty Investment Trust dated May 5, 1999 as amended by the Articles of Amendment of Declaration of</w:t>
            </w:r>
          </w:p>
        </w:tc>
      </w:tr>
      <w:tr>
        <w:trPr>
          <w:trHeight w:val="216"/>
        </w:trPr>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3"/>
              </w:rPr>
              <w:t>Trust of Federal Realty Investment Trust dated May 6, 2004, as corrected by the Certificate of Correction of Articles of Amendment of</w:t>
            </w:r>
          </w:p>
        </w:tc>
      </w:tr>
      <w:tr>
        <w:trPr>
          <w:trHeight w:val="216"/>
        </w:trPr>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0"/>
              </w:rPr>
              <w:t>Declaration of Trust of Federal Realty Investment Trust dated June 17, 2004, as amended by the Articles of Amendment of Declaration of</w:t>
            </w:r>
          </w:p>
        </w:tc>
      </w:tr>
      <w:tr>
        <w:trPr>
          <w:trHeight w:val="216"/>
        </w:trPr>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89"/>
              </w:rPr>
              <w:t>Trust of Federal Realty Investment Trust dated May 6, 2009 (previously filed as Exhibit 3.1 to the Trust’s Registration Statement on Form S-</w:t>
            </w:r>
          </w:p>
        </w:tc>
      </w:tr>
      <w:tr>
        <w:trPr>
          <w:trHeight w:val="222"/>
        </w:trPr>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3 (File No. 333-160009) and incorporated herein by reference)</w:t>
            </w:r>
          </w:p>
        </w:tc>
      </w:tr>
      <w:tr>
        <w:trPr>
          <w:trHeight w:val="318"/>
        </w:trPr>
        <w:tc>
          <w:tcPr>
            <w:tcW w:w="720" w:type="dxa"/>
            <w:vAlign w:val="bottom"/>
          </w:tcPr>
          <w:p>
            <w:pPr>
              <w:jc w:val="right"/>
              <w:ind w:right="313"/>
              <w:spacing w:after="0"/>
              <w:rPr>
                <w:sz w:val="20"/>
                <w:szCs w:val="20"/>
                <w:color w:val="auto"/>
              </w:rPr>
            </w:pPr>
            <w:r>
              <w:rPr>
                <w:rFonts w:ascii="Arial" w:cs="Arial" w:eastAsia="Arial" w:hAnsi="Arial"/>
                <w:sz w:val="18"/>
                <w:szCs w:val="18"/>
                <w:color w:val="auto"/>
              </w:rPr>
              <w:t>3.2</w:t>
            </w:r>
          </w:p>
        </w:tc>
        <w:tc>
          <w:tcPr>
            <w:tcW w:w="76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0"/>
              </w:rPr>
              <w:t>Amended and Restated Bylaws of Federal Realty Investment Trust dated February 12, 2003, as amended October 29, 2003, May 5, 2004,</w:t>
            </w:r>
          </w:p>
        </w:tc>
      </w:tr>
      <w:tr>
        <w:trPr>
          <w:trHeight w:val="216"/>
        </w:trPr>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89"/>
              </w:rPr>
              <w:t>February 17, 2006 and May 6, 2009 (previously filed as Exhibit 3.2 to the Trust’s Registration Statement on Form S-3 (File No. 333-160009)</w:t>
            </w:r>
          </w:p>
        </w:tc>
      </w:tr>
      <w:tr>
        <w:trPr>
          <w:trHeight w:val="222"/>
        </w:trPr>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and incorporated herein by reference)</w:t>
            </w:r>
          </w:p>
        </w:tc>
      </w:tr>
      <w:tr>
        <w:trPr>
          <w:trHeight w:val="318"/>
        </w:trPr>
        <w:tc>
          <w:tcPr>
            <w:tcW w:w="720" w:type="dxa"/>
            <w:vAlign w:val="bottom"/>
          </w:tcPr>
          <w:p>
            <w:pPr>
              <w:jc w:val="right"/>
              <w:ind w:right="313"/>
              <w:spacing w:after="0"/>
              <w:rPr>
                <w:sz w:val="20"/>
                <w:szCs w:val="20"/>
                <w:color w:val="auto"/>
              </w:rPr>
            </w:pPr>
            <w:r>
              <w:rPr>
                <w:rFonts w:ascii="Arial" w:cs="Arial" w:eastAsia="Arial" w:hAnsi="Arial"/>
                <w:sz w:val="18"/>
                <w:szCs w:val="18"/>
                <w:color w:val="auto"/>
              </w:rPr>
              <w:t>4.1</w:t>
            </w:r>
          </w:p>
        </w:tc>
        <w:tc>
          <w:tcPr>
            <w:tcW w:w="76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6"/>
              </w:rPr>
              <w:t>Specimen Common Share certificate (previously filed as Exhibit 4(i) to the Trust’s Annual Report on Form 10-K for the year ended</w:t>
            </w:r>
          </w:p>
        </w:tc>
      </w:tr>
      <w:tr>
        <w:trPr>
          <w:trHeight w:val="222"/>
        </w:trPr>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December 31, 1999 (File No. 1-07533) and incorporated herein by reference)</w:t>
            </w:r>
          </w:p>
        </w:tc>
      </w:tr>
      <w:tr>
        <w:trPr>
          <w:trHeight w:val="318"/>
        </w:trPr>
        <w:tc>
          <w:tcPr>
            <w:tcW w:w="720" w:type="dxa"/>
            <w:vAlign w:val="bottom"/>
          </w:tcPr>
          <w:p>
            <w:pPr>
              <w:jc w:val="right"/>
              <w:ind w:right="313"/>
              <w:spacing w:after="0"/>
              <w:rPr>
                <w:sz w:val="20"/>
                <w:szCs w:val="20"/>
                <w:color w:val="auto"/>
              </w:rPr>
            </w:pPr>
            <w:r>
              <w:rPr>
                <w:rFonts w:ascii="Arial" w:cs="Arial" w:eastAsia="Arial" w:hAnsi="Arial"/>
                <w:sz w:val="18"/>
                <w:szCs w:val="18"/>
                <w:color w:val="auto"/>
              </w:rPr>
              <w:t>4.2</w:t>
            </w:r>
          </w:p>
        </w:tc>
        <w:tc>
          <w:tcPr>
            <w:tcW w:w="76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0"/>
              </w:rPr>
              <w:t>Articles Supplementary relating to the 5.417% Series 1 Cumulative Convertible Preferred Shares of Beneficial Interest (previously filed as</w:t>
            </w:r>
          </w:p>
        </w:tc>
      </w:tr>
      <w:tr>
        <w:trPr>
          <w:trHeight w:val="222"/>
        </w:trPr>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2"/>
              </w:rPr>
              <w:t>Exhibit 4.1 to the Trust’s Current Report on Form 8-K filed on March 13, 2007, (File No. 1-07533) and incorporated herein by reference)</w:t>
            </w:r>
          </w:p>
        </w:tc>
      </w:tr>
      <w:tr>
        <w:trPr>
          <w:trHeight w:val="318"/>
        </w:trPr>
        <w:tc>
          <w:tcPr>
            <w:tcW w:w="720" w:type="dxa"/>
            <w:vAlign w:val="bottom"/>
          </w:tcPr>
          <w:p>
            <w:pPr>
              <w:jc w:val="right"/>
              <w:ind w:right="313"/>
              <w:spacing w:after="0"/>
              <w:rPr>
                <w:sz w:val="20"/>
                <w:szCs w:val="20"/>
                <w:color w:val="auto"/>
              </w:rPr>
            </w:pPr>
            <w:r>
              <w:rPr>
                <w:rFonts w:ascii="Arial" w:cs="Arial" w:eastAsia="Arial" w:hAnsi="Arial"/>
                <w:sz w:val="18"/>
                <w:szCs w:val="18"/>
                <w:color w:val="auto"/>
              </w:rPr>
              <w:t>4.3</w:t>
            </w:r>
          </w:p>
        </w:tc>
        <w:tc>
          <w:tcPr>
            <w:tcW w:w="76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3"/>
              </w:rPr>
              <w:t>Amended and Restated Rights Agreement, dated March 11, 1999, between the Trust and American Stock Transfer &amp; Trust Company</w:t>
            </w:r>
          </w:p>
        </w:tc>
      </w:tr>
      <w:tr>
        <w:trPr>
          <w:trHeight w:val="216"/>
        </w:trPr>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7"/>
              </w:rPr>
              <w:t>(previously filed as Exhibit 1 to the Trust’s Registration Statement on Form 8-A/A filed on March 11, 1999 (File No. 1-07533) and</w:t>
            </w:r>
          </w:p>
        </w:tc>
      </w:tr>
      <w:tr>
        <w:trPr>
          <w:trHeight w:val="222"/>
        </w:trPr>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720" w:type="dxa"/>
            <w:vAlign w:val="bottom"/>
          </w:tcPr>
          <w:p>
            <w:pPr>
              <w:jc w:val="right"/>
              <w:ind w:right="313"/>
              <w:spacing w:after="0"/>
              <w:rPr>
                <w:sz w:val="20"/>
                <w:szCs w:val="20"/>
                <w:color w:val="auto"/>
              </w:rPr>
            </w:pPr>
            <w:r>
              <w:rPr>
                <w:rFonts w:ascii="Arial" w:cs="Arial" w:eastAsia="Arial" w:hAnsi="Arial"/>
                <w:sz w:val="18"/>
                <w:szCs w:val="18"/>
                <w:color w:val="auto"/>
              </w:rPr>
              <w:t>4.4</w:t>
            </w:r>
          </w:p>
        </w:tc>
        <w:tc>
          <w:tcPr>
            <w:tcW w:w="76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88"/>
              </w:rPr>
              <w:t>First Amendment to Amended and Restated Rights Agreement, dated as of November 2003, between the Trust and American Stock Transfer</w:t>
            </w:r>
          </w:p>
        </w:tc>
      </w:tr>
      <w:tr>
        <w:trPr>
          <w:trHeight w:val="216"/>
        </w:trPr>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1"/>
              </w:rPr>
              <w:t>&amp; Trust Company (previously filed as Exhibit 4.5 to the Trust’s Annual Report on Form 10-K for the year ended December 31, 2003 (File</w:t>
            </w:r>
          </w:p>
        </w:tc>
      </w:tr>
      <w:tr>
        <w:trPr>
          <w:trHeight w:val="222"/>
        </w:trPr>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No. 1-07533) and incorporated herein by reference)</w:t>
            </w:r>
          </w:p>
        </w:tc>
      </w:tr>
      <w:tr>
        <w:trPr>
          <w:trHeight w:val="318"/>
        </w:trPr>
        <w:tc>
          <w:tcPr>
            <w:tcW w:w="720" w:type="dxa"/>
            <w:vAlign w:val="bottom"/>
          </w:tcPr>
          <w:p>
            <w:pPr>
              <w:jc w:val="right"/>
              <w:ind w:right="313"/>
              <w:spacing w:after="0"/>
              <w:rPr>
                <w:sz w:val="20"/>
                <w:szCs w:val="20"/>
                <w:color w:val="auto"/>
              </w:rPr>
            </w:pPr>
            <w:r>
              <w:rPr>
                <w:rFonts w:ascii="Arial" w:cs="Arial" w:eastAsia="Arial" w:hAnsi="Arial"/>
                <w:sz w:val="18"/>
                <w:szCs w:val="18"/>
                <w:color w:val="auto"/>
              </w:rPr>
              <w:t>4.5</w:t>
            </w:r>
          </w:p>
        </w:tc>
        <w:tc>
          <w:tcPr>
            <w:tcW w:w="76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2"/>
              </w:rPr>
              <w:t>Second Amendment to Amended and Restated Rights Agreement, dated as of March 11, 2009, between the Trust and American Stock</w:t>
            </w:r>
          </w:p>
        </w:tc>
      </w:tr>
      <w:tr>
        <w:trPr>
          <w:trHeight w:val="216"/>
        </w:trPr>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0"/>
              </w:rPr>
              <w:t>Transfer &amp; Trust Company (previously filed as Exhibit 4.3 to the Trust’s current Report on Form 8-K (File No. 001-07533) and incorporated</w:t>
            </w:r>
          </w:p>
        </w:tc>
      </w:tr>
      <w:tr>
        <w:trPr>
          <w:trHeight w:val="222"/>
        </w:trPr>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herein by reference)</w:t>
            </w:r>
          </w:p>
        </w:tc>
      </w:tr>
      <w:tr>
        <w:trPr>
          <w:trHeight w:val="318"/>
        </w:trPr>
        <w:tc>
          <w:tcPr>
            <w:tcW w:w="720" w:type="dxa"/>
            <w:vAlign w:val="bottom"/>
          </w:tcPr>
          <w:p>
            <w:pPr>
              <w:jc w:val="right"/>
              <w:ind w:right="313"/>
              <w:spacing w:after="0"/>
              <w:rPr>
                <w:sz w:val="20"/>
                <w:szCs w:val="20"/>
                <w:color w:val="auto"/>
              </w:rPr>
            </w:pPr>
            <w:r>
              <w:rPr>
                <w:rFonts w:ascii="Arial" w:cs="Arial" w:eastAsia="Arial" w:hAnsi="Arial"/>
                <w:sz w:val="18"/>
                <w:szCs w:val="18"/>
                <w:color w:val="auto"/>
              </w:rPr>
              <w:t>4.6</w:t>
            </w:r>
          </w:p>
        </w:tc>
        <w:tc>
          <w:tcPr>
            <w:tcW w:w="76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2"/>
              </w:rPr>
              <w:t>Indenture dated December 1, 1993 related to the Trust’s 7.48% Debentures due August 15, 2026; and 6.82% Medium Term Notes due</w:t>
            </w:r>
          </w:p>
        </w:tc>
      </w:tr>
      <w:tr>
        <w:trPr>
          <w:trHeight w:val="216"/>
        </w:trPr>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1"/>
              </w:rPr>
              <w:t>August 1, 2027; (previously filed as Exhibit 4(a) to the Trust’s Registration Statement on Form S-3 (File No. 33-51029), and amended on</w:t>
            </w:r>
          </w:p>
        </w:tc>
      </w:tr>
      <w:tr>
        <w:trPr>
          <w:trHeight w:val="222"/>
        </w:trPr>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Form S-3 (File No. 33-63687), filed on December 13, 1993 and incorporated herein by reference)</w:t>
            </w:r>
          </w:p>
        </w:tc>
      </w:tr>
      <w:tr>
        <w:trPr>
          <w:trHeight w:val="318"/>
        </w:trPr>
        <w:tc>
          <w:tcPr>
            <w:tcW w:w="720" w:type="dxa"/>
            <w:vAlign w:val="bottom"/>
          </w:tcPr>
          <w:p>
            <w:pPr>
              <w:jc w:val="right"/>
              <w:ind w:right="313"/>
              <w:spacing w:after="0"/>
              <w:rPr>
                <w:sz w:val="20"/>
                <w:szCs w:val="20"/>
                <w:color w:val="auto"/>
              </w:rPr>
            </w:pPr>
            <w:r>
              <w:rPr>
                <w:rFonts w:ascii="Arial" w:cs="Arial" w:eastAsia="Arial" w:hAnsi="Arial"/>
                <w:sz w:val="18"/>
                <w:szCs w:val="18"/>
                <w:color w:val="auto"/>
              </w:rPr>
              <w:t>4.7</w:t>
            </w:r>
          </w:p>
        </w:tc>
        <w:tc>
          <w:tcPr>
            <w:tcW w:w="76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88"/>
              </w:rPr>
              <w:t xml:space="preserve">Indenture dated September 1, 1998 related to the Trust’s 8.75% Notes due December 1, 2009; 6 </w:t>
            </w:r>
            <w:r>
              <w:rPr>
                <w:rFonts w:ascii="Arial" w:cs="Arial" w:eastAsia="Arial" w:hAnsi="Arial"/>
                <w:sz w:val="11"/>
                <w:szCs w:val="11"/>
                <w:color w:val="auto"/>
                <w:w w:val="88"/>
              </w:rPr>
              <w:t>1</w:t>
            </w:r>
            <w:r>
              <w:rPr>
                <w:rFonts w:ascii="Arial" w:cs="Arial" w:eastAsia="Arial" w:hAnsi="Arial"/>
                <w:sz w:val="18"/>
                <w:szCs w:val="18"/>
                <w:color w:val="auto"/>
                <w:w w:val="88"/>
              </w:rPr>
              <w:t>/8% Notes due November 15, 2007; 4.50%</w:t>
            </w:r>
          </w:p>
        </w:tc>
      </w:tr>
      <w:tr>
        <w:trPr>
          <w:trHeight w:val="216"/>
        </w:trPr>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1"/>
              </w:rPr>
              <w:t>Notes due 2011; 5.65% Notes due 2016; 6.00% Notes due 2012; 6.20% Notes due 2017; and 5.40% Notes due 2013 (previously filed as</w:t>
            </w:r>
          </w:p>
        </w:tc>
      </w:tr>
      <w:tr>
        <w:trPr>
          <w:trHeight w:val="216"/>
        </w:trPr>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89"/>
              </w:rPr>
              <w:t>Exhibit 4(a) to the Trust’s Registration Statement on Form S-3 (File No. 333-63619) filed on September 17, 1998 and incorporated herein by</w:t>
            </w:r>
          </w:p>
        </w:tc>
      </w:tr>
      <w:tr>
        <w:trPr>
          <w:trHeight w:val="222"/>
        </w:trPr>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reference)</w:t>
            </w:r>
          </w:p>
        </w:tc>
      </w:tr>
      <w:tr>
        <w:trPr>
          <w:trHeight w:val="318"/>
        </w:trPr>
        <w:tc>
          <w:tcPr>
            <w:tcW w:w="720" w:type="dxa"/>
            <w:vAlign w:val="bottom"/>
          </w:tcPr>
          <w:p>
            <w:pPr>
              <w:jc w:val="right"/>
              <w:ind w:right="313"/>
              <w:spacing w:after="0"/>
              <w:rPr>
                <w:sz w:val="20"/>
                <w:szCs w:val="20"/>
                <w:color w:val="auto"/>
              </w:rPr>
            </w:pPr>
            <w:r>
              <w:rPr>
                <w:rFonts w:ascii="Arial" w:cs="Arial" w:eastAsia="Arial" w:hAnsi="Arial"/>
                <w:sz w:val="18"/>
                <w:szCs w:val="18"/>
                <w:color w:val="auto"/>
              </w:rPr>
              <w:t>4.8</w:t>
            </w:r>
          </w:p>
        </w:tc>
        <w:tc>
          <w:tcPr>
            <w:tcW w:w="76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4"/>
              </w:rPr>
              <w:t>Pursuant to Regulation S-K Item 601(b)(4)(iii), the Trust by this filing agrees, upon request, to furnish to the Securities and Exchange</w:t>
            </w:r>
          </w:p>
        </w:tc>
      </w:tr>
      <w:tr>
        <w:trPr>
          <w:trHeight w:val="222"/>
        </w:trPr>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Commission a copy of other instruments defining the rights of holders of long-term debt of the Trust</w:t>
            </w:r>
          </w:p>
        </w:tc>
      </w:tr>
      <w:tr>
        <w:trPr>
          <w:trHeight w:val="318"/>
        </w:trPr>
        <w:tc>
          <w:tcPr>
            <w:tcW w:w="720" w:type="dxa"/>
            <w:vAlign w:val="bottom"/>
          </w:tcPr>
          <w:p>
            <w:pPr>
              <w:jc w:val="right"/>
              <w:ind w:right="313"/>
              <w:spacing w:after="0"/>
              <w:rPr>
                <w:sz w:val="20"/>
                <w:szCs w:val="20"/>
                <w:color w:val="auto"/>
              </w:rPr>
            </w:pPr>
            <w:r>
              <w:rPr>
                <w:rFonts w:ascii="Arial" w:cs="Arial" w:eastAsia="Arial" w:hAnsi="Arial"/>
                <w:sz w:val="18"/>
                <w:szCs w:val="18"/>
                <w:color w:val="auto"/>
                <w:w w:val="85"/>
              </w:rPr>
              <w:t>10.1</w:t>
            </w:r>
          </w:p>
        </w:tc>
        <w:tc>
          <w:tcPr>
            <w:tcW w:w="76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89"/>
              </w:rPr>
              <w:t>Amended and Restated 1993 Long-Term Incentive Plan, as amended on October 6, 1997 and further amended on May 6, 1998 (previously</w:t>
            </w:r>
          </w:p>
        </w:tc>
      </w:tr>
      <w:tr>
        <w:trPr>
          <w:trHeight w:val="216"/>
        </w:trPr>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8"/>
              </w:rPr>
              <w:t>filed as Exhibit 10.26 to the Trust’s Annual Report on Form 10-K for the year ended December 31, 1998 (File No. 1-07533) and</w:t>
            </w:r>
          </w:p>
        </w:tc>
      </w:tr>
      <w:tr>
        <w:trPr>
          <w:trHeight w:val="222"/>
        </w:trPr>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720" w:type="dxa"/>
            <w:vAlign w:val="bottom"/>
          </w:tcPr>
          <w:p>
            <w:pPr>
              <w:jc w:val="right"/>
              <w:ind w:right="313"/>
              <w:spacing w:after="0"/>
              <w:rPr>
                <w:sz w:val="20"/>
                <w:szCs w:val="20"/>
                <w:color w:val="auto"/>
              </w:rPr>
            </w:pPr>
            <w:r>
              <w:rPr>
                <w:rFonts w:ascii="Arial" w:cs="Arial" w:eastAsia="Arial" w:hAnsi="Arial"/>
                <w:sz w:val="18"/>
                <w:szCs w:val="18"/>
                <w:color w:val="auto"/>
                <w:w w:val="85"/>
              </w:rPr>
              <w:t>10.2</w:t>
            </w:r>
          </w:p>
        </w:tc>
        <w:tc>
          <w:tcPr>
            <w:tcW w:w="76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3"/>
              </w:rPr>
              <w:t>Form of Severance Agreement between the Trust and Certain of its Officers dated December 31, 1994 (previously filed as a portion of</w:t>
            </w:r>
          </w:p>
        </w:tc>
      </w:tr>
      <w:tr>
        <w:trPr>
          <w:trHeight w:val="216"/>
        </w:trPr>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89"/>
              </w:rPr>
              <w:t>Exhibit 10 to the Trust’s Annual Report on Form 10-K for the year ended December 31, 1994 (File No. 1-07533) and incorporated herein by</w:t>
            </w:r>
          </w:p>
        </w:tc>
      </w:tr>
      <w:tr>
        <w:trPr>
          <w:trHeight w:val="222"/>
        </w:trPr>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reference)</w:t>
            </w:r>
          </w:p>
        </w:tc>
      </w:tr>
      <w:tr>
        <w:trPr>
          <w:trHeight w:val="318"/>
        </w:trPr>
        <w:tc>
          <w:tcPr>
            <w:tcW w:w="720" w:type="dxa"/>
            <w:vAlign w:val="bottom"/>
          </w:tcPr>
          <w:p>
            <w:pPr>
              <w:jc w:val="right"/>
              <w:ind w:right="313"/>
              <w:spacing w:after="0"/>
              <w:rPr>
                <w:sz w:val="20"/>
                <w:szCs w:val="20"/>
                <w:color w:val="auto"/>
              </w:rPr>
            </w:pPr>
            <w:r>
              <w:rPr>
                <w:rFonts w:ascii="Arial" w:cs="Arial" w:eastAsia="Arial" w:hAnsi="Arial"/>
                <w:sz w:val="18"/>
                <w:szCs w:val="18"/>
                <w:color w:val="auto"/>
                <w:w w:val="85"/>
              </w:rPr>
              <w:t>10.3</w:t>
            </w:r>
          </w:p>
        </w:tc>
        <w:tc>
          <w:tcPr>
            <w:tcW w:w="76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1"/>
              </w:rPr>
              <w:t>Severance Agreement between the Trust and Donald C. Wood dated February 22, 1999 (previously filed as a portion of Exhibit 10 to the</w:t>
            </w:r>
          </w:p>
        </w:tc>
      </w:tr>
      <w:tr>
        <w:trPr>
          <w:trHeight w:val="216"/>
        </w:trPr>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7"/>
              </w:rPr>
              <w:t>Trust’s Quarterly Report on Form 10-Q for the quarter ended March 31, 1999 (File No. 1-07533) (the “1999 1Q Form 10-Q”) and</w:t>
            </w:r>
          </w:p>
        </w:tc>
      </w:tr>
      <w:tr>
        <w:trPr>
          <w:trHeight w:val="222"/>
        </w:trPr>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720" w:type="dxa"/>
            <w:vAlign w:val="bottom"/>
          </w:tcPr>
          <w:p>
            <w:pPr>
              <w:jc w:val="right"/>
              <w:ind w:right="313"/>
              <w:spacing w:after="0"/>
              <w:rPr>
                <w:sz w:val="20"/>
                <w:szCs w:val="20"/>
                <w:color w:val="auto"/>
              </w:rPr>
            </w:pPr>
            <w:r>
              <w:rPr>
                <w:rFonts w:ascii="Arial" w:cs="Arial" w:eastAsia="Arial" w:hAnsi="Arial"/>
                <w:sz w:val="18"/>
                <w:szCs w:val="18"/>
                <w:color w:val="auto"/>
                <w:w w:val="85"/>
              </w:rPr>
              <w:t>10.4</w:t>
            </w:r>
          </w:p>
        </w:tc>
        <w:tc>
          <w:tcPr>
            <w:tcW w:w="76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89"/>
              </w:rPr>
              <w:t>Executive Agreement between Federal Realty Investment Trust and Donald C. Wood dated February 22, 1999 (previously filed as a portion</w:t>
            </w:r>
          </w:p>
        </w:tc>
      </w:tr>
      <w:tr>
        <w:trPr>
          <w:trHeight w:val="222"/>
        </w:trPr>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of Exhibit 10 to the 1999 1Q Form 10-Q and incorporated herein by reference)</w:t>
            </w:r>
          </w:p>
        </w:tc>
      </w:tr>
      <w:tr>
        <w:trPr>
          <w:trHeight w:val="318"/>
        </w:trPr>
        <w:tc>
          <w:tcPr>
            <w:tcW w:w="720" w:type="dxa"/>
            <w:vAlign w:val="bottom"/>
          </w:tcPr>
          <w:p>
            <w:pPr>
              <w:jc w:val="right"/>
              <w:ind w:right="313"/>
              <w:spacing w:after="0"/>
              <w:rPr>
                <w:sz w:val="20"/>
                <w:szCs w:val="20"/>
                <w:color w:val="auto"/>
              </w:rPr>
            </w:pPr>
            <w:r>
              <w:rPr>
                <w:rFonts w:ascii="Arial" w:cs="Arial" w:eastAsia="Arial" w:hAnsi="Arial"/>
                <w:sz w:val="18"/>
                <w:szCs w:val="18"/>
                <w:color w:val="auto"/>
                <w:w w:val="85"/>
              </w:rPr>
              <w:t>10.5</w:t>
            </w:r>
          </w:p>
        </w:tc>
        <w:tc>
          <w:tcPr>
            <w:tcW w:w="76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0"/>
              </w:rPr>
              <w:t>Amendment to Executive Agreement between Federal Realty Investment Trust and Donald C. Wood dated February 16, 2005 (previously</w:t>
            </w:r>
          </w:p>
        </w:tc>
      </w:tr>
      <w:tr>
        <w:trPr>
          <w:trHeight w:val="216"/>
        </w:trPr>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filed as Exhibit 10.12 to the Trust’s Annual Report on Form 10-K for the year ended December 31, 2004 (File No. 1-07533)</w:t>
            </w:r>
          </w:p>
        </w:tc>
      </w:tr>
      <w:tr>
        <w:trPr>
          <w:trHeight w:val="222"/>
        </w:trPr>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(the “2004 Form 10-K”) and incorporated herein by reference)</w:t>
            </w:r>
          </w:p>
        </w:tc>
      </w:tr>
      <w:tr>
        <w:trPr>
          <w:trHeight w:val="365"/>
        </w:trPr>
        <w:tc>
          <w:tcPr>
            <w:tcW w:w="720" w:type="dxa"/>
            <w:vAlign w:val="bottom"/>
          </w:tcPr>
          <w:p>
            <w:pPr>
              <w:spacing w:after="0"/>
              <w:rPr>
                <w:sz w:val="24"/>
                <w:szCs w:val="24"/>
                <w:color w:val="auto"/>
              </w:rPr>
            </w:pPr>
          </w:p>
        </w:tc>
        <w:tc>
          <w:tcPr>
            <w:tcW w:w="10700" w:type="dxa"/>
            <w:vAlign w:val="bottom"/>
            <w:gridSpan w:val="2"/>
          </w:tcPr>
          <w:p>
            <w:pPr>
              <w:jc w:val="right"/>
              <w:ind w:right="5533"/>
              <w:spacing w:after="0"/>
              <w:rPr>
                <w:sz w:val="20"/>
                <w:szCs w:val="20"/>
                <w:color w:val="auto"/>
              </w:rPr>
            </w:pPr>
            <w:r>
              <w:rPr>
                <w:rFonts w:ascii="Arial" w:cs="Arial" w:eastAsia="Arial" w:hAnsi="Arial"/>
                <w:sz w:val="18"/>
                <w:szCs w:val="18"/>
                <w:color w:val="auto"/>
              </w:rPr>
              <w:t>37</w:t>
            </w:r>
          </w:p>
        </w:tc>
      </w:tr>
    </w:tbl>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640" w:type="dxa"/>
            <w:vAlign w:val="bottom"/>
          </w:tcPr>
          <w:p>
            <w:pPr>
              <w:spacing w:after="0"/>
              <w:rPr>
                <w:sz w:val="15"/>
                <w:szCs w:val="15"/>
                <w:color w:val="auto"/>
              </w:rPr>
            </w:pPr>
          </w:p>
        </w:tc>
        <w:tc>
          <w:tcPr>
            <w:tcW w:w="10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309"/>
        </w:trPr>
        <w:tc>
          <w:tcPr>
            <w:tcW w:w="720" w:type="dxa"/>
            <w:vAlign w:val="bottom"/>
          </w:tcPr>
          <w:p>
            <w:pPr>
              <w:spacing w:after="0"/>
              <w:rPr>
                <w:sz w:val="20"/>
                <w:szCs w:val="20"/>
                <w:color w:val="auto"/>
              </w:rPr>
            </w:pPr>
            <w:r>
              <w:rPr>
                <w:rFonts w:ascii="Arial" w:cs="Arial" w:eastAsia="Arial" w:hAnsi="Arial"/>
                <w:sz w:val="18"/>
                <w:szCs w:val="18"/>
                <w:color w:val="auto"/>
              </w:rPr>
              <w:t>10.6</w:t>
            </w:r>
          </w:p>
        </w:tc>
        <w:tc>
          <w:tcPr>
            <w:tcW w:w="64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w w:val="95"/>
              </w:rPr>
              <w:t>Split Dollar Life Insurance Agreement dated August 12, 1998 between the Trust and Donald C. Wood (previously filed as a portion of</w:t>
            </w:r>
          </w:p>
        </w:tc>
      </w:tr>
      <w:tr>
        <w:trPr>
          <w:trHeight w:val="216"/>
        </w:trPr>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60" w:type="dxa"/>
            <w:vAlign w:val="bottom"/>
          </w:tcPr>
          <w:p>
            <w:pPr>
              <w:spacing w:after="0"/>
              <w:rPr>
                <w:sz w:val="20"/>
                <w:szCs w:val="20"/>
                <w:color w:val="auto"/>
              </w:rPr>
            </w:pPr>
            <w:r>
              <w:rPr>
                <w:rFonts w:ascii="Arial" w:cs="Arial" w:eastAsia="Arial" w:hAnsi="Arial"/>
                <w:sz w:val="18"/>
                <w:szCs w:val="18"/>
                <w:color w:val="auto"/>
                <w:w w:val="90"/>
              </w:rPr>
              <w:t>Exhibit 10 to the Trust’s Annual Report on Form 10-K for the year ended December 31, 2000 (File No. 1-07533) and incorporated herein by</w:t>
            </w:r>
          </w:p>
        </w:tc>
      </w:tr>
      <w:tr>
        <w:trPr>
          <w:trHeight w:val="222"/>
        </w:trPr>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10.7</w:t>
            </w:r>
          </w:p>
        </w:tc>
        <w:tc>
          <w:tcPr>
            <w:tcW w:w="64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w w:val="89"/>
              </w:rPr>
              <w:t>Severance Agreement between the Trust and Jeffrey S. Berkes dated March 1, 2000 (previously filed as a portion of Exhibit 10 to the Trust’s</w:t>
            </w:r>
          </w:p>
        </w:tc>
      </w:tr>
      <w:tr>
        <w:trPr>
          <w:trHeight w:val="222"/>
        </w:trPr>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Annual Report on Form 10-K for the year ended December 31, 2001 (File No. 1-07533)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10.8</w:t>
            </w:r>
          </w:p>
        </w:tc>
        <w:tc>
          <w:tcPr>
            <w:tcW w:w="64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w w:val="90"/>
              </w:rPr>
              <w:t>Amendment to Severance Agreement between Federal Realty Investment Trust and Jeffrey S. Berkes dated February 16, 2005 (previously</w:t>
            </w:r>
          </w:p>
        </w:tc>
      </w:tr>
      <w:tr>
        <w:trPr>
          <w:trHeight w:val="222"/>
        </w:trPr>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filed as Exhibit 10.17 to the 2004 Form 10-K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10.9</w:t>
            </w:r>
          </w:p>
        </w:tc>
        <w:tc>
          <w:tcPr>
            <w:tcW w:w="64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w w:val="91"/>
              </w:rPr>
              <w:t>Severance Agreement dated March 1, 2002 between the Trust and Larry E. Finger (previously filed as a portion of Exhibit 10 to the Trust’s</w:t>
            </w:r>
          </w:p>
        </w:tc>
      </w:tr>
      <w:tr>
        <w:trPr>
          <w:trHeight w:val="222"/>
        </w:trPr>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Quarterly Report on Form 10-Q for the quarter ended June 30, 2002 (File No. 1-07533)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10.10</w:t>
            </w:r>
          </w:p>
        </w:tc>
        <w:tc>
          <w:tcPr>
            <w:tcW w:w="64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w w:val="89"/>
              </w:rPr>
              <w:t>Amendment to Severance Agreement between Federal Realty Investment Trust and Larry E. Finger dated February 16, 2005 (previously filed</w:t>
            </w:r>
          </w:p>
        </w:tc>
      </w:tr>
      <w:tr>
        <w:trPr>
          <w:trHeight w:val="222"/>
        </w:trPr>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as Exhibit 10.19 to the 2004 Form 10-K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10.11</w:t>
            </w:r>
          </w:p>
        </w:tc>
        <w:tc>
          <w:tcPr>
            <w:tcW w:w="64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w w:val="93"/>
              </w:rPr>
              <w:t>Amendment to Stock Option Agreement dated August 15, 2002 between the Trust and Dawn M. Becker (previously filed as a portion of</w:t>
            </w:r>
          </w:p>
        </w:tc>
      </w:tr>
      <w:tr>
        <w:trPr>
          <w:trHeight w:val="216"/>
        </w:trPr>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60" w:type="dxa"/>
            <w:vAlign w:val="bottom"/>
          </w:tcPr>
          <w:p>
            <w:pPr>
              <w:spacing w:after="0"/>
              <w:rPr>
                <w:sz w:val="20"/>
                <w:szCs w:val="20"/>
                <w:color w:val="auto"/>
              </w:rPr>
            </w:pPr>
            <w:r>
              <w:rPr>
                <w:rFonts w:ascii="Arial" w:cs="Arial" w:eastAsia="Arial" w:hAnsi="Arial"/>
                <w:sz w:val="18"/>
                <w:szCs w:val="18"/>
                <w:color w:val="auto"/>
                <w:w w:val="88"/>
              </w:rPr>
              <w:t>Exhibit 10 to the Trust’s Quarterly Report on Form 10-Q for the quarter ended September 30, 2002 (File No. 1-075330 and incorporated herein</w:t>
            </w:r>
          </w:p>
        </w:tc>
      </w:tr>
      <w:tr>
        <w:trPr>
          <w:trHeight w:val="222"/>
        </w:trPr>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10.12</w:t>
            </w:r>
          </w:p>
        </w:tc>
        <w:tc>
          <w:tcPr>
            <w:tcW w:w="64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w w:val="90"/>
              </w:rPr>
              <w:t>2001 Long-Term Incentive Plan (previously filed as Exhibit 99.1 to the Trust’s S-8 Registration Number 333-60364 filed on May 7, 2001 and</w:t>
            </w:r>
          </w:p>
        </w:tc>
      </w:tr>
      <w:tr>
        <w:trPr>
          <w:trHeight w:val="222"/>
        </w:trPr>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10.13</w:t>
            </w:r>
          </w:p>
        </w:tc>
        <w:tc>
          <w:tcPr>
            <w:tcW w:w="64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w w:val="88"/>
              </w:rPr>
              <w:t>Health Coverage Continuation Agreement between Federal Realty Investment Trust and Donald C. Wood dated February 16, 2005 (previously</w:t>
            </w:r>
          </w:p>
        </w:tc>
      </w:tr>
      <w:tr>
        <w:trPr>
          <w:trHeight w:val="222"/>
        </w:trPr>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filed as Exhibit 10.26 to the 2004 Form 10-K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10.14</w:t>
            </w:r>
          </w:p>
        </w:tc>
        <w:tc>
          <w:tcPr>
            <w:tcW w:w="64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w w:val="90"/>
              </w:rPr>
              <w:t>Severance Agreement between the Trust and Dawn M. Becker dated April 19, 2000 (previously filed as Exhibit 10.26 to the Trust’s 2005 2Q</w:t>
            </w:r>
          </w:p>
        </w:tc>
      </w:tr>
      <w:tr>
        <w:trPr>
          <w:trHeight w:val="222"/>
        </w:trPr>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Form 10-Q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10.15</w:t>
            </w:r>
          </w:p>
        </w:tc>
        <w:tc>
          <w:tcPr>
            <w:tcW w:w="64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w w:val="90"/>
              </w:rPr>
              <w:t>Amendment to Severance Agreement between the Trust and Dawn M. Becker dated February 16, 2005 (previously filed as Exhibit 10.27 to</w:t>
            </w:r>
          </w:p>
        </w:tc>
      </w:tr>
      <w:tr>
        <w:trPr>
          <w:trHeight w:val="222"/>
        </w:trPr>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the 2004 Form 10-K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10.16</w:t>
            </w:r>
          </w:p>
        </w:tc>
        <w:tc>
          <w:tcPr>
            <w:tcW w:w="64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w w:val="89"/>
              </w:rPr>
              <w:t>Form of Restricted Share Award Agreement for awards made under the Trust’s 2003 Long-Term Incentive Award Program for shares issued</w:t>
            </w:r>
          </w:p>
        </w:tc>
      </w:tr>
      <w:tr>
        <w:trPr>
          <w:trHeight w:val="222"/>
        </w:trPr>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60" w:type="dxa"/>
            <w:vAlign w:val="bottom"/>
          </w:tcPr>
          <w:p>
            <w:pPr>
              <w:spacing w:after="0"/>
              <w:rPr>
                <w:sz w:val="20"/>
                <w:szCs w:val="20"/>
                <w:color w:val="auto"/>
              </w:rPr>
            </w:pPr>
            <w:r>
              <w:rPr>
                <w:rFonts w:ascii="Arial" w:cs="Arial" w:eastAsia="Arial" w:hAnsi="Arial"/>
                <w:sz w:val="18"/>
                <w:szCs w:val="18"/>
                <w:color w:val="auto"/>
                <w:w w:val="95"/>
              </w:rPr>
              <w:t>out of 2001 Long-Term Incentive Plan (previously filed as Exhibit 10.28 to the 2004 Form 10-K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10.17</w:t>
            </w:r>
          </w:p>
        </w:tc>
        <w:tc>
          <w:tcPr>
            <w:tcW w:w="64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w w:val="88"/>
              </w:rPr>
              <w:t>Form of Restricted Share Award Agreement for awards made under the Trust’s Annual Incentive Bonus Program for shares issued out of 2001</w:t>
            </w:r>
          </w:p>
        </w:tc>
      </w:tr>
      <w:tr>
        <w:trPr>
          <w:trHeight w:val="222"/>
        </w:trPr>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Long-Term Incentive Plan (previously filed as Exhibit 10.29 to the 2004 Form 10-K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10.18</w:t>
            </w:r>
          </w:p>
        </w:tc>
        <w:tc>
          <w:tcPr>
            <w:tcW w:w="64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w w:val="91"/>
              </w:rPr>
              <w:t>Form of Option Award Agreement for options awarded under 2001 Long-Term Incentive Plan (previously filed as Exhibit 10.30 to the 2004</w:t>
            </w:r>
          </w:p>
        </w:tc>
      </w:tr>
      <w:tr>
        <w:trPr>
          <w:trHeight w:val="222"/>
        </w:trPr>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Form 10-K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10.19</w:t>
            </w:r>
          </w:p>
        </w:tc>
        <w:tc>
          <w:tcPr>
            <w:tcW w:w="64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w w:val="90"/>
              </w:rPr>
              <w:t>Form of Option Award Agreement for awards made under the Trust’s 2003 Long-Term Incentive Award Program for shares issued out of the</w:t>
            </w:r>
          </w:p>
        </w:tc>
      </w:tr>
      <w:tr>
        <w:trPr>
          <w:trHeight w:val="222"/>
        </w:trPr>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60" w:type="dxa"/>
            <w:vAlign w:val="bottom"/>
          </w:tcPr>
          <w:p>
            <w:pPr>
              <w:spacing w:after="0"/>
              <w:rPr>
                <w:sz w:val="20"/>
                <w:szCs w:val="20"/>
                <w:color w:val="auto"/>
              </w:rPr>
            </w:pPr>
            <w:r>
              <w:rPr>
                <w:rFonts w:ascii="Arial" w:cs="Arial" w:eastAsia="Arial" w:hAnsi="Arial"/>
                <w:sz w:val="18"/>
                <w:szCs w:val="18"/>
                <w:color w:val="auto"/>
                <w:w w:val="99"/>
              </w:rPr>
              <w:t>2001 Long-Term Incentive Plan (previously filed as Exhibit 10.32 to the 2005 Form 10-K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10.20</w:t>
            </w:r>
          </w:p>
        </w:tc>
        <w:tc>
          <w:tcPr>
            <w:tcW w:w="64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w w:val="89"/>
              </w:rPr>
              <w:t>Credit Agreement dated as of July 28, 2006, by and between the Trust, Wachovia Capital Markets LLC, Wachovia Bank, National Association</w:t>
            </w:r>
          </w:p>
        </w:tc>
      </w:tr>
      <w:tr>
        <w:trPr>
          <w:trHeight w:val="216"/>
        </w:trPr>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60" w:type="dxa"/>
            <w:vAlign w:val="bottom"/>
          </w:tcPr>
          <w:p>
            <w:pPr>
              <w:spacing w:after="0"/>
              <w:rPr>
                <w:sz w:val="20"/>
                <w:szCs w:val="20"/>
                <w:color w:val="auto"/>
              </w:rPr>
            </w:pPr>
            <w:r>
              <w:rPr>
                <w:rFonts w:ascii="Arial" w:cs="Arial" w:eastAsia="Arial" w:hAnsi="Arial"/>
                <w:sz w:val="18"/>
                <w:szCs w:val="18"/>
                <w:color w:val="auto"/>
                <w:w w:val="90"/>
              </w:rPr>
              <w:t>and various other financial institutions (previously filed as Exhibit 10.1 to the Trust’s Current Report on Form 8-K (File No. 1-07533), filed on</w:t>
            </w:r>
          </w:p>
        </w:tc>
      </w:tr>
      <w:tr>
        <w:trPr>
          <w:trHeight w:val="222"/>
        </w:trPr>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July 31, 2006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10.21</w:t>
            </w:r>
          </w:p>
        </w:tc>
        <w:tc>
          <w:tcPr>
            <w:tcW w:w="64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w w:val="91"/>
              </w:rPr>
              <w:t>Amended and Restated 2001 Long-Term Incentive Plan (previously filed as Exhibit 10.34 to the Trust’s Quarterly Report on Form 10-Q for</w:t>
            </w:r>
          </w:p>
        </w:tc>
      </w:tr>
      <w:tr>
        <w:trPr>
          <w:trHeight w:val="222"/>
        </w:trPr>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the quarter ended June 30, 2008 (File No. 1-07533)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10.22</w:t>
            </w:r>
          </w:p>
        </w:tc>
        <w:tc>
          <w:tcPr>
            <w:tcW w:w="64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w w:val="90"/>
              </w:rPr>
              <w:t>Restricted Share Award Agreement between the Trust and Joseph M. Squeri dated October 1, 2007 (previously filed as Exhibit 10.23 to the</w:t>
            </w:r>
          </w:p>
        </w:tc>
      </w:tr>
      <w:tr>
        <w:trPr>
          <w:trHeight w:val="216"/>
        </w:trPr>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60" w:type="dxa"/>
            <w:vAlign w:val="bottom"/>
          </w:tcPr>
          <w:p>
            <w:pPr>
              <w:spacing w:after="0"/>
              <w:rPr>
                <w:sz w:val="20"/>
                <w:szCs w:val="20"/>
                <w:color w:val="auto"/>
              </w:rPr>
            </w:pPr>
            <w:r>
              <w:rPr>
                <w:rFonts w:ascii="Arial" w:cs="Arial" w:eastAsia="Arial" w:hAnsi="Arial"/>
                <w:sz w:val="18"/>
                <w:szCs w:val="18"/>
                <w:color w:val="auto"/>
                <w:w w:val="93"/>
              </w:rPr>
              <w:t>Trust’s Annual Report on Form 10-K for the year ended December 31, 2007 (File No 1-07533) (the “2007 Form 10-K”) and incorporated</w:t>
            </w:r>
          </w:p>
        </w:tc>
      </w:tr>
      <w:tr>
        <w:trPr>
          <w:trHeight w:val="222"/>
        </w:trPr>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10.23</w:t>
            </w:r>
          </w:p>
        </w:tc>
        <w:tc>
          <w:tcPr>
            <w:tcW w:w="64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w w:val="88"/>
              </w:rPr>
              <w:t>Severance Agreement between the Trust and Joseph M. Squeri dated October 1, 2007 (previously filed as Exhibit 10.24 to the 2007 Form 10-</w:t>
            </w:r>
          </w:p>
        </w:tc>
      </w:tr>
      <w:tr>
        <w:trPr>
          <w:trHeight w:val="222"/>
        </w:trPr>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K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10.24</w:t>
            </w:r>
          </w:p>
        </w:tc>
        <w:tc>
          <w:tcPr>
            <w:tcW w:w="64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w w:val="95"/>
              </w:rPr>
              <w:t>Credit Agreement dated as of November 9, 2007, by and among the Trust, Wachovia Capital Markets LLC, Wachovia Bank, National</w:t>
            </w:r>
          </w:p>
        </w:tc>
      </w:tr>
      <w:tr>
        <w:trPr>
          <w:trHeight w:val="216"/>
        </w:trPr>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60" w:type="dxa"/>
            <w:vAlign w:val="bottom"/>
          </w:tcPr>
          <w:p>
            <w:pPr>
              <w:spacing w:after="0"/>
              <w:rPr>
                <w:sz w:val="20"/>
                <w:szCs w:val="20"/>
                <w:color w:val="auto"/>
              </w:rPr>
            </w:pPr>
            <w:r>
              <w:rPr>
                <w:rFonts w:ascii="Arial" w:cs="Arial" w:eastAsia="Arial" w:hAnsi="Arial"/>
                <w:sz w:val="18"/>
                <w:szCs w:val="18"/>
                <w:color w:val="auto"/>
                <w:w w:val="94"/>
              </w:rPr>
              <w:t>Association and various other financial institutions (previously filed as Exhibit 10.25 to the 2007 Form 10-K and incorporated herein by</w:t>
            </w:r>
          </w:p>
        </w:tc>
      </w:tr>
      <w:tr>
        <w:trPr>
          <w:trHeight w:val="222"/>
        </w:trPr>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reference)</w:t>
            </w:r>
          </w:p>
        </w:tc>
      </w:tr>
      <w:tr>
        <w:trPr>
          <w:trHeight w:val="365"/>
        </w:trPr>
        <w:tc>
          <w:tcPr>
            <w:tcW w:w="720" w:type="dxa"/>
            <w:vAlign w:val="bottom"/>
          </w:tcPr>
          <w:p>
            <w:pPr>
              <w:spacing w:after="0"/>
              <w:rPr>
                <w:sz w:val="24"/>
                <w:szCs w:val="24"/>
                <w:color w:val="auto"/>
              </w:rPr>
            </w:pPr>
          </w:p>
        </w:tc>
        <w:tc>
          <w:tcPr>
            <w:tcW w:w="10700" w:type="dxa"/>
            <w:vAlign w:val="bottom"/>
            <w:gridSpan w:val="2"/>
          </w:tcPr>
          <w:p>
            <w:pPr>
              <w:jc w:val="right"/>
              <w:ind w:right="5533"/>
              <w:spacing w:after="0"/>
              <w:rPr>
                <w:sz w:val="20"/>
                <w:szCs w:val="20"/>
                <w:color w:val="auto"/>
              </w:rPr>
            </w:pPr>
            <w:r>
              <w:rPr>
                <w:rFonts w:ascii="Arial" w:cs="Arial" w:eastAsia="Arial" w:hAnsi="Arial"/>
                <w:sz w:val="18"/>
                <w:szCs w:val="18"/>
                <w:color w:val="auto"/>
              </w:rPr>
              <w:t>38</w:t>
            </w:r>
          </w:p>
        </w:tc>
      </w:tr>
    </w:tbl>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640" w:type="dxa"/>
            <w:vAlign w:val="bottom"/>
          </w:tcPr>
          <w:p>
            <w:pPr>
              <w:spacing w:after="0"/>
              <w:rPr>
                <w:sz w:val="15"/>
                <w:szCs w:val="15"/>
                <w:color w:val="auto"/>
              </w:rPr>
            </w:pPr>
          </w:p>
        </w:tc>
        <w:tc>
          <w:tcPr>
            <w:tcW w:w="10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309"/>
        </w:trPr>
        <w:tc>
          <w:tcPr>
            <w:tcW w:w="720" w:type="dxa"/>
            <w:vAlign w:val="bottom"/>
          </w:tcPr>
          <w:p>
            <w:pPr>
              <w:spacing w:after="0"/>
              <w:rPr>
                <w:sz w:val="20"/>
                <w:szCs w:val="20"/>
                <w:color w:val="auto"/>
              </w:rPr>
            </w:pPr>
            <w:r>
              <w:rPr>
                <w:rFonts w:ascii="Arial" w:cs="Arial" w:eastAsia="Arial" w:hAnsi="Arial"/>
                <w:sz w:val="18"/>
                <w:szCs w:val="18"/>
                <w:color w:val="auto"/>
              </w:rPr>
              <w:t>10.25</w:t>
            </w:r>
          </w:p>
        </w:tc>
        <w:tc>
          <w:tcPr>
            <w:tcW w:w="64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w w:val="91"/>
              </w:rPr>
              <w:t>Change in Control Agreement between the Trust and Andrew P. Blocher dated February 12, 2007 (previously filed as Exhibit 10.27 to the</w:t>
            </w:r>
          </w:p>
        </w:tc>
      </w:tr>
      <w:tr>
        <w:trPr>
          <w:trHeight w:val="222"/>
        </w:trPr>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60" w:type="dxa"/>
            <w:vAlign w:val="bottom"/>
          </w:tcPr>
          <w:p>
            <w:pPr>
              <w:spacing w:after="0"/>
              <w:rPr>
                <w:sz w:val="20"/>
                <w:szCs w:val="20"/>
                <w:color w:val="auto"/>
              </w:rPr>
            </w:pPr>
            <w:r>
              <w:rPr>
                <w:rFonts w:ascii="Arial" w:cs="Arial" w:eastAsia="Arial" w:hAnsi="Arial"/>
                <w:sz w:val="18"/>
                <w:szCs w:val="18"/>
                <w:color w:val="auto"/>
                <w:w w:val="90"/>
              </w:rPr>
              <w:t>Trust’s Quarterly Report on Form 10-Q for the quarter ended September 30, 2008 (File No. 1-07533)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10.26</w:t>
            </w:r>
          </w:p>
        </w:tc>
        <w:tc>
          <w:tcPr>
            <w:tcW w:w="64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w w:val="89"/>
              </w:rPr>
              <w:t>Amendment to Severance Agreement between the Trust and Donald C. Wood dated January 1, 2009 (previously filed as Exhibit 10.26 to the</w:t>
            </w:r>
          </w:p>
        </w:tc>
      </w:tr>
      <w:tr>
        <w:trPr>
          <w:trHeight w:val="216"/>
        </w:trPr>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60" w:type="dxa"/>
            <w:vAlign w:val="bottom"/>
          </w:tcPr>
          <w:p>
            <w:pPr>
              <w:spacing w:after="0"/>
              <w:rPr>
                <w:sz w:val="20"/>
                <w:szCs w:val="20"/>
                <w:color w:val="auto"/>
              </w:rPr>
            </w:pPr>
            <w:r>
              <w:rPr>
                <w:rFonts w:ascii="Arial" w:cs="Arial" w:eastAsia="Arial" w:hAnsi="Arial"/>
                <w:sz w:val="18"/>
                <w:szCs w:val="18"/>
                <w:color w:val="auto"/>
                <w:w w:val="92"/>
              </w:rPr>
              <w:t>Trust’s Annual Report on Form 10-K for the year ended December 31, 2008 (File No. 1-07533) (“the 2008 Form 10-K”) and incorporated</w:t>
            </w:r>
          </w:p>
        </w:tc>
      </w:tr>
      <w:tr>
        <w:trPr>
          <w:trHeight w:val="222"/>
        </w:trPr>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10.27</w:t>
            </w:r>
          </w:p>
        </w:tc>
        <w:tc>
          <w:tcPr>
            <w:tcW w:w="64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w w:val="89"/>
              </w:rPr>
              <w:t>Second Amendment to Executive Agreement between the Trust and Donald C. Wood dated January 1, 2009 (previously filed as Exhibit 10.27</w:t>
            </w:r>
          </w:p>
        </w:tc>
      </w:tr>
      <w:tr>
        <w:trPr>
          <w:trHeight w:val="222"/>
        </w:trPr>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to the Trust’s 2008 Form 10-K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10.28</w:t>
            </w:r>
          </w:p>
        </w:tc>
        <w:tc>
          <w:tcPr>
            <w:tcW w:w="64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w w:val="89"/>
              </w:rPr>
              <w:t>Amendment to Health Coverage Continuation Agreement between the Trust and Donald C. Wood dated January 1, 2009 (previously filed as</w:t>
            </w:r>
          </w:p>
        </w:tc>
      </w:tr>
      <w:tr>
        <w:trPr>
          <w:trHeight w:val="222"/>
        </w:trPr>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Exhibit 10.28 to the Trust’s 2008 Form 10-K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10.29</w:t>
            </w:r>
          </w:p>
        </w:tc>
        <w:tc>
          <w:tcPr>
            <w:tcW w:w="64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w w:val="88"/>
              </w:rPr>
              <w:t>Second Amendment to Severance Agreement between the Trust and Jeffrey S. Berkes dated January 1, 2009 (previously filed as Exhibit 10.29</w:t>
            </w:r>
          </w:p>
        </w:tc>
      </w:tr>
      <w:tr>
        <w:trPr>
          <w:trHeight w:val="222"/>
        </w:trPr>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to the Trust’s 2008 Form 10-K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10.30</w:t>
            </w:r>
          </w:p>
        </w:tc>
        <w:tc>
          <w:tcPr>
            <w:tcW w:w="64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w w:val="88"/>
              </w:rPr>
              <w:t>Second Amendment to Severance Agreement between the Trust and Dawn M. Becker dated January 1, 2009 (previously filed as Exhibit 10.30</w:t>
            </w:r>
          </w:p>
        </w:tc>
      </w:tr>
      <w:tr>
        <w:trPr>
          <w:trHeight w:val="222"/>
        </w:trPr>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to the Trust’s 2008 Form 10-K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10.31</w:t>
            </w:r>
          </w:p>
        </w:tc>
        <w:tc>
          <w:tcPr>
            <w:tcW w:w="64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w w:val="91"/>
              </w:rPr>
              <w:t>Amendment to Change in Control Agreement between the Trust and Andrew P. Blocher dated January 1, 2009 (previously filed as Exhibit</w:t>
            </w:r>
          </w:p>
        </w:tc>
      </w:tr>
      <w:tr>
        <w:trPr>
          <w:trHeight w:val="222"/>
        </w:trPr>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10.31 to the Trust’s 2008 Form 10-K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10.32</w:t>
            </w:r>
          </w:p>
        </w:tc>
        <w:tc>
          <w:tcPr>
            <w:tcW w:w="64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w w:val="88"/>
              </w:rPr>
              <w:t>Amendment to Stock Option Agreements between the Trust and Andrew P. Blocher dated February 17, 2009 (previously filed as Exhibit 10.32</w:t>
            </w:r>
          </w:p>
        </w:tc>
      </w:tr>
      <w:tr>
        <w:trPr>
          <w:trHeight w:val="222"/>
        </w:trPr>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to the Trust’s 2008 Form 10-K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10.33</w:t>
            </w:r>
          </w:p>
        </w:tc>
        <w:tc>
          <w:tcPr>
            <w:tcW w:w="64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w w:val="88"/>
              </w:rPr>
              <w:t>Restricted Share Award Agreement between the Trust and Andrew P. Blocher dated February 17, 2009 (previously filed as Exhibit 10.33 to the</w:t>
            </w:r>
          </w:p>
        </w:tc>
      </w:tr>
      <w:tr>
        <w:trPr>
          <w:trHeight w:val="222"/>
        </w:trPr>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Trust’s 2008 Form 10-K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10.34</w:t>
            </w:r>
          </w:p>
        </w:tc>
        <w:tc>
          <w:tcPr>
            <w:tcW w:w="64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w w:val="95"/>
              </w:rPr>
              <w:t>Combined Incentive and Non-Qualified Stock Option Agreement between the Trust and Andrew P. Blocher dated February 17, 2009</w:t>
            </w:r>
          </w:p>
        </w:tc>
      </w:tr>
      <w:tr>
        <w:trPr>
          <w:trHeight w:val="222"/>
        </w:trPr>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(previously filed as Exhibit 10.34 to the Trust’s 2008 Form 10-K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10.35</w:t>
            </w:r>
          </w:p>
        </w:tc>
        <w:tc>
          <w:tcPr>
            <w:tcW w:w="64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w w:val="88"/>
              </w:rPr>
              <w:t>Severance Agreement between the Trust and Andrew P. Blocher dated February 17, 2009 (previously filed as Exhibit 10.35 to the Trust’s 2008</w:t>
            </w:r>
          </w:p>
        </w:tc>
      </w:tr>
      <w:tr>
        <w:trPr>
          <w:trHeight w:val="222"/>
        </w:trPr>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Form 10-K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10.36</w:t>
            </w:r>
          </w:p>
        </w:tc>
        <w:tc>
          <w:tcPr>
            <w:tcW w:w="64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w w:val="91"/>
              </w:rPr>
              <w:t>Credit Agreement dated as of May 4, 2009, by and among the Trust, Wachovia Capital Markets LLC, PNC Capital Markets LLC, Wachovia</w:t>
            </w:r>
          </w:p>
        </w:tc>
      </w:tr>
      <w:tr>
        <w:trPr>
          <w:trHeight w:val="216"/>
        </w:trPr>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60" w:type="dxa"/>
            <w:vAlign w:val="bottom"/>
          </w:tcPr>
          <w:p>
            <w:pPr>
              <w:spacing w:after="0"/>
              <w:rPr>
                <w:sz w:val="20"/>
                <w:szCs w:val="20"/>
                <w:color w:val="auto"/>
              </w:rPr>
            </w:pPr>
            <w:r>
              <w:rPr>
                <w:rFonts w:ascii="Arial" w:cs="Arial" w:eastAsia="Arial" w:hAnsi="Arial"/>
                <w:sz w:val="18"/>
                <w:szCs w:val="18"/>
                <w:color w:val="auto"/>
                <w:w w:val="91"/>
              </w:rPr>
              <w:t>Bank, National Association, PNC Bank, National Association and various other financial institutions (previously filed as Exhibit 10.37 to the</w:t>
            </w:r>
          </w:p>
        </w:tc>
      </w:tr>
      <w:tr>
        <w:trPr>
          <w:trHeight w:val="222"/>
        </w:trPr>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60" w:type="dxa"/>
            <w:vAlign w:val="bottom"/>
          </w:tcPr>
          <w:p>
            <w:pPr>
              <w:spacing w:after="0"/>
              <w:rPr>
                <w:sz w:val="20"/>
                <w:szCs w:val="20"/>
                <w:color w:val="auto"/>
              </w:rPr>
            </w:pPr>
            <w:r>
              <w:rPr>
                <w:rFonts w:ascii="Arial" w:cs="Arial" w:eastAsia="Arial" w:hAnsi="Arial"/>
                <w:sz w:val="18"/>
                <w:szCs w:val="18"/>
                <w:color w:val="auto"/>
                <w:w w:val="93"/>
              </w:rPr>
              <w:t>Trust’s Quarterly Report on Form 10-Q for the quarter ended March 31, 2009 (File No. 1-07533) and incorporated herein by reference)</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31.1</w:t>
            </w:r>
          </w:p>
        </w:tc>
        <w:tc>
          <w:tcPr>
            <w:tcW w:w="64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Rule 13a-14(a) Certification of Chief Executive Officer (filed herewith)</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31.2</w:t>
            </w:r>
          </w:p>
        </w:tc>
        <w:tc>
          <w:tcPr>
            <w:tcW w:w="64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Rule 13a-14(a) Certification of Chief Financial Officer (filed herewith)</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32.1</w:t>
            </w:r>
          </w:p>
        </w:tc>
        <w:tc>
          <w:tcPr>
            <w:tcW w:w="64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Section 1350 Certification of Chief Executive Officer (filed herewith)</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32.2</w:t>
            </w:r>
          </w:p>
        </w:tc>
        <w:tc>
          <w:tcPr>
            <w:tcW w:w="64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Section 1350 Certification of Chief Financial Officer (filed herewith)</w:t>
            </w:r>
          </w:p>
        </w:tc>
      </w:tr>
      <w:tr>
        <w:trPr>
          <w:trHeight w:val="365"/>
        </w:trPr>
        <w:tc>
          <w:tcPr>
            <w:tcW w:w="720" w:type="dxa"/>
            <w:vAlign w:val="bottom"/>
          </w:tcPr>
          <w:p>
            <w:pPr>
              <w:spacing w:after="0"/>
              <w:rPr>
                <w:sz w:val="24"/>
                <w:szCs w:val="24"/>
                <w:color w:val="auto"/>
              </w:rPr>
            </w:pPr>
          </w:p>
        </w:tc>
        <w:tc>
          <w:tcPr>
            <w:tcW w:w="10700" w:type="dxa"/>
            <w:vAlign w:val="bottom"/>
            <w:gridSpan w:val="2"/>
          </w:tcPr>
          <w:p>
            <w:pPr>
              <w:jc w:val="right"/>
              <w:ind w:right="5533"/>
              <w:spacing w:after="0"/>
              <w:rPr>
                <w:sz w:val="20"/>
                <w:szCs w:val="20"/>
                <w:color w:val="auto"/>
              </w:rPr>
            </w:pPr>
            <w:r>
              <w:rPr>
                <w:rFonts w:ascii="Arial" w:cs="Arial" w:eastAsia="Arial" w:hAnsi="Arial"/>
                <w:sz w:val="18"/>
                <w:szCs w:val="18"/>
                <w:color w:val="auto"/>
              </w:rPr>
              <w:t>39</w:t>
            </w:r>
          </w:p>
        </w:tc>
      </w:tr>
    </w:tbl>
    <w:p>
      <w:pPr>
        <w:sectPr>
          <w:pgSz w:w="11900" w:h="16838" w:orient="portrait"/>
          <w:cols w:equalWidth="0" w:num="1">
            <w:col w:w="11420"/>
          </w:cols>
          <w:pgMar w:left="240" w:top="459"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Donald C. Wood</w:t>
      </w:r>
      <w:r>
        <w:rPr>
          <w:rFonts w:ascii="Arial" w:cs="Arial" w:eastAsia="Arial" w:hAnsi="Arial"/>
          <w:sz w:val="18"/>
          <w:szCs w:val="18"/>
          <w:color w:val="auto"/>
        </w:rPr>
        <w:t>, certify that:</w:t>
      </w:r>
    </w:p>
    <w:p>
      <w:pPr>
        <w:spacing w:after="0" w:line="90"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Federal Realty Investment Trust;</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jc w:val="both"/>
        <w:ind w:left="1480" w:right="20" w:hanging="567"/>
        <w:spacing w:after="0" w:line="259" w:lineRule="auto"/>
        <w:tabs>
          <w:tab w:leader="none" w:pos="14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2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20" w:hanging="567"/>
        <w:spacing w:after="0" w:line="259" w:lineRule="auto"/>
        <w:tabs>
          <w:tab w:leader="none" w:pos="14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4" w:lineRule="exact"/>
        <w:rPr>
          <w:rFonts w:ascii="Arial" w:cs="Arial" w:eastAsia="Arial" w:hAnsi="Arial"/>
          <w:sz w:val="16"/>
          <w:szCs w:val="16"/>
          <w:color w:val="auto"/>
        </w:rPr>
      </w:pPr>
    </w:p>
    <w:p>
      <w:pPr>
        <w:ind w:left="1480" w:right="740" w:hanging="567"/>
        <w:spacing w:after="0" w:line="332" w:lineRule="auto"/>
        <w:tabs>
          <w:tab w:leader="none" w:pos="1480" w:val="left"/>
        </w:tabs>
        <w:numPr>
          <w:ilvl w:val="1"/>
          <w:numId w:val="2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440" w:hanging="567"/>
        <w:spacing w:after="0" w:line="268" w:lineRule="auto"/>
        <w:tabs>
          <w:tab w:leader="none" w:pos="14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7840" w:val="left"/>
          <w:tab w:leader="none" w:pos="8180" w:val="left"/>
        </w:tabs>
        <w:rPr>
          <w:sz w:val="20"/>
          <w:szCs w:val="20"/>
          <w:color w:val="auto"/>
        </w:rPr>
      </w:pPr>
      <w:r>
        <w:rPr>
          <w:rFonts w:ascii="Arial" w:cs="Arial" w:eastAsia="Arial" w:hAnsi="Arial"/>
          <w:sz w:val="18"/>
          <w:szCs w:val="18"/>
          <w:color w:val="auto"/>
        </w:rPr>
        <w:t>August 4, 2009</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0"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Donald C. Wood,</w:t>
      </w:r>
    </w:p>
    <w:p>
      <w:pPr>
        <w:spacing w:after="0" w:line="21"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9"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Executive Officer)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Andrew P. Blocher</w:t>
      </w:r>
      <w:r>
        <w:rPr>
          <w:rFonts w:ascii="Arial" w:cs="Arial" w:eastAsia="Arial" w:hAnsi="Arial"/>
          <w:sz w:val="18"/>
          <w:szCs w:val="18"/>
          <w:color w:val="auto"/>
        </w:rPr>
        <w:t>, certify that:</w:t>
      </w:r>
    </w:p>
    <w:p>
      <w:pPr>
        <w:spacing w:after="0" w:line="90"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Federal Realty Investment Trust;</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jc w:val="both"/>
        <w:ind w:left="1480" w:right="20" w:hanging="567"/>
        <w:spacing w:after="0" w:line="259" w:lineRule="auto"/>
        <w:tabs>
          <w:tab w:leader="none" w:pos="14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2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20" w:hanging="567"/>
        <w:spacing w:after="0" w:line="259" w:lineRule="auto"/>
        <w:tabs>
          <w:tab w:leader="none" w:pos="14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4" w:lineRule="exact"/>
        <w:rPr>
          <w:rFonts w:ascii="Arial" w:cs="Arial" w:eastAsia="Arial" w:hAnsi="Arial"/>
          <w:sz w:val="16"/>
          <w:szCs w:val="16"/>
          <w:color w:val="auto"/>
        </w:rPr>
      </w:pPr>
    </w:p>
    <w:p>
      <w:pPr>
        <w:ind w:left="1480" w:right="740" w:hanging="567"/>
        <w:spacing w:after="0" w:line="332" w:lineRule="auto"/>
        <w:tabs>
          <w:tab w:leader="none" w:pos="1480" w:val="left"/>
        </w:tabs>
        <w:numPr>
          <w:ilvl w:val="1"/>
          <w:numId w:val="2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440" w:hanging="567"/>
        <w:spacing w:after="0" w:line="268" w:lineRule="auto"/>
        <w:tabs>
          <w:tab w:leader="none" w:pos="14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7780" w:val="left"/>
          <w:tab w:leader="none" w:pos="8100" w:val="left"/>
        </w:tabs>
        <w:rPr>
          <w:sz w:val="20"/>
          <w:szCs w:val="20"/>
          <w:color w:val="auto"/>
        </w:rPr>
      </w:pPr>
      <w:r>
        <w:rPr>
          <w:rFonts w:ascii="Arial" w:cs="Arial" w:eastAsia="Arial" w:hAnsi="Arial"/>
          <w:sz w:val="18"/>
          <w:szCs w:val="18"/>
          <w:color w:val="auto"/>
        </w:rPr>
        <w:t>August 4, 2009</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Andrew P. Blocher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0"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Andrew P. Blocher,</w:t>
      </w:r>
    </w:p>
    <w:p>
      <w:pPr>
        <w:spacing w:after="0" w:line="21"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Senior Vice President,</w:t>
      </w:r>
    </w:p>
    <w:p>
      <w:pPr>
        <w:spacing w:after="0" w:line="9"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9"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undersigned, Donald C. Wood, the President and Chief Executive Officer of Federal Realty Investment Trust (the “Company”), has executed this certification in connection with the filing with the Securities and Exchange Commission of the Company’s Quarterly Report on Form 10-Q for the period ended June 30, 2009 (the “Report”). The undersigned hereby certifies, to the best of his knowledge, that:</w:t>
      </w:r>
    </w:p>
    <w:p>
      <w:pPr>
        <w:spacing w:after="0" w:line="59"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tabs>
          <w:tab w:leader="none" w:pos="7840" w:val="left"/>
          <w:tab w:leader="none" w:pos="8180" w:val="left"/>
        </w:tabs>
        <w:rPr>
          <w:sz w:val="20"/>
          <w:szCs w:val="20"/>
          <w:color w:val="auto"/>
        </w:rPr>
      </w:pPr>
      <w:r>
        <w:rPr>
          <w:rFonts w:ascii="Arial" w:cs="Arial" w:eastAsia="Arial" w:hAnsi="Arial"/>
          <w:sz w:val="18"/>
          <w:szCs w:val="18"/>
          <w:color w:val="auto"/>
        </w:rPr>
        <w:t>August 4, 2009</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0"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Donald C. Wood,</w:t>
      </w:r>
    </w:p>
    <w:p>
      <w:pPr>
        <w:spacing w:after="0" w:line="21"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9"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Executive Officer)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undersigned, Andrew P. Blocher, the Senior Vice President and Chief Financial Officer of Federal Realty Investment Trust (the “Company”), has executed this certification in connection with the filing with the Securities and Exchange Commission of the Company’s Quarterly Report on Form 10-Q for the period ended June 30, 2009 (the “Report”). The undersigned hereby certifies, to the best of his knowledge, that:</w:t>
      </w:r>
    </w:p>
    <w:p>
      <w:pPr>
        <w:spacing w:after="0" w:line="26"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tabs>
          <w:tab w:leader="none" w:pos="7780" w:val="left"/>
          <w:tab w:leader="none" w:pos="8100" w:val="left"/>
        </w:tabs>
        <w:rPr>
          <w:sz w:val="20"/>
          <w:szCs w:val="20"/>
          <w:color w:val="auto"/>
        </w:rPr>
      </w:pPr>
      <w:r>
        <w:rPr>
          <w:rFonts w:ascii="Arial" w:cs="Arial" w:eastAsia="Arial" w:hAnsi="Arial"/>
          <w:sz w:val="18"/>
          <w:szCs w:val="18"/>
          <w:color w:val="auto"/>
        </w:rPr>
        <w:t>August 4, 2009</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Andrew P. Blocher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0"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Andrew P. Blocher,</w:t>
      </w:r>
    </w:p>
    <w:p>
      <w:pPr>
        <w:spacing w:after="0" w:line="21"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Senior Vice President,</w:t>
      </w:r>
    </w:p>
    <w:p>
      <w:pPr>
        <w:spacing w:after="0" w:line="9"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9"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1)"/>
      <w:numFmt w:val="decimal"/>
      <w:start w:val="1"/>
    </w:lvl>
  </w:abstractNum>
  <w:abstractNum w:abstractNumId="19">
    <w:nsid w:val="4353D0CD"/>
    <w:multiLevelType w:val="hybridMultilevel"/>
    <w:lvl w:ilvl="0">
      <w:lvlJc w:val="left"/>
      <w:lvlText w:val="%1)"/>
      <w:numFmt w:val="decimal"/>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1)"/>
      <w:numFmt w:val="decimal"/>
      <w:start w:val="1"/>
    </w:lvl>
  </w:abstractNum>
  <w:abstractNum w:abstractNumId="22">
    <w:nsid w:val="54E49EB4"/>
    <w:multiLevelType w:val="hybridMultilevel"/>
    <w:lvl w:ilvl="0">
      <w:lvlJc w:val="left"/>
      <w:lvlText w:val="•"/>
      <w:numFmt w:val="bullet"/>
      <w:start w:val="1"/>
    </w:lvl>
    <w:lvl w:ilvl="1">
      <w:lvlJc w:val="left"/>
      <w:lvlText w:val="•"/>
      <w:numFmt w:val="bullet"/>
      <w:start w:val="1"/>
    </w:lvl>
  </w:abstractNum>
  <w:abstractNum w:abstractNumId="23">
    <w:nsid w:val="71F32454"/>
    <w:multiLevelType w:val="hybridMultilevel"/>
    <w:lvl w:ilvl="0">
      <w:lvlJc w:val="left"/>
      <w:lvlText w:val="(%1)"/>
      <w:numFmt w:val="decimal"/>
      <w:start w:val="1"/>
    </w:lvl>
  </w:abstractNum>
  <w:abstractNum w:abstractNumId="24">
    <w:nsid w:val="2CA88611"/>
    <w:multiLevelType w:val="hybridMultilevel"/>
    <w:lvl w:ilvl="0">
      <w:lvlJc w:val="left"/>
      <w:lvlText w:val="(%1)"/>
      <w:numFmt w:val="decimal"/>
      <w:start w:val="2"/>
    </w:lvl>
  </w:abstractNum>
  <w:abstractNum w:abstractNumId="25">
    <w:nsid w:val="836C40E"/>
    <w:multiLevelType w:val="hybridMultilevel"/>
    <w:lvl w:ilvl="0">
      <w:lvlJc w:val="left"/>
      <w:lvlText w:val="(%1)"/>
      <w:numFmt w:val="decimal"/>
      <w:start w:val="3"/>
    </w:lvl>
  </w:abstractNum>
  <w:abstractNum w:abstractNumId="26">
    <w:nsid w:val="2901D82"/>
    <w:multiLevelType w:val="hybridMultilevel"/>
    <w:lvl w:ilvl="0">
      <w:lvlJc w:val="left"/>
      <w:lvlText w:val="(%1)"/>
      <w:numFmt w:val="decimal"/>
      <w:start w:val="5"/>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2019-12-10T00:04:15Z</dcterms:created>
  <dcterms:modified xsi:type="dcterms:W3CDTF">2019-12-10T00:04:15Z</dcterms:modified>
</cp:coreProperties>
</file>