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2"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52-0782497</w:t>
      </w:r>
    </w:p>
    <w:p>
      <w:pPr>
        <w:spacing w:after="0" w:line="12" w:lineRule="exact"/>
        <w:rPr>
          <w:sz w:val="24"/>
          <w:szCs w:val="24"/>
          <w:color w:val="auto"/>
        </w:rPr>
      </w:pPr>
    </w:p>
    <w:p>
      <w:pPr>
        <w:sectPr>
          <w:pgSz w:w="11900" w:h="16838" w:orient="portrait"/>
          <w:cols w:equalWidth="0" w:num="3">
            <w:col w:w="4600" w:space="720"/>
            <w:col w:w="2780" w:space="720"/>
            <w:col w:w="2220"/>
          </w:cols>
          <w:pgMar w:left="440" w:top="362" w:right="41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760" w:space="720"/>
            <w:col w:w="2340"/>
          </w:cols>
          <w:pgMar w:left="440" w:top="362" w:right="419" w:bottom="1440" w:gutter="0" w:footer="0" w:header="0"/>
          <w:type w:val="continuous"/>
        </w:sectPr>
      </w:pPr>
    </w:p>
    <w:p>
      <w:pPr>
        <w:spacing w:after="0" w:line="2"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20852-4041</w:t>
      </w:r>
    </w:p>
    <w:p>
      <w:pPr>
        <w:spacing w:after="0" w:line="42" w:lineRule="exact"/>
        <w:rPr>
          <w:sz w:val="24"/>
          <w:szCs w:val="24"/>
          <w:color w:val="auto"/>
        </w:rPr>
      </w:pPr>
    </w:p>
    <w:p>
      <w:pPr>
        <w:sectPr>
          <w:pgSz w:w="11900" w:h="16838" w:orient="portrait"/>
          <w:cols w:equalWidth="0" w:num="2">
            <w:col w:w="6640" w:space="720"/>
            <w:col w:w="3680"/>
          </w:cols>
          <w:pgMar w:left="440" w:top="362" w:right="41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96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6700" w:space="720"/>
            <w:col w:w="3620"/>
          </w:cols>
          <w:pgMar w:left="440" w:top="362" w:right="4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301/998-8100</w:t>
      </w:r>
    </w:p>
    <w:p>
      <w:pPr>
        <w:spacing w:after="0" w:line="22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8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Shares of Beneficial Interest, $.01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4"/>
              </w:rPr>
              <w:t>FRT</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value per share, with associated Common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Depositary Shares, each representing 1/1000 of a</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FRT-C</w:t>
            </w: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 of 5.00% Series C Cumulative Redeemable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Preferred Stock, $.01 par value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231775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2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2" w:right="419" w:bottom="1440" w:gutter="0" w:footer="0" w:header="0"/>
          <w:type w:val="continuous"/>
        </w:sectPr>
      </w:pPr>
    </w:p>
    <w:bookmarkStart w:id="1" w:name="page2"/>
    <w:bookmarkEnd w:id="1"/>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June 4, 2019, Federal Realty Investment Trust (the “Registrant”) entered into an underwriting agreement with BofA Securities, Inc., Jefferies LLC and U.S. Bancorp Investments, Inc., as representatives of the several underwriters named in Schedule I to the related pricing agreement, whereby the Registrant agreed to issue and sell $300,000,000 aggregate principal amount of 3.20% Notes due 2029 (the “Notes”) in an underwritten public offering.</w:t>
      </w:r>
    </w:p>
    <w:p>
      <w:pPr>
        <w:spacing w:after="0" w:line="158"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7"/>
          <w:szCs w:val="17"/>
          <w:color w:val="auto"/>
        </w:rPr>
        <w:t>The offering of the Notes closed on June 7, 2019. The Notes are be governed by the Indenture, dated as of September 1, 1998, between the Registrant and U.S. Bank National Association (successor trustee to Wachovia Bank, National Association (successor trustee to First Union National Bank)).</w:t>
      </w:r>
    </w:p>
    <w:p>
      <w:pPr>
        <w:spacing w:after="0" w:line="13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Notes are senior unsecured obligations of the Registrant and rank equally with all of the Registrant’s other senior unsecured indebtedness. The Notes bear interest at 3.20% per annum, and interest is payable on June 15 and December 15 of each year, beginning on December 15, 2019. The Notes will mature on June 15, 2029.</w:t>
      </w:r>
    </w:p>
    <w:p>
      <w:pPr>
        <w:spacing w:after="0" w:line="32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540" w:type="dxa"/>
            <w:vAlign w:val="bottom"/>
            <w:gridSpan w:val="11"/>
            <w:vMerge w:val="restart"/>
          </w:tcPr>
          <w:p>
            <w:pPr>
              <w:ind w:left="24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No.</w:t>
            </w:r>
          </w:p>
        </w:tc>
        <w:tc>
          <w:tcPr>
            <w:tcW w:w="5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754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00" w:type="dxa"/>
            <w:vAlign w:val="bottom"/>
          </w:tcPr>
          <w:p>
            <w:pPr>
              <w:jc w:val="right"/>
              <w:ind w:right="122"/>
              <w:spacing w:after="0"/>
              <w:rPr>
                <w:sz w:val="20"/>
                <w:szCs w:val="20"/>
                <w:color w:val="auto"/>
              </w:rPr>
            </w:pPr>
            <w:r>
              <w:rPr>
                <w:rFonts w:ascii="Times New Roman" w:cs="Times New Roman" w:eastAsia="Times New Roman" w:hAnsi="Times New Roman"/>
                <w:sz w:val="18"/>
                <w:szCs w:val="18"/>
                <w:color w:val="auto"/>
              </w:rPr>
              <w:t>1.1</w:t>
            </w:r>
          </w:p>
        </w:tc>
        <w:tc>
          <w:tcPr>
            <w:tcW w:w="520" w:type="dxa"/>
            <w:vAlign w:val="bottom"/>
          </w:tcPr>
          <w:p>
            <w:pPr>
              <w:spacing w:after="0"/>
              <w:rPr>
                <w:sz w:val="24"/>
                <w:szCs w:val="24"/>
                <w:color w:val="auto"/>
              </w:rPr>
            </w:pPr>
          </w:p>
        </w:tc>
        <w:tc>
          <w:tcPr>
            <w:tcW w:w="9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Underwriting Agreement, dated June 4, 2019, by and among the Registrant and BofA Securities, Inc., Jefferies LLC and U.S. Bancorp</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Investments, Inc., as representatives of the underwriters named in Schedule I to the related pricing agreement</w:t>
              </w:r>
            </w:hyperlink>
          </w:p>
        </w:tc>
        <w:tc>
          <w:tcPr>
            <w:tcW w:w="18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tcPr>
          <w:p>
            <w:pPr>
              <w:spacing w:after="0"/>
              <w:rPr>
                <w:sz w:val="24"/>
                <w:szCs w:val="24"/>
                <w:color w:val="auto"/>
              </w:rPr>
            </w:pPr>
          </w:p>
        </w:tc>
        <w:tc>
          <w:tcPr>
            <w:tcW w:w="9740" w:type="dxa"/>
            <w:vAlign w:val="bottom"/>
            <w:gridSpan w:val="12"/>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Pricing Agreement, dated June 4, 2019, by and among the Registrant and BofA Securities, Inc., Jefferies LLC and U.S. Bancorp</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8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Investments, Inc., as representatives of the underwriters named therein</w:t>
              </w:r>
            </w:hyperlink>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4.1</w:t>
            </w:r>
          </w:p>
        </w:tc>
        <w:tc>
          <w:tcPr>
            <w:tcW w:w="520" w:type="dxa"/>
            <w:vAlign w:val="bottom"/>
          </w:tcPr>
          <w:p>
            <w:pPr>
              <w:spacing w:after="0"/>
              <w:rPr>
                <w:sz w:val="24"/>
                <w:szCs w:val="24"/>
                <w:color w:val="auto"/>
              </w:rPr>
            </w:pPr>
          </w:p>
        </w:tc>
        <w:tc>
          <w:tcPr>
            <w:tcW w:w="508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Form of 3.20% Note due 2029</w:t>
              </w:r>
            </w:hyperlink>
          </w:p>
        </w:tc>
        <w:tc>
          <w:tcPr>
            <w:tcW w:w="46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46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tcPr>
          <w:p>
            <w:pPr>
              <w:spacing w:after="0"/>
              <w:rPr>
                <w:sz w:val="24"/>
                <w:szCs w:val="24"/>
                <w:color w:val="auto"/>
              </w:rPr>
            </w:pPr>
          </w:p>
        </w:tc>
        <w:tc>
          <w:tcPr>
            <w:tcW w:w="84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Opinion of Pillsbury Winthrop Shaw Pittman LLP relating to legality of the securities being issued by the Registrant</w:t>
              </w:r>
            </w:hyperlink>
          </w:p>
        </w:tc>
        <w:tc>
          <w:tcPr>
            <w:tcW w:w="1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8.1</w:t>
            </w:r>
          </w:p>
        </w:tc>
        <w:tc>
          <w:tcPr>
            <w:tcW w:w="520" w:type="dxa"/>
            <w:vAlign w:val="bottom"/>
          </w:tcPr>
          <w:p>
            <w:pPr>
              <w:spacing w:after="0"/>
              <w:rPr>
                <w:sz w:val="24"/>
                <w:szCs w:val="24"/>
                <w:color w:val="auto"/>
              </w:rPr>
            </w:pPr>
          </w:p>
        </w:tc>
        <w:tc>
          <w:tcPr>
            <w:tcW w:w="9740" w:type="dxa"/>
            <w:vAlign w:val="bottom"/>
            <w:gridSpan w:val="12"/>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Opinion of Pillsbury Winthrop Shaw Pittman LLP relating to material tax matters relating to the Registrant</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8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23.1</w:t>
            </w:r>
          </w:p>
        </w:tc>
        <w:tc>
          <w:tcPr>
            <w:tcW w:w="520" w:type="dxa"/>
            <w:vAlign w:val="bottom"/>
          </w:tcPr>
          <w:p>
            <w:pPr>
              <w:spacing w:after="0"/>
              <w:rPr>
                <w:sz w:val="24"/>
                <w:szCs w:val="24"/>
                <w:color w:val="auto"/>
              </w:rPr>
            </w:pPr>
          </w:p>
        </w:tc>
        <w:tc>
          <w:tcPr>
            <w:tcW w:w="9740" w:type="dxa"/>
            <w:vAlign w:val="bottom"/>
            <w:gridSpan w:val="12"/>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Consents of Pillsbury Winthrop Shaw Pittman LLP (contained in the opinions filed as Exhibits </w:t>
            </w:r>
            <w:hyperlink w:anchor="page64">
              <w:r>
                <w:rPr>
                  <w:rFonts w:ascii="Times New Roman" w:cs="Times New Roman" w:eastAsia="Times New Roman" w:hAnsi="Times New Roman"/>
                  <w:sz w:val="18"/>
                  <w:szCs w:val="18"/>
                  <w:color w:val="0000EE"/>
                </w:rPr>
                <w:t>5.1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w:anchor="page66">
              <w:r>
                <w:rPr>
                  <w:rFonts w:ascii="Times New Roman" w:cs="Times New Roman" w:eastAsia="Times New Roman" w:hAnsi="Times New Roman"/>
                  <w:sz w:val="18"/>
                  <w:szCs w:val="18"/>
                  <w:color w:val="0000EE"/>
                </w:rPr>
                <w:t>8.1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hereto)</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1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40" w:top="266" w:right="5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25"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color w:val="auto"/>
        </w:rPr>
        <w:t>Date: June 7, 2019</w:t>
      </w:r>
      <w:r>
        <w:rPr>
          <w:sz w:val="20"/>
          <w:szCs w:val="20"/>
          <w:color w:val="auto"/>
        </w:rPr>
        <w:tab/>
      </w:r>
      <w:r>
        <w:rPr>
          <w:rFonts w:ascii="Times New Roman" w:cs="Times New Roman" w:eastAsia="Times New Roman" w:hAnsi="Times New Roman"/>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17145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Dawn M. Becker</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Executive Vice President-General Counsel and Secretary</w:t>
      </w:r>
    </w:p>
    <w:p>
      <w:pPr>
        <w:spacing w:after="0" w:line="1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80"/>
          </w:cols>
          <w:pgMar w:left="440" w:top="270" w:right="7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5"/>
          <w:szCs w:val="15"/>
          <w:b w:val="1"/>
          <w:bCs w:val="1"/>
          <w:color w:val="auto"/>
        </w:rPr>
        <w:t>EDERAL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EALTY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NVESTMENT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RUST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4,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5"/>
          <w:szCs w:val="15"/>
          <w:color w:val="auto"/>
        </w:rPr>
        <w:t>OF</w:t>
      </w:r>
      <w:r>
        <w:rPr>
          <w:rFonts w:ascii="Times New Roman" w:cs="Times New Roman" w:eastAsia="Times New Roman" w:hAnsi="Times New Roman"/>
          <w:sz w:val="18"/>
          <w:szCs w:val="18"/>
          <w:color w:val="auto"/>
        </w:rPr>
        <w:t>A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5"/>
          <w:szCs w:val="15"/>
          <w:color w:val="auto"/>
        </w:rPr>
        <w:t>EFFERIES</w:t>
      </w:r>
      <w:r>
        <w:rPr>
          <w:rFonts w:ascii="Times New Roman" w:cs="Times New Roman" w:eastAsia="Times New Roman" w:hAnsi="Times New Roman"/>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5"/>
          <w:szCs w:val="15"/>
          <w:color w:val="auto"/>
        </w:rPr>
        <w:t>ANCORP</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5"/>
          <w:szCs w:val="15"/>
          <w:color w:val="auto"/>
        </w:rPr>
        <w:t>NVESTMENTS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c/o</w:t>
        <w:tab/>
        <w:t>BofA Securities,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N. Tryon St., 26th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80" w:firstLine="441"/>
        <w:spacing w:after="0" w:line="256" w:lineRule="auto"/>
        <w:rPr>
          <w:sz w:val="20"/>
          <w:szCs w:val="20"/>
          <w:color w:val="auto"/>
        </w:rPr>
      </w:pPr>
      <w:r>
        <w:rPr>
          <w:rFonts w:ascii="Times New Roman" w:cs="Times New Roman" w:eastAsia="Times New Roman" w:hAnsi="Times New Roman"/>
          <w:sz w:val="18"/>
          <w:szCs w:val="18"/>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 II to such Pricing Agreement (with respect to the Securities specified in such Schedule II, the “Designated Securities”).</w:t>
      </w:r>
    </w:p>
    <w:p>
      <w:pPr>
        <w:spacing w:after="0" w:line="188"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ectPr>
          <w:pgSz w:w="11900" w:h="16838" w:orient="portrait"/>
          <w:cols w:equalWidth="0" w:num="1">
            <w:col w:w="11020"/>
          </w:cols>
          <w:pgMar w:left="440" w:top="117" w:right="439" w:bottom="1440" w:gutter="0" w:footer="0" w:header="0"/>
        </w:sectPr>
      </w:pPr>
    </w:p>
    <w:bookmarkStart w:id="4" w:name="page5"/>
    <w:bookmarkEnd w:id="4"/>
    <w:p>
      <w:pPr>
        <w:ind w:left="-20" w:right="40" w:firstLine="444"/>
        <w:spacing w:after="0" w:line="252" w:lineRule="auto"/>
        <w:tabs>
          <w:tab w:leader="none" w:pos="7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Particular sales of Designated Securities may be made from time to time to the Underwriters of such Designated Securities, for whom the firms designated as representatives of the Underwriters of such Designated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97" w:lineRule="exact"/>
        <w:rPr>
          <w:rFonts w:ascii="Times New Roman" w:cs="Times New Roman" w:eastAsia="Times New Roman" w:hAnsi="Times New Roman"/>
          <w:sz w:val="18"/>
          <w:szCs w:val="18"/>
          <w:color w:val="auto"/>
        </w:rPr>
      </w:pPr>
    </w:p>
    <w:p>
      <w:pPr>
        <w:ind w:left="-20" w:right="160" w:firstLine="444"/>
        <w:spacing w:after="0" w:line="282" w:lineRule="auto"/>
        <w:tabs>
          <w:tab w:leader="none" w:pos="73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to, and agrees with, each of the Underwriters as of the date hereof, the Applicable Time referred to in Section 2(c) hereof and the Time of Delivery referred to in Section 4 hereof that:</w:t>
      </w:r>
    </w:p>
    <w:p>
      <w:pPr>
        <w:spacing w:after="0" w:line="53" w:lineRule="exact"/>
        <w:rPr>
          <w:rFonts w:ascii="Times New Roman" w:cs="Times New Roman" w:eastAsia="Times New Roman" w:hAnsi="Times New Roman"/>
          <w:sz w:val="18"/>
          <w:szCs w:val="18"/>
          <w:color w:val="auto"/>
        </w:rPr>
      </w:pPr>
    </w:p>
    <w:p>
      <w:pPr>
        <w:ind w:left="420" w:firstLine="428"/>
        <w:spacing w:after="0" w:line="254" w:lineRule="auto"/>
        <w:tabs>
          <w:tab w:leader="none" w:pos="12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with the Securities and Exchange Commission (the “Commission”) an automatic shelf registration statement on Form S-3 (No. 333-224701),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 under the Act. Promptly after execution and delivery of a Pricing Agreement with respect to the Designated Securities specified therein, the Company will prepare and file a prospectus in accordance with the provisions of Rule 430B under the Act (“Rule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 used in connection with the offering of Designated Securities that omitted Rule 430B Information is herein called a “preliminary prospectus.” Such registration statement, at any given time, including the amendments thereto at such time,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60" w:top="270" w:right="439" w:bottom="144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77" w:lineRule="exact"/>
        <w:rPr>
          <w:sz w:val="20"/>
          <w:szCs w:val="20"/>
          <w:color w:val="auto"/>
        </w:rPr>
      </w:pPr>
    </w:p>
    <w:p>
      <w:pPr>
        <w:ind w:firstLine="423"/>
        <w:spacing w:after="0" w:line="255" w:lineRule="auto"/>
        <w:rPr>
          <w:sz w:val="20"/>
          <w:szCs w:val="20"/>
          <w:color w:val="auto"/>
        </w:rPr>
      </w:pPr>
      <w:r>
        <w:rPr>
          <w:rFonts w:ascii="Times New Roman" w:cs="Times New Roman" w:eastAsia="Times New Roman" w:hAnsi="Times New Roman"/>
          <w:sz w:val="18"/>
          <w:szCs w:val="18"/>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77" w:lineRule="exact"/>
        <w:rPr>
          <w:sz w:val="20"/>
          <w:szCs w:val="20"/>
          <w:color w:val="auto"/>
        </w:rPr>
      </w:pPr>
    </w:p>
    <w:p>
      <w:pPr>
        <w:ind w:right="40" w:firstLine="428"/>
        <w:spacing w:after="0" w:line="254" w:lineRule="auto"/>
        <w:tabs>
          <w:tab w:leader="none" w:pos="8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164(h)(2) under the Act) of the Designated Securities, (E) 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w:t>
      </w:r>
    </w:p>
    <w:p>
      <w:pPr>
        <w:spacing w:after="0" w:line="12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70" w:right="479" w:bottom="1440" w:gutter="0" w:footer="0" w:header="0"/>
        </w:sectPr>
      </w:pPr>
    </w:p>
    <w:bookmarkStart w:id="6" w:name="page7"/>
    <w:bookmarkEnd w:id="6"/>
    <w:p>
      <w:pPr>
        <w:ind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on a Rule 405 “automatic shelf registration statement.” The Company has not received from the Commission any notice pursuant to Rule 401(g)(2) under the Act objecting to the use of the automatic shelf registration statement form.</w:t>
      </w:r>
    </w:p>
    <w:p>
      <w:pPr>
        <w:spacing w:after="0" w:line="54" w:lineRule="exact"/>
        <w:rPr>
          <w:sz w:val="20"/>
          <w:szCs w:val="20"/>
          <w:color w:val="auto"/>
        </w:rPr>
      </w:pPr>
    </w:p>
    <w:p>
      <w:pPr>
        <w:ind w:right="20" w:firstLine="428"/>
        <w:spacing w:after="0" w:line="258" w:lineRule="auto"/>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Registration Statement became effective upon filing under Rule 462(e) under the Act (“Rule 462(e)”) on May 7, 2018,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76"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76" w:lineRule="exact"/>
        <w:rPr>
          <w:sz w:val="20"/>
          <w:szCs w:val="20"/>
          <w:color w:val="auto"/>
        </w:rPr>
      </w:pPr>
    </w:p>
    <w:p>
      <w:pPr>
        <w:ind w:right="40" w:firstLine="428"/>
        <w:spacing w:after="0" w:line="256" w:lineRule="auto"/>
        <w:tabs>
          <w:tab w:leader="none" w:pos="7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respective times the Original Registration Statement and each amendment thereto became effective, (B) at each deemed effective date with respect to the Underwriters and the Designated Securities pursuant to Rule 430B(f)(2) under the Act and (C) at the Time of Delivery, the Registration Statement complied, complies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80" w:lineRule="exact"/>
        <w:rPr>
          <w:sz w:val="20"/>
          <w:szCs w:val="20"/>
          <w:color w:val="auto"/>
        </w:rPr>
      </w:pPr>
    </w:p>
    <w:p>
      <w:pPr>
        <w:ind w:right="60" w:firstLine="423"/>
        <w:spacing w:after="0" w:line="258" w:lineRule="auto"/>
        <w:rPr>
          <w:sz w:val="20"/>
          <w:szCs w:val="20"/>
          <w:color w:val="auto"/>
        </w:rPr>
      </w:pPr>
      <w:r>
        <w:rPr>
          <w:rFonts w:ascii="Times New Roman" w:cs="Times New Roman" w:eastAsia="Times New Roman" w:hAnsi="Times New Roman"/>
          <w:sz w:val="18"/>
          <w:szCs w:val="18"/>
          <w:color w:val="auto"/>
        </w:rPr>
        <w:t>The Prospectus and each amendment or supplement thereto, if any, at the time the Prospectus or any such amendment or supplement was issued and at the Time of Delivery, complied, complies and will comply, in all material respects with the requirements of the Act, and neither the Prospectus nor any amendments or supplements thereto, at the time the Prospectus or any such amendment or supplement was issued or at the Time of Delivery,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76"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w:t>
      </w:r>
    </w:p>
    <w:p>
      <w:pPr>
        <w:spacing w:after="0" w:line="10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880" w:top="270" w:right="439" w:bottom="1440" w:gutter="0" w:footer="0" w:header="0"/>
        </w:sectPr>
      </w:pPr>
    </w:p>
    <w:bookmarkStart w:id="7" w:name="page8"/>
    <w:bookmarkEnd w:id="7"/>
    <w:p>
      <w:pPr>
        <w:ind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68" w:lineRule="exact"/>
        <w:rPr>
          <w:sz w:val="20"/>
          <w:szCs w:val="20"/>
          <w:color w:val="auto"/>
        </w:rPr>
      </w:pPr>
    </w:p>
    <w:p>
      <w:pPr>
        <w:ind w:firstLine="423"/>
        <w:spacing w:after="0" w:line="281" w:lineRule="auto"/>
        <w:rPr>
          <w:sz w:val="20"/>
          <w:szCs w:val="20"/>
          <w:color w:val="auto"/>
        </w:rPr>
      </w:pPr>
      <w:r>
        <w:rPr>
          <w:rFonts w:ascii="Times New Roman" w:cs="Times New Roman" w:eastAsia="Times New Roman" w:hAnsi="Times New Roman"/>
          <w:sz w:val="17"/>
          <w:szCs w:val="17"/>
          <w:color w:val="auto"/>
        </w:rPr>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57" w:lineRule="exact"/>
        <w:rPr>
          <w:sz w:val="20"/>
          <w:szCs w:val="20"/>
          <w:color w:val="auto"/>
        </w:rPr>
      </w:pPr>
    </w:p>
    <w:p>
      <w:pPr>
        <w:ind w:right="100" w:firstLine="423"/>
        <w:spacing w:after="0" w:line="258" w:lineRule="auto"/>
        <w:rPr>
          <w:sz w:val="20"/>
          <w:szCs w:val="20"/>
          <w:color w:val="auto"/>
        </w:rPr>
      </w:pPr>
      <w:r>
        <w:rPr>
          <w:rFonts w:ascii="Times New Roman" w:cs="Times New Roman" w:eastAsia="Times New Roman" w:hAnsi="Times New Roman"/>
          <w:sz w:val="18"/>
          <w:szCs w:val="18"/>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used in this subsection and elsewhere in this Underwriting Agreement:</w:t>
      </w:r>
    </w:p>
    <w:p>
      <w:pPr>
        <w:spacing w:after="0" w:line="117" w:lineRule="exact"/>
        <w:rPr>
          <w:sz w:val="20"/>
          <w:szCs w:val="20"/>
          <w:color w:val="auto"/>
        </w:rPr>
      </w:pPr>
    </w:p>
    <w:p>
      <w:pPr>
        <w:ind w:right="520" w:firstLine="423"/>
        <w:spacing w:after="0" w:line="282" w:lineRule="auto"/>
        <w:rPr>
          <w:sz w:val="20"/>
          <w:szCs w:val="20"/>
          <w:color w:val="auto"/>
        </w:rPr>
      </w:pPr>
      <w:r>
        <w:rPr>
          <w:rFonts w:ascii="Times New Roman" w:cs="Times New Roman" w:eastAsia="Times New Roman" w:hAnsi="Times New Roman"/>
          <w:sz w:val="18"/>
          <w:szCs w:val="18"/>
          <w:color w:val="auto"/>
        </w:rPr>
        <w:t>“Applicable Time” shall have the meaning set forth in Schedule II of the Pricing Agreement with respect to the Designated Securities specified therein.</w:t>
      </w:r>
    </w:p>
    <w:p>
      <w:pPr>
        <w:spacing w:after="0" w:line="54" w:lineRule="exact"/>
        <w:rPr>
          <w:sz w:val="20"/>
          <w:szCs w:val="20"/>
          <w:color w:val="auto"/>
        </w:rPr>
      </w:pPr>
    </w:p>
    <w:p>
      <w:pPr>
        <w:ind w:right="20" w:firstLine="423"/>
        <w:spacing w:after="0" w:line="256" w:lineRule="auto"/>
        <w:rPr>
          <w:sz w:val="20"/>
          <w:szCs w:val="20"/>
          <w:color w:val="auto"/>
        </w:rPr>
      </w:pPr>
      <w:r>
        <w:rPr>
          <w:rFonts w:ascii="Times New Roman" w:cs="Times New Roman" w:eastAsia="Times New Roman" w:hAnsi="Times New Roman"/>
          <w:sz w:val="18"/>
          <w:szCs w:val="18"/>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80" w:lineRule="exact"/>
        <w:rPr>
          <w:sz w:val="20"/>
          <w:szCs w:val="20"/>
          <w:color w:val="auto"/>
        </w:rPr>
      </w:pPr>
    </w:p>
    <w:p>
      <w:pPr>
        <w:jc w:val="both"/>
        <w:ind w:right="40" w:firstLine="423"/>
        <w:spacing w:after="0" w:line="266" w:lineRule="auto"/>
        <w:rPr>
          <w:sz w:val="20"/>
          <w:szCs w:val="20"/>
          <w:color w:val="auto"/>
        </w:rPr>
      </w:pPr>
      <w:r>
        <w:rPr>
          <w:rFonts w:ascii="Times New Roman" w:cs="Times New Roman" w:eastAsia="Times New Roman" w:hAnsi="Times New Roman"/>
          <w:sz w:val="18"/>
          <w:szCs w:val="18"/>
          <w:color w:val="auto"/>
        </w:rPr>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1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8" w:name="page9"/>
    <w:bookmarkEnd w:id="8"/>
    <w:p>
      <w:pPr>
        <w:ind w:right="20" w:firstLine="428"/>
        <w:spacing w:after="0" w:line="266" w:lineRule="auto"/>
        <w:tabs>
          <w:tab w:leader="none" w:pos="8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68" w:lineRule="exact"/>
        <w:rPr>
          <w:rFonts w:ascii="Times New Roman" w:cs="Times New Roman" w:eastAsia="Times New Roman" w:hAnsi="Times New Roman"/>
          <w:sz w:val="18"/>
          <w:szCs w:val="18"/>
          <w:color w:val="auto"/>
        </w:rPr>
      </w:pPr>
    </w:p>
    <w:p>
      <w:pPr>
        <w:ind w:firstLine="428"/>
        <w:spacing w:after="0" w:line="255" w:lineRule="auto"/>
        <w:tabs>
          <w:tab w:leader="none" w:pos="8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81" w:lineRule="exact"/>
        <w:rPr>
          <w:rFonts w:ascii="Times New Roman" w:cs="Times New Roman" w:eastAsia="Times New Roman" w:hAnsi="Times New Roman"/>
          <w:sz w:val="18"/>
          <w:szCs w:val="18"/>
          <w:color w:val="auto"/>
        </w:rPr>
      </w:pPr>
    </w:p>
    <w:p>
      <w:pPr>
        <w:ind w:right="20" w:firstLine="428"/>
        <w:spacing w:after="0" w:line="252"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the General Disclosure Package and the Prospectus; each “significant subsidiary” of the Company (as such term is defined in Rule 1-02 of Regulation S-X) (each, a “Subsidiary” and collectively, the “Subsidiaries”)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 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of the applicable Pricing Agreement by the current and former holders of partnership or other interests in certain of the “DownREIT” and other subsidiaries, which may result in the issuance of common shares of beneficial interest of the Company (“Common Shares”); and the Company and the Subsidiaries are duly qualified to transact business in all jurisdictions in which the</w:t>
      </w:r>
    </w:p>
    <w:p>
      <w:pPr>
        <w:spacing w:after="0" w:line="1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80" w:top="270" w:right="439" w:bottom="1440" w:gutter="0" w:footer="0" w:header="0"/>
        </w:sectPr>
      </w:pPr>
    </w:p>
    <w:bookmarkStart w:id="9" w:name="page10"/>
    <w:bookmarkEnd w:id="9"/>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68" w:lineRule="exact"/>
        <w:rPr>
          <w:sz w:val="20"/>
          <w:szCs w:val="20"/>
          <w:color w:val="auto"/>
        </w:rPr>
      </w:pPr>
    </w:p>
    <w:p>
      <w:pPr>
        <w:ind w:firstLine="428"/>
        <w:spacing w:after="0" w:line="252" w:lineRule="auto"/>
        <w:tabs>
          <w:tab w:leader="none" w:pos="8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considered as one enterprise, have not, since the date of the latest audited financial statements included or incorporated by reference in the Registration Statement, the General Disclosure Package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 (i) conversion of any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result in the issuance of Common Shares of the Company, (v) the terms of (a) the Equity Distribution Agreement dated May 7, 2018 between the Company and Wells Fargo Securities, LLC, (b) the Equity Distribution Agreement dated May 7, 2018 between the Company and BofA Securities, Inc. and (c) the Equity Distribution Agreement dated May 7, 2018 between the Company and Citigroup Global Markets Inc., as the same may be amended from time to time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General Disclosure Package and the Prospectus.</w:t>
      </w:r>
    </w:p>
    <w:p>
      <w:pPr>
        <w:spacing w:after="0" w:line="84" w:lineRule="exact"/>
        <w:rPr>
          <w:rFonts w:ascii="Times New Roman" w:cs="Times New Roman" w:eastAsia="Times New Roman" w:hAnsi="Times New Roman"/>
          <w:sz w:val="18"/>
          <w:szCs w:val="18"/>
          <w:color w:val="auto"/>
        </w:rPr>
      </w:pPr>
    </w:p>
    <w:p>
      <w:pPr>
        <w:ind w:right="140" w:firstLine="428"/>
        <w:spacing w:after="0" w:line="258" w:lineRule="auto"/>
        <w:tabs>
          <w:tab w:leader="none" w:pos="81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authorized capitalization as set forth in the Company’s consolidated balance sheet as of the latest financial statements, audited or unaudited, as applicable, included or incorporated by reference in the Registration Statement, the General Disclosure Package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0" w:name="page11"/>
    <w:bookmarkEnd w:id="10"/>
    <w:p>
      <w:pPr>
        <w:ind w:right="40" w:firstLine="428"/>
        <w:spacing w:after="0" w:line="266" w:lineRule="auto"/>
        <w:tabs>
          <w:tab w:leader="none" w:pos="7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full right, power and authority under its organizational documents to enter into this Underwriting Agreement and the Pricing Agreement with respect to such Designated Securities, and this Underwriting Agreement and the Pricing Agreement with respect to such Designated Securities have been duly and validly authorized, executed and delivered by the Company.</w:t>
      </w:r>
    </w:p>
    <w:p>
      <w:pPr>
        <w:spacing w:after="0" w:line="68" w:lineRule="exact"/>
        <w:rPr>
          <w:rFonts w:ascii="Times New Roman" w:cs="Times New Roman" w:eastAsia="Times New Roman" w:hAnsi="Times New Roman"/>
          <w:sz w:val="18"/>
          <w:szCs w:val="18"/>
          <w:color w:val="auto"/>
        </w:rPr>
      </w:pPr>
    </w:p>
    <w:p>
      <w:pPr>
        <w:ind w:firstLine="428"/>
        <w:spacing w:after="0" w:line="254" w:lineRule="auto"/>
        <w:tabs>
          <w:tab w:leader="none" w:pos="77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Designated Securities have been duly and validly authorized by the Company, and, when such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Registration Statement, the General Disclosure Package and the Prospectus, as amended or supplemented, with respect to such Designated Securities.</w:t>
      </w:r>
    </w:p>
    <w:p>
      <w:pPr>
        <w:spacing w:after="0" w:line="78" w:lineRule="exact"/>
        <w:rPr>
          <w:rFonts w:ascii="Times New Roman" w:cs="Times New Roman" w:eastAsia="Times New Roman" w:hAnsi="Times New Roman"/>
          <w:sz w:val="18"/>
          <w:szCs w:val="18"/>
          <w:color w:val="auto"/>
        </w:rPr>
      </w:pPr>
    </w:p>
    <w:p>
      <w:pPr>
        <w:ind w:right="140" w:firstLine="428"/>
        <w:spacing w:after="0" w:line="261" w:lineRule="auto"/>
        <w:tabs>
          <w:tab w:leader="none" w:pos="81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its Subsidiaries is in violation of its charter or bylaws or similar organizational documents; (ii) no subsidiary of the Company not referred to in clause (i) above is in violation of its charter or bylaws or similar organizational documents;</w:t>
      </w:r>
    </w:p>
    <w:p>
      <w:pPr>
        <w:ind w:right="20" w:firstLine="4"/>
        <w:spacing w:after="0" w:line="252" w:lineRule="auto"/>
        <w:tabs>
          <w:tab w:leader="none" w:pos="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1" w:name="page12"/>
    <w:bookmarkEnd w:id="11"/>
    <w:p>
      <w:pPr>
        <w:ind w:right="20" w:firstLine="428"/>
        <w:spacing w:after="0" w:line="253" w:lineRule="auto"/>
        <w:tabs>
          <w:tab w:leader="none" w:pos="7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80" w:lineRule="exact"/>
        <w:rPr>
          <w:rFonts w:ascii="Times New Roman" w:cs="Times New Roman" w:eastAsia="Times New Roman" w:hAnsi="Times New Roman"/>
          <w:sz w:val="18"/>
          <w:szCs w:val="18"/>
          <w:color w:val="auto"/>
        </w:rPr>
      </w:pPr>
    </w:p>
    <w:p>
      <w:pPr>
        <w:ind w:firstLine="428"/>
        <w:spacing w:after="0" w:line="256" w:lineRule="auto"/>
        <w:tabs>
          <w:tab w:leader="none" w:pos="8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the Registration Statement, the General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79" w:lineRule="exact"/>
        <w:rPr>
          <w:rFonts w:ascii="Times New Roman" w:cs="Times New Roman" w:eastAsia="Times New Roman" w:hAnsi="Times New Roman"/>
          <w:sz w:val="18"/>
          <w:szCs w:val="18"/>
          <w:color w:val="auto"/>
        </w:rPr>
      </w:pPr>
    </w:p>
    <w:p>
      <w:pPr>
        <w:ind w:firstLine="428"/>
        <w:spacing w:after="0" w:line="255" w:lineRule="auto"/>
        <w:tabs>
          <w:tab w:leader="none" w:pos="81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and its subsidiaries, together with related notes and schedules as set forth or incorporated by reference in the Registration Statement, the General Disclosure Package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in the United States (“GAAP”),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2" w:name="page13"/>
    <w:bookmarkEnd w:id="12"/>
    <w:p>
      <w:pPr>
        <w:ind w:right="40" w:firstLine="428"/>
        <w:spacing w:after="0" w:line="261" w:lineRule="auto"/>
        <w:tabs>
          <w:tab w:leader="none" w:pos="8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have good and marketable title to, or valid and enforceable leasehold estates in, all items of real and personal property referred to in the Registration Statement, the General Disclosure Package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1" w:lineRule="exact"/>
        <w:rPr>
          <w:rFonts w:ascii="Times New Roman" w:cs="Times New Roman" w:eastAsia="Times New Roman" w:hAnsi="Times New Roman"/>
          <w:sz w:val="18"/>
          <w:szCs w:val="18"/>
          <w:color w:val="auto"/>
        </w:rPr>
      </w:pPr>
    </w:p>
    <w:p>
      <w:pPr>
        <w:ind w:right="180" w:firstLine="428"/>
        <w:spacing w:after="0" w:line="258" w:lineRule="auto"/>
        <w:tabs>
          <w:tab w:leader="none" w:pos="8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75" w:lineRule="exact"/>
        <w:rPr>
          <w:rFonts w:ascii="Times New Roman" w:cs="Times New Roman" w:eastAsia="Times New Roman" w:hAnsi="Times New Roman"/>
          <w:sz w:val="18"/>
          <w:szCs w:val="18"/>
          <w:color w:val="auto"/>
        </w:rPr>
      </w:pPr>
    </w:p>
    <w:p>
      <w:pPr>
        <w:ind w:right="120" w:firstLine="428"/>
        <w:spacing w:after="0" w:line="266" w:lineRule="auto"/>
        <w:tabs>
          <w:tab w:leader="none" w:pos="81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68" w:lineRule="exact"/>
        <w:rPr>
          <w:rFonts w:ascii="Times New Roman" w:cs="Times New Roman" w:eastAsia="Times New Roman" w:hAnsi="Times New Roman"/>
          <w:sz w:val="18"/>
          <w:szCs w:val="18"/>
          <w:color w:val="auto"/>
        </w:rPr>
      </w:pPr>
    </w:p>
    <w:p>
      <w:pPr>
        <w:ind w:firstLine="428"/>
        <w:spacing w:after="0" w:line="258" w:lineRule="auto"/>
        <w:tabs>
          <w:tab w:leader="none" w:pos="7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Thornton LLP, which audited the consolidated balance sheets of the Company and subsidiaries as of December 31, 2018 and the consolidated statements of comprehensive income, consolidated statements of shareholders’ equity and consolidated statements of cash flows for the year ended December 31, 2018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75" w:lineRule="exact"/>
        <w:rPr>
          <w:rFonts w:ascii="Times New Roman" w:cs="Times New Roman" w:eastAsia="Times New Roman" w:hAnsi="Times New Roman"/>
          <w:sz w:val="18"/>
          <w:szCs w:val="18"/>
          <w:color w:val="auto"/>
        </w:rPr>
      </w:pPr>
    </w:p>
    <w:p>
      <w:pPr>
        <w:ind w:firstLine="428"/>
        <w:spacing w:after="0" w:line="255" w:lineRule="auto"/>
        <w:tabs>
          <w:tab w:leader="none" w:pos="79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13" w:name="page14"/>
    <w:bookmarkEnd w:id="13"/>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1" w:lineRule="exact"/>
        <w:rPr>
          <w:sz w:val="20"/>
          <w:szCs w:val="20"/>
          <w:color w:val="auto"/>
        </w:rPr>
      </w:pPr>
    </w:p>
    <w:p>
      <w:pPr>
        <w:ind w:right="100" w:firstLine="428"/>
        <w:spacing w:after="0" w:line="282" w:lineRule="auto"/>
        <w:tabs>
          <w:tab w:leader="none" w:pos="7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53" w:lineRule="exact"/>
        <w:rPr>
          <w:rFonts w:ascii="Times New Roman" w:cs="Times New Roman" w:eastAsia="Times New Roman" w:hAnsi="Times New Roman"/>
          <w:sz w:val="18"/>
          <w:szCs w:val="18"/>
          <w:color w:val="auto"/>
        </w:rPr>
      </w:pPr>
    </w:p>
    <w:p>
      <w:pPr>
        <w:ind w:right="40" w:firstLine="428"/>
        <w:spacing w:after="0" w:line="255" w:lineRule="auto"/>
        <w:tabs>
          <w:tab w:leader="none" w:pos="80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81" w:lineRule="exact"/>
        <w:rPr>
          <w:rFonts w:ascii="Times New Roman" w:cs="Times New Roman" w:eastAsia="Times New Roman" w:hAnsi="Times New Roman"/>
          <w:sz w:val="18"/>
          <w:szCs w:val="18"/>
          <w:color w:val="auto"/>
        </w:rPr>
      </w:pPr>
    </w:p>
    <w:p>
      <w:pPr>
        <w:ind w:right="20" w:firstLine="428"/>
        <w:spacing w:after="0" w:line="258" w:lineRule="auto"/>
        <w:tabs>
          <w:tab w:leader="none" w:pos="81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tax periods regarding which the Internal Revenue Service is or will be entitled to assert any claim, the Company has met the requirements for qualification as a REIT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75" w:lineRule="exact"/>
        <w:rPr>
          <w:rFonts w:ascii="Times New Roman" w:cs="Times New Roman" w:eastAsia="Times New Roman" w:hAnsi="Times New Roman"/>
          <w:sz w:val="18"/>
          <w:szCs w:val="18"/>
          <w:color w:val="auto"/>
        </w:rPr>
      </w:pPr>
    </w:p>
    <w:p>
      <w:pPr>
        <w:jc w:val="both"/>
        <w:ind w:firstLine="428"/>
        <w:spacing w:after="0" w:line="261" w:lineRule="auto"/>
        <w:tabs>
          <w:tab w:leader="none" w:pos="8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w:t>
      </w:r>
    </w:p>
    <w:p>
      <w:pPr>
        <w:spacing w:after="0" w:line="11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880" w:top="270" w:right="439" w:bottom="1440" w:gutter="0" w:footer="0" w:header="0"/>
        </w:sectPr>
      </w:pPr>
    </w:p>
    <w:bookmarkStart w:id="14" w:name="page15"/>
    <w:bookmarkEnd w:id="14"/>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68" w:lineRule="exact"/>
        <w:rPr>
          <w:sz w:val="20"/>
          <w:szCs w:val="20"/>
          <w:color w:val="auto"/>
        </w:rPr>
      </w:pPr>
    </w:p>
    <w:p>
      <w:pPr>
        <w:ind w:firstLine="428"/>
        <w:spacing w:after="0" w:line="253" w:lineRule="auto"/>
        <w:tabs>
          <w:tab w:leader="none" w:pos="81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84" w:lineRule="exact"/>
        <w:rPr>
          <w:rFonts w:ascii="Times New Roman" w:cs="Times New Roman" w:eastAsia="Times New Roman" w:hAnsi="Times New Roman"/>
          <w:sz w:val="18"/>
          <w:szCs w:val="18"/>
          <w:color w:val="auto"/>
        </w:rPr>
      </w:pPr>
    </w:p>
    <w:p>
      <w:pPr>
        <w:ind w:right="60" w:firstLine="428"/>
        <w:spacing w:after="0" w:line="256" w:lineRule="auto"/>
        <w:tabs>
          <w:tab w:leader="none" w:pos="81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79" w:lineRule="exact"/>
        <w:rPr>
          <w:rFonts w:ascii="Times New Roman" w:cs="Times New Roman" w:eastAsia="Times New Roman" w:hAnsi="Times New Roman"/>
          <w:sz w:val="18"/>
          <w:szCs w:val="18"/>
          <w:color w:val="auto"/>
        </w:rPr>
      </w:pPr>
    </w:p>
    <w:p>
      <w:pPr>
        <w:ind w:right="100" w:firstLine="428"/>
        <w:spacing w:after="0" w:line="255" w:lineRule="auto"/>
        <w:tabs>
          <w:tab w:leader="none" w:pos="80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(“OFAC”) or other relevant sanctions authority (collectively, “Sanctions”)); or (ii) located, organized or resident in a country or territory that is, or whose government is, the subject of Sanctions that broadly prohibit dealings with that country or territory (each, a “Sanctioned Country”);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80" w:top="270" w:right="479" w:bottom="1440" w:gutter="0" w:footer="0" w:header="0"/>
        </w:sectPr>
      </w:pPr>
    </w:p>
    <w:bookmarkStart w:id="15" w:name="page16"/>
    <w:bookmarkEnd w:id="15"/>
    <w:p>
      <w:pPr>
        <w:ind w:left="380" w:right="260" w:firstLine="428"/>
        <w:spacing w:after="0" w:line="266" w:lineRule="auto"/>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interactive data in the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68" w:lineRule="exact"/>
        <w:rPr>
          <w:rFonts w:ascii="Times New Roman" w:cs="Times New Roman" w:eastAsia="Times New Roman" w:hAnsi="Times New Roman"/>
          <w:sz w:val="18"/>
          <w:szCs w:val="18"/>
          <w:color w:val="auto"/>
        </w:rPr>
      </w:pPr>
    </w:p>
    <w:p>
      <w:pPr>
        <w:ind w:left="380" w:firstLine="428"/>
        <w:spacing w:after="0" w:line="252" w:lineRule="auto"/>
        <w:tabs>
          <w:tab w:leader="none" w:pos="12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the knowledge of the Company, there has been no security breach or incident, unauthorized access or disclosure, or other compromise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“IT Systems and Data”): (ii) neither the Company nor its subsidiaries have been notified of, and each of them have no knowledge of any event or condition that could result in, any security breach or incident, unauthorized access or disclosure or other compromise to their IT Systems and Data and (iii)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except, in the case of clauses (i) and (ii) above, as would not, individually or in the aggregate, have a material adverse effect on the condition, financial or otherwise, or on the earnings, business affairs or business prospects of the Company and its subsidiaries, considered as one enterprise, and except, in the case of clause (iii) above, where the failure to do so would not, individually or in the aggregate, have a material adverse effect on the condition, financial or otherwise, or on the earnings, business affairs or business prospects of the Company and its subsidiaries, considered as one enterprise.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where the failure to be so in material compliance would not, individually or in the aggregate, have a material adverse effect on the condition, financial or otherwise, or on the earnings, business affairs or business prospects of the Company and its subsidiaries, considered as one enterprise.</w:t>
      </w:r>
    </w:p>
    <w:p>
      <w:pPr>
        <w:spacing w:after="0" w:line="192" w:lineRule="exact"/>
        <w:rPr>
          <w:sz w:val="20"/>
          <w:szCs w:val="20"/>
          <w:color w:val="auto"/>
        </w:rPr>
      </w:pPr>
    </w:p>
    <w:p>
      <w:pPr>
        <w:ind w:left="-60" w:right="60" w:firstLine="444"/>
        <w:spacing w:after="0" w:line="266" w:lineRule="auto"/>
        <w:tabs>
          <w:tab w:leader="none" w:pos="6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500" w:top="270" w:right="499" w:bottom="1440" w:gutter="0" w:footer="0" w:header="0"/>
        </w:sectPr>
      </w:pPr>
    </w:p>
    <w:bookmarkStart w:id="16" w:name="page17"/>
    <w:bookmarkEnd w:id="16"/>
    <w:p>
      <w:pPr>
        <w:ind w:left="-20" w:right="40" w:firstLine="444"/>
        <w:spacing w:after="0" w:line="255" w:lineRule="auto"/>
        <w:tabs>
          <w:tab w:leader="none" w:pos="7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89" w:lineRule="exact"/>
        <w:rPr>
          <w:rFonts w:ascii="Times New Roman" w:cs="Times New Roman" w:eastAsia="Times New Roman" w:hAnsi="Times New Roman"/>
          <w:sz w:val="18"/>
          <w:szCs w:val="18"/>
          <w:color w:val="auto"/>
        </w:rPr>
      </w:pPr>
    </w:p>
    <w:p>
      <w:pPr>
        <w:ind w:left="740" w:hanging="316"/>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with each of the Underwriters of any Designated Securities that:</w:t>
      </w:r>
    </w:p>
    <w:p>
      <w:pPr>
        <w:spacing w:after="0" w:line="117" w:lineRule="exact"/>
        <w:rPr>
          <w:rFonts w:ascii="Times New Roman" w:cs="Times New Roman" w:eastAsia="Times New Roman" w:hAnsi="Times New Roman"/>
          <w:sz w:val="18"/>
          <w:szCs w:val="18"/>
          <w:color w:val="auto"/>
        </w:rPr>
      </w:pPr>
    </w:p>
    <w:p>
      <w:pPr>
        <w:ind w:left="420" w:firstLine="428"/>
        <w:spacing w:after="0" w:line="252" w:lineRule="auto"/>
        <w:tabs>
          <w:tab w:leader="none" w:pos="12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60" w:top="270" w:right="439" w:bottom="1440" w:gutter="0" w:footer="0" w:header="0"/>
        </w:sectPr>
      </w:pPr>
    </w:p>
    <w:bookmarkStart w:id="17" w:name="page18"/>
    <w:bookmarkEnd w:id="17"/>
    <w:p>
      <w:pPr>
        <w:ind w:firstLine="428"/>
        <w:spacing w:after="0" w:line="253" w:lineRule="auto"/>
        <w:tabs>
          <w:tab w:leader="none" w:pos="81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82" w:lineRule="exact"/>
        <w:rPr>
          <w:rFonts w:ascii="Times New Roman" w:cs="Times New Roman" w:eastAsia="Times New Roman" w:hAnsi="Times New Roman"/>
          <w:sz w:val="18"/>
          <w:szCs w:val="18"/>
          <w:color w:val="auto"/>
        </w:rPr>
      </w:pPr>
    </w:p>
    <w:p>
      <w:pPr>
        <w:ind w:right="40" w:firstLine="428"/>
        <w:spacing w:after="0" w:line="254" w:lineRule="auto"/>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Section 5(b) hereof, the Underwriters are authorized to use the information with respect to the final terms of the Designated Securities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78" w:lineRule="exact"/>
        <w:rPr>
          <w:rFonts w:ascii="Times New Roman" w:cs="Times New Roman" w:eastAsia="Times New Roman" w:hAnsi="Times New Roman"/>
          <w:sz w:val="18"/>
          <w:szCs w:val="18"/>
          <w:color w:val="auto"/>
        </w:rPr>
      </w:pPr>
    </w:p>
    <w:p>
      <w:pPr>
        <w:ind w:right="700" w:firstLine="428"/>
        <w:spacing w:after="0" w:line="282" w:lineRule="auto"/>
        <w:tabs>
          <w:tab w:leader="none" w:pos="81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promptly from time to time will take such action as the Representatives may reasonably request to qualify such Designated Securities</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80"/>
          </w:cols>
          <w:pgMar w:left="880" w:top="270" w:right="439" w:bottom="1440" w:gutter="0" w:footer="0" w:header="0"/>
        </w:sectPr>
      </w:pPr>
    </w:p>
    <w:bookmarkStart w:id="18" w:name="page19"/>
    <w:bookmarkEnd w:id="18"/>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72" w:lineRule="exact"/>
        <w:rPr>
          <w:sz w:val="20"/>
          <w:szCs w:val="20"/>
          <w:color w:val="auto"/>
        </w:rPr>
      </w:pPr>
    </w:p>
    <w:p>
      <w:pPr>
        <w:ind w:right="100" w:firstLine="428"/>
        <w:spacing w:after="0" w:line="255" w:lineRule="auto"/>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81" w:lineRule="exact"/>
        <w:rPr>
          <w:rFonts w:ascii="Times New Roman" w:cs="Times New Roman" w:eastAsia="Times New Roman" w:hAnsi="Times New Roman"/>
          <w:sz w:val="18"/>
          <w:szCs w:val="18"/>
          <w:color w:val="auto"/>
        </w:rPr>
      </w:pPr>
    </w:p>
    <w:p>
      <w:pPr>
        <w:ind w:firstLine="428"/>
        <w:spacing w:after="0" w:line="254"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78" w:lineRule="exact"/>
        <w:rPr>
          <w:rFonts w:ascii="Times New Roman" w:cs="Times New Roman" w:eastAsia="Times New Roman" w:hAnsi="Times New Roman"/>
          <w:sz w:val="18"/>
          <w:szCs w:val="18"/>
          <w:color w:val="auto"/>
        </w:rPr>
      </w:pPr>
    </w:p>
    <w:p>
      <w:pPr>
        <w:jc w:val="both"/>
        <w:ind w:right="220" w:firstLine="428"/>
        <w:spacing w:after="0" w:line="258" w:lineRule="auto"/>
        <w:tabs>
          <w:tab w:leader="none" w:pos="81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80"/>
          </w:cols>
          <w:pgMar w:left="880" w:top="270" w:right="439" w:bottom="1440" w:gutter="0" w:footer="0" w:header="0"/>
        </w:sectPr>
      </w:pPr>
    </w:p>
    <w:bookmarkStart w:id="19" w:name="page20"/>
    <w:bookmarkEnd w:id="1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88" w:lineRule="exact"/>
        <w:rPr>
          <w:sz w:val="20"/>
          <w:szCs w:val="20"/>
          <w:color w:val="auto"/>
        </w:rPr>
      </w:pPr>
    </w:p>
    <w:p>
      <w:pPr>
        <w:ind w:right="100" w:firstLine="428"/>
        <w:spacing w:after="0" w:line="266" w:lineRule="auto"/>
        <w:tabs>
          <w:tab w:leader="none" w:pos="8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68" w:lineRule="exact"/>
        <w:rPr>
          <w:rFonts w:ascii="Times New Roman" w:cs="Times New Roman" w:eastAsia="Times New Roman" w:hAnsi="Times New Roman"/>
          <w:sz w:val="18"/>
          <w:szCs w:val="18"/>
          <w:color w:val="auto"/>
        </w:rPr>
      </w:pPr>
    </w:p>
    <w:p>
      <w:pPr>
        <w:ind w:right="20" w:firstLine="428"/>
        <w:spacing w:after="0" w:line="256" w:lineRule="auto"/>
        <w:tabs>
          <w:tab w:leader="none" w:pos="7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 (ii) 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40"/>
          </w:cols>
          <w:pgMar w:left="880" w:top="270" w:right="479" w:bottom="1440" w:gutter="0" w:footer="0" w:header="0"/>
        </w:sectPr>
      </w:pPr>
    </w:p>
    <w:bookmarkStart w:id="20" w:name="page21"/>
    <w:bookmarkEnd w:id="20"/>
    <w:p>
      <w:pPr>
        <w:ind w:left="440" w:right="700" w:firstLine="428"/>
        <w:spacing w:after="0" w:line="282" w:lineRule="auto"/>
        <w:tabs>
          <w:tab w:leader="none" w:pos="12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use the net proceeds received by it from the sale of the Designated Securities in the manner specified in the Prospectus under the caption “Use of Proceeds”;</w:t>
      </w:r>
    </w:p>
    <w:p>
      <w:pPr>
        <w:spacing w:after="0" w:line="53" w:lineRule="exact"/>
        <w:rPr>
          <w:rFonts w:ascii="Times New Roman" w:cs="Times New Roman" w:eastAsia="Times New Roman" w:hAnsi="Times New Roman"/>
          <w:sz w:val="18"/>
          <w:szCs w:val="18"/>
          <w:color w:val="auto"/>
        </w:rPr>
      </w:pPr>
    </w:p>
    <w:p>
      <w:pPr>
        <w:ind w:left="440" w:right="40" w:firstLine="428"/>
        <w:spacing w:after="0" w:line="282" w:lineRule="auto"/>
        <w:tabs>
          <w:tab w:leader="none" w:pos="125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qualify as a “REIT” under the Code, and will use its best efforts to continue to meet the requirements to qualify as a “REIT”; and</w:t>
      </w:r>
    </w:p>
    <w:p>
      <w:pPr>
        <w:spacing w:after="0" w:line="53" w:lineRule="exact"/>
        <w:rPr>
          <w:rFonts w:ascii="Times New Roman" w:cs="Times New Roman" w:eastAsia="Times New Roman" w:hAnsi="Times New Roman"/>
          <w:sz w:val="18"/>
          <w:szCs w:val="18"/>
          <w:color w:val="auto"/>
        </w:rPr>
      </w:pPr>
    </w:p>
    <w:p>
      <w:pPr>
        <w:ind w:left="440" w:firstLine="428"/>
        <w:spacing w:after="0" w:line="253" w:lineRule="auto"/>
        <w:tabs>
          <w:tab w:leader="none" w:pos="121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The Company agrees that it will not claim that the Underwriters, or any of them, has rendered advisory services of any nature or respect, or owes a fiduciary or similar duty to the Company, in connection with such transaction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92" w:lineRule="exact"/>
        <w:rPr>
          <w:rFonts w:ascii="Times New Roman" w:cs="Times New Roman" w:eastAsia="Times New Roman" w:hAnsi="Times New Roman"/>
          <w:sz w:val="18"/>
          <w:szCs w:val="18"/>
          <w:color w:val="auto"/>
        </w:rPr>
      </w:pPr>
    </w:p>
    <w:p>
      <w:pPr>
        <w:ind w:right="80" w:firstLine="444"/>
        <w:spacing w:after="0" w:line="253" w:lineRule="auto"/>
        <w:tabs>
          <w:tab w:leader="none" w:pos="7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 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Financial Industry Regulatory Authority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21" w:name="page22"/>
    <w:bookmarkEnd w:id="2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Section 6;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6,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84" w:lineRule="exact"/>
        <w:rPr>
          <w:sz w:val="20"/>
          <w:szCs w:val="20"/>
          <w:color w:val="auto"/>
        </w:rPr>
      </w:pPr>
    </w:p>
    <w:p>
      <w:pPr>
        <w:ind w:right="80" w:firstLine="444"/>
        <w:spacing w:after="0" w:line="258" w:lineRule="auto"/>
        <w:tabs>
          <w:tab w:leader="none" w:pos="7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75" w:lineRule="exact"/>
        <w:rPr>
          <w:rFonts w:ascii="Times New Roman" w:cs="Times New Roman" w:eastAsia="Times New Roman" w:hAnsi="Times New Roman"/>
          <w:sz w:val="18"/>
          <w:szCs w:val="18"/>
          <w:color w:val="auto"/>
        </w:rPr>
      </w:pPr>
    </w:p>
    <w:p>
      <w:pPr>
        <w:ind w:left="440" w:right="40" w:firstLine="428"/>
        <w:spacing w:after="0" w:line="254" w:lineRule="auto"/>
        <w:tabs>
          <w:tab w:leader="none" w:pos="12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81" w:lineRule="exact"/>
        <w:rPr>
          <w:rFonts w:ascii="Times New Roman" w:cs="Times New Roman" w:eastAsia="Times New Roman" w:hAnsi="Times New Roman"/>
          <w:sz w:val="18"/>
          <w:szCs w:val="18"/>
          <w:color w:val="auto"/>
        </w:rPr>
      </w:pPr>
    </w:p>
    <w:p>
      <w:pPr>
        <w:ind w:left="440" w:right="40" w:firstLine="428"/>
        <w:spacing w:after="0" w:line="258" w:lineRule="auto"/>
        <w:tabs>
          <w:tab w:leader="none" w:pos="125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Sidley Austin </w:t>
      </w:r>
      <w:r>
        <w:rPr>
          <w:rFonts w:ascii="Times New Roman" w:cs="Times New Roman" w:eastAsia="Times New Roman" w:hAnsi="Times New Roman"/>
          <w:sz w:val="15"/>
          <w:szCs w:val="15"/>
          <w:color w:val="auto"/>
        </w:rPr>
        <w:t>LLP</w:t>
      </w:r>
      <w:r>
        <w:rPr>
          <w:rFonts w:ascii="Times New Roman" w:cs="Times New Roman" w:eastAsia="Times New Roman" w:hAnsi="Times New Roman"/>
          <w:sz w:val="18"/>
          <w:szCs w:val="18"/>
          <w:color w:val="auto"/>
        </w:rPr>
        <w:t xml:space="preserve">, counsel for the Underwriters, shall have furnished to the Representatives such opinion or opinions, dated the Time of Delivery for such Designated Securities, with respect to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Times New Roman" w:cs="Times New Roman" w:eastAsia="Times New Roman" w:hAnsi="Times New Roman"/>
          <w:sz w:val="15"/>
          <w:szCs w:val="15"/>
          <w:color w:val="auto"/>
        </w:rPr>
        <w:t>LLP</w:t>
      </w:r>
      <w:r>
        <w:rPr>
          <w:rFonts w:ascii="Times New Roman" w:cs="Times New Roman" w:eastAsia="Times New Roman" w:hAnsi="Times New Roman"/>
          <w:sz w:val="18"/>
          <w:szCs w:val="18"/>
          <w:color w:val="auto"/>
        </w:rPr>
        <w:t xml:space="preserve"> may rely, as to all matters arising under or governed by the laws of the State of Maryland, on the opinion of Pillsbury Winthrop Shaw Pittman LLP);</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22" w:name="page23"/>
    <w:bookmarkEnd w:id="22"/>
    <w:p>
      <w:pPr>
        <w:ind w:right="220" w:firstLine="428"/>
        <w:spacing w:after="0" w:line="261" w:lineRule="auto"/>
        <w:tabs>
          <w:tab w:leader="none" w:pos="80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Pillsbury Winthrop Shaw Pittman LLP, counsel for the Company, shall have furnished to the Representatives their written opinion, dated the Time of Delivery for such Designated Securities, in form and substance satisfactory to the Representatives, substantially similar to the forms set forth in Exhibit C and Exhibit D hereto, subject to such assumptions, exceptions, and qualifications reasonably acceptable to the Representatives;</w:t>
      </w:r>
    </w:p>
    <w:p>
      <w:pPr>
        <w:spacing w:after="0" w:line="71" w:lineRule="exact"/>
        <w:rPr>
          <w:rFonts w:ascii="Times New Roman" w:cs="Times New Roman" w:eastAsia="Times New Roman" w:hAnsi="Times New Roman"/>
          <w:sz w:val="18"/>
          <w:szCs w:val="18"/>
          <w:color w:val="auto"/>
        </w:rPr>
      </w:pPr>
    </w:p>
    <w:p>
      <w:pPr>
        <w:ind w:right="60" w:firstLine="428"/>
        <w:spacing w:after="0" w:line="266" w:lineRule="auto"/>
        <w:tabs>
          <w:tab w:leader="none" w:pos="81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Pricing Agreement for such Designated Securities and at the Time of Delivery for such Designated Securities, Grant Thornton LLP, the independent accountants of the Company, shall have furnished to the Representatives a “comfort letter” in form and substance satisfactory to the Representatives;</w:t>
      </w:r>
    </w:p>
    <w:p>
      <w:pPr>
        <w:spacing w:after="0" w:line="68" w:lineRule="exact"/>
        <w:rPr>
          <w:rFonts w:ascii="Times New Roman" w:cs="Times New Roman" w:eastAsia="Times New Roman" w:hAnsi="Times New Roman"/>
          <w:sz w:val="18"/>
          <w:szCs w:val="18"/>
          <w:color w:val="auto"/>
        </w:rPr>
      </w:pPr>
    </w:p>
    <w:p>
      <w:pPr>
        <w:ind w:right="180" w:firstLine="428"/>
        <w:spacing w:after="0" w:line="261" w:lineRule="auto"/>
        <w:tabs>
          <w:tab w:leader="none" w:pos="793"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Delivery for such Designated Securities, the Designated Securities shall be rated at least A3 by Moody’s Investor’s Service Inc. and A- by Standard &amp; Poor’s Ratings Services, and the Company shall have delivered to the Representatives a letter dated the Time of Delivery, from each such rating agency, or other evidence satisfactory to the Representatives, confirming that the Designated Securities have such ratings;</w:t>
      </w:r>
    </w:p>
    <w:p>
      <w:pPr>
        <w:spacing w:after="0" w:line="71" w:lineRule="exact"/>
        <w:rPr>
          <w:rFonts w:ascii="Times New Roman" w:cs="Times New Roman" w:eastAsia="Times New Roman" w:hAnsi="Times New Roman"/>
          <w:sz w:val="18"/>
          <w:szCs w:val="18"/>
          <w:color w:val="auto"/>
        </w:rPr>
      </w:pPr>
    </w:p>
    <w:p>
      <w:pPr>
        <w:jc w:val="both"/>
        <w:ind w:right="60" w:firstLine="428"/>
        <w:spacing w:after="0" w:line="270" w:lineRule="auto"/>
        <w:tabs>
          <w:tab w:leader="none" w:pos="783"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Neither the Company nor any of its subsidiaries, considered as one enterprise, since the date of the last audited financial statements included or incorporated by reference in the Registration Statement, General Disclosure Package and the Prospectus, shall have sustained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w:t>
      </w:r>
    </w:p>
    <w:p>
      <w:pPr>
        <w:spacing w:after="0" w:line="2" w:lineRule="exact"/>
        <w:rPr>
          <w:rFonts w:ascii="Times New Roman" w:cs="Times New Roman" w:eastAsia="Times New Roman" w:hAnsi="Times New Roman"/>
          <w:sz w:val="17"/>
          <w:szCs w:val="17"/>
          <w:color w:val="auto"/>
        </w:rPr>
      </w:pPr>
    </w:p>
    <w:p>
      <w:pPr>
        <w:ind w:firstLine="4"/>
        <w:spacing w:after="0" w:line="251" w:lineRule="auto"/>
        <w:tabs>
          <w:tab w:leader="none" w:pos="2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(i) conversion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require or permit (in lieu of a payment in cash) the issuance of Common Shares of the Company, (v) the terms of (a) the Equity Distribution Agreement dated May 7, 2018 between the Company and Wells Fargo Securities, LLC, (b) the Equity Distribution Agreement dated May 7, 2018 between the Company and BofA Securities, Inc. and (c) the Equity Distribution Agreement dated May 7, 2018 between the Company and Citigroup Global Markets Inc., as the same may be amended from time to time or (vi) any non-material acquisition, merger or purchase</w:t>
      </w:r>
    </w:p>
    <w:p>
      <w:pPr>
        <w:spacing w:after="0" w:line="12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80"/>
          </w:cols>
          <w:pgMar w:left="880" w:top="270" w:right="439" w:bottom="1440" w:gutter="0" w:footer="0" w:header="0"/>
        </w:sectPr>
      </w:pPr>
    </w:p>
    <w:bookmarkStart w:id="23" w:name="page24"/>
    <w:bookmarkEnd w:id="23"/>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assets) or any material increase in the consolidated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and the General Disclosure Package, the effect of which, in any such case described in clause (A) or (B), is in the judgment of the Representatives so material and adverse as to make it impracticable or inadvisable to proceed with the public offering, sale or the delivery of the Designated Securities on the terms and in the manner contemplated in the Prospectus, as amended or supplemented;</w:t>
      </w:r>
    </w:p>
    <w:p>
      <w:pPr>
        <w:spacing w:after="0" w:line="80" w:lineRule="exact"/>
        <w:rPr>
          <w:sz w:val="20"/>
          <w:szCs w:val="20"/>
          <w:color w:val="auto"/>
        </w:rPr>
      </w:pPr>
    </w:p>
    <w:p>
      <w:pPr>
        <w:jc w:val="both"/>
        <w:ind w:firstLine="428"/>
        <w:spacing w:after="0" w:line="261" w:lineRule="auto"/>
        <w:tabs>
          <w:tab w:leader="none" w:pos="81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debt securities or preferred shares;</w:t>
      </w:r>
    </w:p>
    <w:p>
      <w:pPr>
        <w:spacing w:after="0" w:line="71" w:lineRule="exact"/>
        <w:rPr>
          <w:rFonts w:ascii="Times New Roman" w:cs="Times New Roman" w:eastAsia="Times New Roman" w:hAnsi="Times New Roman"/>
          <w:sz w:val="18"/>
          <w:szCs w:val="18"/>
          <w:color w:val="auto"/>
        </w:rPr>
      </w:pPr>
    </w:p>
    <w:p>
      <w:pPr>
        <w:ind w:left="820" w:hanging="392"/>
        <w:spacing w:after="0"/>
        <w:tabs>
          <w:tab w:leader="none" w:pos="8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date of the Pricing Agreement relating to the Designated Securities there shall not have occurred any of the following:</w:t>
      </w:r>
    </w:p>
    <w:p>
      <w:pPr>
        <w:spacing w:after="0" w:line="27" w:lineRule="exact"/>
        <w:rPr>
          <w:rFonts w:ascii="Times New Roman" w:cs="Times New Roman" w:eastAsia="Times New Roman" w:hAnsi="Times New Roman"/>
          <w:sz w:val="18"/>
          <w:szCs w:val="18"/>
          <w:color w:val="auto"/>
        </w:rPr>
      </w:pPr>
    </w:p>
    <w:p>
      <w:pPr>
        <w:ind w:right="60" w:firstLine="4"/>
        <w:spacing w:after="0" w:line="252" w:lineRule="auto"/>
        <w:tabs>
          <w:tab w:leader="none" w:pos="2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80" w:lineRule="exact"/>
        <w:rPr>
          <w:rFonts w:ascii="Times New Roman" w:cs="Times New Roman" w:eastAsia="Times New Roman" w:hAnsi="Times New Roman"/>
          <w:sz w:val="18"/>
          <w:szCs w:val="18"/>
          <w:color w:val="auto"/>
        </w:rPr>
      </w:pPr>
    </w:p>
    <w:p>
      <w:pPr>
        <w:ind w:right="20" w:firstLine="428"/>
        <w:spacing w:after="0" w:line="282" w:lineRule="auto"/>
        <w:tabs>
          <w:tab w:leader="none" w:pos="7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the provisions of Section 5(f) hereof with respect to the furnishing of Prospectuses, as amended or supplemented; and</w:t>
      </w:r>
    </w:p>
    <w:p>
      <w:pPr>
        <w:spacing w:after="0" w:line="53" w:lineRule="exact"/>
        <w:rPr>
          <w:rFonts w:ascii="Times New Roman" w:cs="Times New Roman" w:eastAsia="Times New Roman" w:hAnsi="Times New Roman"/>
          <w:sz w:val="18"/>
          <w:szCs w:val="18"/>
          <w:color w:val="auto"/>
        </w:rPr>
      </w:pPr>
    </w:p>
    <w:p>
      <w:pPr>
        <w:ind w:right="380" w:firstLine="428"/>
        <w:spacing w:after="0" w:line="255" w:lineRule="auto"/>
        <w:tabs>
          <w:tab w:leader="none" w:pos="77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w:t>
      </w:r>
    </w:p>
    <w:p>
      <w:pPr>
        <w:spacing w:after="0" w:line="2" w:lineRule="exact"/>
        <w:rPr>
          <w:rFonts w:ascii="Times New Roman" w:cs="Times New Roman" w:eastAsia="Times New Roman" w:hAnsi="Times New Roman"/>
          <w:sz w:val="18"/>
          <w:szCs w:val="18"/>
          <w:color w:val="auto"/>
        </w:rPr>
      </w:pPr>
    </w:p>
    <w:p>
      <w:pPr>
        <w:ind w:left="240" w:hanging="236"/>
        <w:spacing w:after="0"/>
        <w:tabs>
          <w:tab w:leader="none" w:pos="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(g) of this Section 7 and as to such other matters as the Representatives may reasonably request.</w:t>
      </w:r>
    </w:p>
    <w:p>
      <w:pPr>
        <w:spacing w:after="0" w:line="13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80"/>
          </w:cols>
          <w:pgMar w:left="880" w:top="270" w:right="439" w:bottom="1440" w:gutter="0" w:footer="0" w:header="0"/>
        </w:sectPr>
      </w:pPr>
    </w:p>
    <w:bookmarkStart w:id="24" w:name="page25"/>
    <w:bookmarkEnd w:id="24"/>
    <w:p>
      <w:pPr>
        <w:ind w:left="-20" w:right="40" w:firstLine="444"/>
        <w:spacing w:after="0" w:line="252" w:lineRule="auto"/>
        <w:tabs>
          <w:tab w:leader="none" w:pos="7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The Company will indemnify and hold harmless each Underwriter, its affiliates, its directors, its officers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any Underwriter of Designated Securities through the Representatives expressly for use therein.</w:t>
      </w:r>
    </w:p>
    <w:p>
      <w:pPr>
        <w:spacing w:after="0" w:line="199" w:lineRule="exact"/>
        <w:rPr>
          <w:sz w:val="20"/>
          <w:szCs w:val="20"/>
          <w:color w:val="auto"/>
        </w:rPr>
      </w:pPr>
    </w:p>
    <w:p>
      <w:pPr>
        <w:ind w:left="-20" w:firstLine="444"/>
        <w:spacing w:after="0" w:line="253" w:lineRule="auto"/>
        <w:tabs>
          <w:tab w:leader="none" w:pos="8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severally and not jointly, will indemnify and hold harmless the Company, its trustees,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such</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60" w:top="270" w:right="459" w:bottom="1440" w:gutter="0" w:footer="0" w:header="0"/>
        </w:sectPr>
      </w:pPr>
    </w:p>
    <w:bookmarkStart w:id="25" w:name="page26"/>
    <w:bookmarkEnd w:id="25"/>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76" w:lineRule="exact"/>
        <w:rPr>
          <w:sz w:val="20"/>
          <w:szCs w:val="20"/>
          <w:color w:val="auto"/>
        </w:rPr>
      </w:pPr>
    </w:p>
    <w:p>
      <w:pPr>
        <w:ind w:firstLine="444"/>
        <w:spacing w:after="0" w:line="252" w:lineRule="auto"/>
        <w:tabs>
          <w:tab w:leader="none" w:pos="8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97" w:lineRule="exact"/>
        <w:rPr>
          <w:rFonts w:ascii="Times New Roman" w:cs="Times New Roman" w:eastAsia="Times New Roman" w:hAnsi="Times New Roman"/>
          <w:sz w:val="18"/>
          <w:szCs w:val="18"/>
          <w:color w:val="auto"/>
        </w:rPr>
      </w:pPr>
    </w:p>
    <w:p>
      <w:pPr>
        <w:ind w:left="840" w:hanging="396"/>
        <w:spacing w:after="0"/>
        <w:tabs>
          <w:tab w:leader="none" w:pos="8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8 is unavailable to or insufficient to hold harmless an indemnified party under subsection</w:t>
      </w:r>
    </w:p>
    <w:p>
      <w:pPr>
        <w:spacing w:after="0" w:line="27" w:lineRule="exact"/>
        <w:rPr>
          <w:rFonts w:ascii="Times New Roman" w:cs="Times New Roman" w:eastAsia="Times New Roman" w:hAnsi="Times New Roman"/>
          <w:sz w:val="18"/>
          <w:szCs w:val="18"/>
          <w:color w:val="auto"/>
        </w:rPr>
      </w:pPr>
    </w:p>
    <w:p>
      <w:pPr>
        <w:ind w:firstLine="4"/>
        <w:spacing w:after="0" w:line="252" w:lineRule="auto"/>
        <w:tabs>
          <w:tab w:leader="none" w:pos="2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26" w:name="page27"/>
    <w:bookmarkEnd w:id="2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w:t>
      </w:r>
    </w:p>
    <w:p>
      <w:pPr>
        <w:spacing w:after="0" w:line="4" w:lineRule="exact"/>
        <w:rPr>
          <w:sz w:val="20"/>
          <w:szCs w:val="20"/>
          <w:color w:val="auto"/>
        </w:rPr>
      </w:pPr>
    </w:p>
    <w:p>
      <w:pPr>
        <w:ind w:firstLine="4"/>
        <w:spacing w:after="0" w:line="251" w:lineRule="auto"/>
        <w:tabs>
          <w:tab w:leader="none" w:pos="2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93" w:lineRule="exact"/>
        <w:rPr>
          <w:rFonts w:ascii="Times New Roman" w:cs="Times New Roman" w:eastAsia="Times New Roman" w:hAnsi="Times New Roman"/>
          <w:sz w:val="18"/>
          <w:szCs w:val="18"/>
          <w:color w:val="auto"/>
        </w:rPr>
      </w:pPr>
    </w:p>
    <w:p>
      <w:pPr>
        <w:ind w:right="100" w:firstLine="444"/>
        <w:spacing w:after="0" w:line="258" w:lineRule="auto"/>
        <w:tabs>
          <w:tab w:leader="none" w:pos="81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to each trustee of the Company and to each person, if any, who controls the Company within the meaning of the Act.</w:t>
      </w:r>
    </w:p>
    <w:p>
      <w:pPr>
        <w:spacing w:after="0" w:line="184" w:lineRule="exact"/>
        <w:rPr>
          <w:sz w:val="20"/>
          <w:szCs w:val="20"/>
          <w:color w:val="auto"/>
        </w:rPr>
      </w:pPr>
    </w:p>
    <w:p>
      <w:pPr>
        <w:ind w:right="60" w:firstLine="444"/>
        <w:spacing w:after="0" w:line="258" w:lineRule="auto"/>
        <w:tabs>
          <w:tab w:leader="none" w:pos="7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7" w:name="page28"/>
    <w:bookmarkEnd w:id="2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9 with like effect as if such person had originally been a party to the Pricing Agreement with respect to such Designated Securities.</w:t>
      </w:r>
    </w:p>
    <w:p>
      <w:pPr>
        <w:spacing w:after="0" w:line="185" w:lineRule="exact"/>
        <w:rPr>
          <w:sz w:val="20"/>
          <w:szCs w:val="20"/>
          <w:color w:val="auto"/>
        </w:rPr>
      </w:pPr>
    </w:p>
    <w:p>
      <w:pPr>
        <w:ind w:right="60" w:firstLine="444"/>
        <w:spacing w:after="0" w:line="255" w:lineRule="auto"/>
        <w:tabs>
          <w:tab w:leader="none" w:pos="83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85" w:lineRule="exact"/>
        <w:rPr>
          <w:rFonts w:ascii="Times New Roman" w:cs="Times New Roman" w:eastAsia="Times New Roman" w:hAnsi="Times New Roman"/>
          <w:sz w:val="18"/>
          <w:szCs w:val="18"/>
          <w:color w:val="auto"/>
        </w:rPr>
      </w:pPr>
    </w:p>
    <w:p>
      <w:pPr>
        <w:ind w:firstLine="444"/>
        <w:spacing w:after="0" w:line="255" w:lineRule="auto"/>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 (b) above, or if the Company shall not exercise the right described in subsection (b) above to require non-defaulting Underwriters to purchase Designated 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85" w:lineRule="exact"/>
        <w:rPr>
          <w:sz w:val="20"/>
          <w:szCs w:val="20"/>
          <w:color w:val="auto"/>
        </w:rPr>
      </w:pPr>
    </w:p>
    <w:p>
      <w:pPr>
        <w:ind w:right="200" w:firstLine="444"/>
        <w:spacing w:after="0" w:line="282" w:lineRule="auto"/>
        <w:tabs>
          <w:tab w:leader="none" w:pos="84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indemnities, agreements, representations, warranties and other statements of the Company and the several Underwriters, as set forth in this Underwriting Agreement or made by or on behalf of them, respectively, pursuant to this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8" w:name="page29"/>
    <w:bookmarkEnd w:id="28"/>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76" w:lineRule="exact"/>
        <w:rPr>
          <w:sz w:val="20"/>
          <w:szCs w:val="20"/>
          <w:color w:val="auto"/>
        </w:rPr>
      </w:pPr>
    </w:p>
    <w:p>
      <w:pPr>
        <w:ind w:right="80" w:firstLine="444"/>
        <w:spacing w:after="0" w:line="255" w:lineRule="auto"/>
        <w:tabs>
          <w:tab w:leader="none" w:pos="83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Pricing Agreement shall be terminated pursuant to Section 9 hereof, the Company shall not then have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7(h))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have no further liability to any Underwriter with respect to such Designated Securities except as provided in Section 6 and Section 8 hereof.</w:t>
      </w:r>
    </w:p>
    <w:p>
      <w:pPr>
        <w:spacing w:after="0" w:line="189" w:lineRule="exact"/>
        <w:rPr>
          <w:rFonts w:ascii="Times New Roman" w:cs="Times New Roman" w:eastAsia="Times New Roman" w:hAnsi="Times New Roman"/>
          <w:sz w:val="18"/>
          <w:szCs w:val="18"/>
          <w:color w:val="auto"/>
        </w:rPr>
      </w:pPr>
    </w:p>
    <w:p>
      <w:pPr>
        <w:ind w:right="100" w:firstLine="444"/>
        <w:spacing w:after="0" w:line="289" w:lineRule="auto"/>
        <w:tabs>
          <w:tab w:leader="none" w:pos="84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58"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89" w:lineRule="exact"/>
        <w:rPr>
          <w:sz w:val="20"/>
          <w:szCs w:val="20"/>
          <w:color w:val="auto"/>
        </w:rPr>
      </w:pPr>
    </w:p>
    <w:p>
      <w:pPr>
        <w:ind w:right="460" w:firstLine="444"/>
        <w:spacing w:after="0" w:line="282" w:lineRule="auto"/>
        <w:tabs>
          <w:tab w:leader="none" w:pos="84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irrevocably waives, to the fullest extent permitted by applicable law, any and all right to trial by jury in any legal proceeding arising out of or relating to this Agreement or the transactions contemplated hereby.</w:t>
      </w:r>
    </w:p>
    <w:p>
      <w:pPr>
        <w:spacing w:after="0" w:line="161" w:lineRule="exact"/>
        <w:rPr>
          <w:rFonts w:ascii="Times New Roman" w:cs="Times New Roman" w:eastAsia="Times New Roman" w:hAnsi="Times New Roman"/>
          <w:sz w:val="18"/>
          <w:szCs w:val="18"/>
          <w:color w:val="auto"/>
        </w:rPr>
      </w:pPr>
    </w:p>
    <w:p>
      <w:pPr>
        <w:ind w:right="260" w:firstLine="444"/>
        <w:spacing w:after="0" w:line="261" w:lineRule="auto"/>
        <w:tabs>
          <w:tab w:leader="none" w:pos="84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if any, who controls the Company or any Underwriter, and their respective heirs, executors, administrators, successors and assigns, and no other person shall acquire or have any right under or by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29" w:name="page30"/>
    <w:bookmarkEnd w:id="29"/>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virtue of this Underwriting Agreement or any such Pricing Agreement. No purchaser of any of the Securities from any Underwriter shall be deemed a successor or assign by reason merely of such purchase.</w:t>
      </w:r>
    </w:p>
    <w:p>
      <w:pPr>
        <w:spacing w:after="0" w:line="162" w:lineRule="exact"/>
        <w:rPr>
          <w:sz w:val="20"/>
          <w:szCs w:val="20"/>
          <w:color w:val="auto"/>
        </w:rPr>
      </w:pPr>
    </w:p>
    <w:p>
      <w:pPr>
        <w:ind w:right="180" w:firstLine="444"/>
        <w:spacing w:after="0" w:line="282" w:lineRule="auto"/>
        <w:tabs>
          <w:tab w:leader="none" w:pos="84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shall be of the essence of each Pricing Agreement. As used herein, “business day” shall mean any day when the Commission’s office in Washington, D.C. is open for business.</w:t>
      </w:r>
    </w:p>
    <w:p>
      <w:pPr>
        <w:spacing w:after="0" w:line="161" w:lineRule="exact"/>
        <w:rPr>
          <w:rFonts w:ascii="Times New Roman" w:cs="Times New Roman" w:eastAsia="Times New Roman" w:hAnsi="Times New Roman"/>
          <w:sz w:val="18"/>
          <w:szCs w:val="18"/>
          <w:color w:val="auto"/>
        </w:rPr>
      </w:pPr>
    </w:p>
    <w:p>
      <w:pPr>
        <w:ind w:left="840" w:hanging="396"/>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Underwriting Agreement and each Pricing Agreement shall be governed by and construed in accordance with the laws of the State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w:t>
      </w:r>
    </w:p>
    <w:p>
      <w:pPr>
        <w:spacing w:after="0" w:line="206" w:lineRule="exact"/>
        <w:rPr>
          <w:rFonts w:ascii="Times New Roman" w:cs="Times New Roman" w:eastAsia="Times New Roman" w:hAnsi="Times New Roman"/>
          <w:sz w:val="18"/>
          <w:szCs w:val="18"/>
          <w:color w:val="auto"/>
        </w:rPr>
      </w:pPr>
    </w:p>
    <w:p>
      <w:pPr>
        <w:ind w:right="380" w:firstLine="444"/>
        <w:spacing w:after="0" w:line="266" w:lineRule="auto"/>
        <w:tabs>
          <w:tab w:leader="none" w:pos="8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Underwriting Agreement, and any interest and obligation in or under this Underwriting Agreement, will be effective to the same extent as the transfer would be effective under the U.S. Special Resolution Regime.</w:t>
      </w:r>
    </w:p>
    <w:p>
      <w:pPr>
        <w:spacing w:after="0" w:line="176" w:lineRule="exact"/>
        <w:rPr>
          <w:sz w:val="20"/>
          <w:szCs w:val="20"/>
          <w:color w:val="auto"/>
        </w:rPr>
      </w:pPr>
    </w:p>
    <w:p>
      <w:pPr>
        <w:ind w:right="420" w:firstLine="881"/>
        <w:spacing w:after="0" w:line="266"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Underwriting Agreement that may be exercised against such Underwriter are permitted to be exercised to no greater extent than such Default Rights could be exercised under the U.S. Special Resolution Regime.</w:t>
      </w:r>
    </w:p>
    <w:p>
      <w:pPr>
        <w:spacing w:after="0" w:line="176" w:lineRule="exact"/>
        <w:rPr>
          <w:sz w:val="20"/>
          <w:szCs w:val="20"/>
          <w:color w:val="auto"/>
        </w:rPr>
      </w:pPr>
    </w:p>
    <w:p>
      <w:pPr>
        <w:jc w:val="both"/>
        <w:ind w:right="100" w:firstLine="881"/>
        <w:spacing w:after="0" w:line="257" w:lineRule="auto"/>
        <w:rPr>
          <w:sz w:val="20"/>
          <w:szCs w:val="20"/>
          <w:color w:val="auto"/>
        </w:rPr>
      </w:pPr>
      <w:r>
        <w:rPr>
          <w:rFonts w:ascii="Times New Roman" w:cs="Times New Roman" w:eastAsia="Times New Roman" w:hAnsi="Times New Roman"/>
          <w:sz w:val="18"/>
          <w:szCs w:val="18"/>
          <w:color w:val="auto"/>
        </w:rPr>
        <w:t>For purposes of foregoing two paragraphs,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firstLine="4"/>
        <w:spacing w:after="0" w:line="254" w:lineRule="auto"/>
        <w:tabs>
          <w:tab w:leader="none" w:pos="3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 “</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and “</w:t>
      </w:r>
      <w:r>
        <w:rPr>
          <w:rFonts w:ascii="Times New Roman" w:cs="Times New Roman" w:eastAsia="Times New Roman" w:hAnsi="Times New Roman"/>
          <w:sz w:val="18"/>
          <w:szCs w:val="18"/>
          <w:u w:val="single" w:color="auto"/>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5" w:lineRule="exact"/>
        <w:rPr>
          <w:rFonts w:ascii="Times New Roman" w:cs="Times New Roman" w:eastAsia="Times New Roman" w:hAnsi="Times New Roman"/>
          <w:sz w:val="18"/>
          <w:szCs w:val="18"/>
          <w:color w:val="auto"/>
        </w:rPr>
      </w:pPr>
    </w:p>
    <w:p>
      <w:pPr>
        <w:ind w:right="120" w:firstLine="444"/>
        <w:spacing w:after="0" w:line="266" w:lineRule="auto"/>
        <w:tabs>
          <w:tab w:leader="none" w:pos="84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Underwriting Agreement to us.</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5"/>
          <w:szCs w:val="15"/>
          <w:b w:val="1"/>
          <w:bCs w:val="1"/>
          <w:color w:val="auto"/>
        </w:rPr>
        <w:t>EDERAL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EALTY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NVESTMENT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RUST</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17145</wp:posOffset>
            </wp:positionV>
            <wp:extent cx="25901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7" w:lineRule="exact"/>
        <w:rPr>
          <w:sz w:val="20"/>
          <w:szCs w:val="20"/>
          <w:color w:val="auto"/>
        </w:rPr>
      </w:pPr>
    </w:p>
    <w:p>
      <w:pPr>
        <w:jc w:val="both"/>
        <w:ind w:left="650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tab/>
        <w:t>Executive Vice President-Chief</w:t>
      </w:r>
    </w:p>
    <w:p>
      <w:pPr>
        <w:spacing w:after="0" w:line="9" w:lineRule="exact"/>
        <w:rPr>
          <w:sz w:val="20"/>
          <w:szCs w:val="20"/>
          <w:color w:val="auto"/>
        </w:rPr>
      </w:pPr>
    </w:p>
    <w:p>
      <w:pPr>
        <w:jc w:val="right"/>
        <w:ind w:right="199"/>
        <w:spacing w:after="0"/>
        <w:rPr>
          <w:sz w:val="20"/>
          <w:szCs w:val="20"/>
          <w:color w:val="auto"/>
        </w:rPr>
      </w:pPr>
      <w:r>
        <w:rPr>
          <w:rFonts w:ascii="Times New Roman" w:cs="Times New Roman" w:eastAsia="Times New Roman" w:hAnsi="Times New Roman"/>
          <w:sz w:val="18"/>
          <w:szCs w:val="18"/>
          <w:color w:val="auto"/>
        </w:rPr>
        <w:t>Financial Officer and Treasurer</w:t>
      </w:r>
    </w:p>
    <w:p>
      <w:pPr>
        <w:spacing w:after="0" w:line="380"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i w:val="1"/>
          <w:iCs w:val="1"/>
          <w:color w:val="auto"/>
        </w:rPr>
        <w:t>[Underwriting Agreement Signature Page]</w:t>
      </w:r>
    </w:p>
    <w:p>
      <w:pPr>
        <w:sectPr>
          <w:pgSz w:w="11900" w:h="16838" w:orient="portrait"/>
          <w:cols w:equalWidth="0" w:num="1">
            <w:col w:w="9579"/>
          </w:cols>
          <w:pgMar w:left="880" w:top="270"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w:t>
      </w:r>
      <w:r>
        <w:rPr>
          <w:rFonts w:ascii="Times New Roman" w:cs="Times New Roman" w:eastAsia="Times New Roman" w:hAnsi="Times New Roman"/>
          <w:sz w:val="15"/>
          <w:szCs w:val="15"/>
          <w:color w:val="auto"/>
        </w:rPr>
        <w:t>OF</w:t>
      </w:r>
      <w:r>
        <w:rPr>
          <w:rFonts w:ascii="Times New Roman" w:cs="Times New Roman" w:eastAsia="Times New Roman" w:hAnsi="Times New Roman"/>
          <w:sz w:val="18"/>
          <w:szCs w:val="18"/>
          <w:color w:val="auto"/>
        </w:rPr>
        <w:t>A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5"/>
          <w:szCs w:val="15"/>
          <w:color w:val="auto"/>
        </w:rPr>
        <w:t>EFFERIES</w:t>
      </w:r>
      <w:r>
        <w:rPr>
          <w:rFonts w:ascii="Times New Roman" w:cs="Times New Roman" w:eastAsia="Times New Roman" w:hAnsi="Times New Roman"/>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5"/>
          <w:szCs w:val="15"/>
          <w:color w:val="auto"/>
        </w:rPr>
        <w:t>ANCORP</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5"/>
          <w:szCs w:val="15"/>
          <w:color w:val="auto"/>
        </w:rPr>
        <w:t>NVESTMENTS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Shawn Cepeda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17145</wp:posOffset>
            </wp:positionV>
            <wp:extent cx="25730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8"/>
          <w:szCs w:val="18"/>
          <w:color w:val="auto"/>
        </w:rPr>
        <w:t>Name:</w:t>
        <w:tab/>
        <w:t>Shawn Cepeda</w:t>
      </w:r>
    </w:p>
    <w:p>
      <w:pPr>
        <w:spacing w:after="0" w:line="27"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17145</wp:posOffset>
            </wp:positionV>
            <wp:extent cx="25730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Matt Casey</w:t>
      </w:r>
    </w:p>
    <w:p>
      <w:pPr>
        <w:spacing w:after="0" w:line="27"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Charles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17145</wp:posOffset>
            </wp:positionV>
            <wp:extent cx="25730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Charles P. Carpenter</w:t>
      </w:r>
    </w:p>
    <w:p>
      <w:pPr>
        <w:spacing w:after="0" w:line="27" w:lineRule="exact"/>
        <w:rPr>
          <w:sz w:val="20"/>
          <w:szCs w:val="20"/>
          <w:color w:val="auto"/>
        </w:rPr>
      </w:pPr>
    </w:p>
    <w:p>
      <w:pPr>
        <w:ind w:left="360"/>
        <w:spacing w:after="0"/>
        <w:tabs>
          <w:tab w:leader="none" w:pos="96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Representatives of the Underwriters named in Schedule I to the Pricing Agreement dated the date hereof.</w:t>
      </w:r>
    </w:p>
    <w:p>
      <w:pPr>
        <w:spacing w:after="0" w:line="15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i w:val="1"/>
          <w:iCs w:val="1"/>
          <w:color w:val="auto"/>
        </w:rPr>
        <w:t>[Underwriting Agreement Signature Page]</w:t>
      </w:r>
    </w:p>
    <w:p>
      <w:pPr>
        <w:sectPr>
          <w:pgSz w:w="11900" w:h="16838" w:orient="portrait"/>
          <w:cols w:equalWidth="0" w:num="1">
            <w:col w:w="10019"/>
          </w:cols>
          <w:pgMar w:left="440" w:top="270" w:right="1440" w:bottom="1440" w:gutter="0" w:footer="0" w:header="0"/>
        </w:sectPr>
      </w:pPr>
    </w:p>
    <w:bookmarkStart w:id="32" w:name="page33"/>
    <w:bookmarkEnd w:id="32"/>
    <w:p>
      <w:pPr>
        <w:ind w:left="100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4,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5"/>
          <w:szCs w:val="15"/>
          <w:color w:val="auto"/>
        </w:rPr>
        <w:t>OF</w:t>
      </w:r>
      <w:r>
        <w:rPr>
          <w:rFonts w:ascii="Times New Roman" w:cs="Times New Roman" w:eastAsia="Times New Roman" w:hAnsi="Times New Roman"/>
          <w:sz w:val="18"/>
          <w:szCs w:val="18"/>
          <w:color w:val="auto"/>
        </w:rPr>
        <w:t>A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5"/>
          <w:szCs w:val="15"/>
          <w:color w:val="auto"/>
        </w:rPr>
        <w:t>EFFERIES</w:t>
      </w:r>
      <w:r>
        <w:rPr>
          <w:rFonts w:ascii="Times New Roman" w:cs="Times New Roman" w:eastAsia="Times New Roman" w:hAnsi="Times New Roman"/>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5"/>
          <w:szCs w:val="15"/>
          <w:color w:val="auto"/>
        </w:rPr>
        <w:t>ANCORP</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5"/>
          <w:szCs w:val="15"/>
          <w:color w:val="auto"/>
        </w:rPr>
        <w:t>NVESTMENTS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c/o</w:t>
        <w:tab/>
        <w:t>BofA Securities,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N. Tryon St., 26th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Federal Realty Investment Trust, a Maryland real estate investment trust (the “Company”), proposes, subject to the terms and conditions stated herein and in the Underwriting Agreement, dated June 4, 2019 (the “Underwriting Agreement”), between the Company on the one hand and BofA Securities, Inc., Jefferies LLC and U.S. Bancorp Investments, Inc.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A-1</w:t>
      </w:r>
    </w:p>
    <w:p>
      <w:pPr>
        <w:sectPr>
          <w:pgSz w:w="11900" w:h="16838" w:orient="portrait"/>
          <w:cols w:equalWidth="0" w:num="1">
            <w:col w:w="11020"/>
          </w:cols>
          <w:pgMar w:left="440" w:top="266" w:right="439" w:bottom="1440" w:gutter="0" w:footer="0" w:header="0"/>
        </w:sectPr>
      </w:pPr>
    </w:p>
    <w:bookmarkStart w:id="33" w:name="page34"/>
    <w:bookmarkEnd w:id="33"/>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supplement to the Prospectus relating to the Designated Securities, in the form heretofore delivered to you, is now proposed to be filed with the Commission.</w:t>
      </w:r>
    </w:p>
    <w:p>
      <w:pPr>
        <w:spacing w:after="0" w:line="162" w:lineRule="exact"/>
        <w:rPr>
          <w:sz w:val="20"/>
          <w:szCs w:val="20"/>
          <w:color w:val="auto"/>
        </w:rPr>
      </w:pPr>
    </w:p>
    <w:p>
      <w:pPr>
        <w:jc w:val="both"/>
        <w:ind w:right="100" w:firstLine="441"/>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0" w:lineRule="exact"/>
        <w:rPr>
          <w:sz w:val="20"/>
          <w:szCs w:val="20"/>
          <w:color w:val="auto"/>
        </w:rPr>
      </w:pPr>
    </w:p>
    <w:p>
      <w:pPr>
        <w:jc w:val="both"/>
        <w:ind w:right="180" w:firstLine="441"/>
        <w:spacing w:after="0" w:line="266"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Underwriting Agreement, and any interest and obligation in or under this Underwriting Agreement, will be effective to the same extent as the transfer would be effective under the U.S. Special Resolution Regime.</w:t>
      </w:r>
    </w:p>
    <w:p>
      <w:pPr>
        <w:spacing w:after="0" w:line="176"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Underwriting Agreement that may be exercised against such Underwriter are permitted to be exercised to no greater extent than such Default Rights could be exercised under the U.S. Special Resolution Regime.</w:t>
      </w:r>
    </w:p>
    <w:p>
      <w:pPr>
        <w:spacing w:after="0" w:line="176" w:lineRule="exact"/>
        <w:rPr>
          <w:sz w:val="20"/>
          <w:szCs w:val="20"/>
          <w:color w:val="auto"/>
        </w:rPr>
      </w:pPr>
    </w:p>
    <w:p>
      <w:pPr>
        <w:ind w:firstLine="441"/>
        <w:spacing w:after="0" w:line="269" w:lineRule="auto"/>
        <w:rPr>
          <w:sz w:val="20"/>
          <w:szCs w:val="20"/>
          <w:color w:val="auto"/>
        </w:rPr>
      </w:pPr>
      <w:r>
        <w:rPr>
          <w:rFonts w:ascii="Times New Roman" w:cs="Times New Roman" w:eastAsia="Times New Roman" w:hAnsi="Times New Roman"/>
          <w:sz w:val="17"/>
          <w:szCs w:val="17"/>
          <w:color w:val="auto"/>
        </w:rPr>
        <w:t>For purposes of foregoing two paragraphs, “</w:t>
      </w:r>
      <w:r>
        <w:rPr>
          <w:rFonts w:ascii="Times New Roman" w:cs="Times New Roman" w:eastAsia="Times New Roman" w:hAnsi="Times New Roman"/>
          <w:sz w:val="17"/>
          <w:szCs w:val="17"/>
          <w:u w:val="single" w:color="auto"/>
          <w:color w:val="auto"/>
        </w:rPr>
        <w:t>BHC Act Affiliate</w:t>
      </w:r>
      <w:r>
        <w:rPr>
          <w:rFonts w:ascii="Times New Roman" w:cs="Times New Roman" w:eastAsia="Times New Roman" w:hAnsi="Times New Roman"/>
          <w:sz w:val="17"/>
          <w:szCs w:val="17"/>
          <w:color w:val="auto"/>
        </w:rPr>
        <w:t>” has the meaning assigned to the term “affiliate” in, and shall be interpreted in accordance with, 12 U.S.C. § 1841(k); “</w:t>
      </w:r>
      <w:r>
        <w:rPr>
          <w:rFonts w:ascii="Times New Roman" w:cs="Times New Roman" w:eastAsia="Times New Roman" w:hAnsi="Times New Roman"/>
          <w:sz w:val="17"/>
          <w:szCs w:val="17"/>
          <w:u w:val="single" w:color="auto"/>
          <w:color w:val="auto"/>
        </w:rPr>
        <w:t>Covered Entity</w:t>
      </w:r>
      <w:r>
        <w:rPr>
          <w:rFonts w:ascii="Times New Roman" w:cs="Times New Roman" w:eastAsia="Times New Roman" w:hAnsi="Times New Roman"/>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7"/>
          <w:szCs w:val="17"/>
          <w:u w:val="single" w:color="auto"/>
          <w:color w:val="auto"/>
        </w:rPr>
        <w:t>Default Right</w:t>
      </w:r>
      <w:r>
        <w:rPr>
          <w:rFonts w:ascii="Times New Roman" w:cs="Times New Roman" w:eastAsia="Times New Roman" w:hAnsi="Times New Roman"/>
          <w:sz w:val="17"/>
          <w:szCs w:val="17"/>
          <w:color w:val="auto"/>
        </w:rPr>
        <w:t>” has the meaning assigned to that term in, and shall be interpreted in accordance with, 12 C.F.R. §§ 252.81, 47.2 or 382.1, as applicable; and “</w:t>
      </w:r>
      <w:r>
        <w:rPr>
          <w:rFonts w:ascii="Times New Roman" w:cs="Times New Roman" w:eastAsia="Times New Roman" w:hAnsi="Times New Roman"/>
          <w:sz w:val="17"/>
          <w:szCs w:val="17"/>
          <w:u w:val="single" w:color="auto"/>
          <w:color w:val="auto"/>
        </w:rPr>
        <w:t>U.S. Special Resolution Regime</w:t>
      </w:r>
      <w:r>
        <w:rPr>
          <w:rFonts w:ascii="Times New Roman" w:cs="Times New Roman" w:eastAsia="Times New Roman" w:hAnsi="Times New Roman"/>
          <w:sz w:val="17"/>
          <w:szCs w:val="17"/>
          <w:color w:val="auto"/>
        </w:rPr>
        <w:t>” means each of</w:t>
      </w:r>
    </w:p>
    <w:p>
      <w:pPr>
        <w:spacing w:after="0" w:line="3" w:lineRule="exact"/>
        <w:rPr>
          <w:sz w:val="20"/>
          <w:szCs w:val="20"/>
          <w:color w:val="auto"/>
        </w:rPr>
      </w:pPr>
    </w:p>
    <w:p>
      <w:pPr>
        <w:ind w:right="120" w:firstLine="4"/>
        <w:spacing w:after="0" w:line="261" w:lineRule="auto"/>
        <w:tabs>
          <w:tab w:leader="none" w:pos="2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obligations of the Underwriters under this Pricing Agreement and the Underwriting Agreement incorporated herein are several and not joint.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Pricing Agreement shall be governed by and construed in accordance with the laws of the State of New York.</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Ex. A-2</w:t>
      </w:r>
    </w:p>
    <w:p>
      <w:pPr>
        <w:sectPr>
          <w:pgSz w:w="11900" w:h="16838" w:orient="portrait"/>
          <w:cols w:equalWidth="0" w:num="1">
            <w:col w:w="11000"/>
          </w:cols>
          <w:pgMar w:left="440" w:top="270" w:right="4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[REMAINDER OF THIS PAGE INTENTIONALLY LEFT BLANK]</w:t>
      </w:r>
    </w:p>
    <w:p>
      <w:pPr>
        <w:sectPr>
          <w:pgSz w:w="11900" w:h="16838" w:orient="portrait"/>
          <w:cols w:equalWidth="0" w:num="1">
            <w:col w:w="9019"/>
          </w:cols>
          <w:pgMar w:left="1440" w:top="270"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A-3</w:t>
      </w:r>
    </w:p>
    <w:p>
      <w:pPr>
        <w:sectPr>
          <w:pgSz w:w="11900" w:h="16838" w:orient="portrait"/>
          <w:cols w:equalWidth="0" w:num="1">
            <w:col w:w="9019"/>
          </w:cols>
          <w:pgMar w:left="1440" w:top="270" w:right="1440" w:bottom="1440" w:gutter="0" w:footer="0" w:header="0"/>
          <w:type w:val="continuous"/>
        </w:sectPr>
      </w:pPr>
    </w:p>
    <w:bookmarkStart w:id="35" w:name="page36"/>
    <w:bookmarkEnd w:id="35"/>
    <w:p>
      <w:pPr>
        <w:ind w:firstLine="44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5"/>
          <w:szCs w:val="15"/>
          <w:b w:val="1"/>
          <w:bCs w:val="1"/>
          <w:color w:val="auto"/>
        </w:rPr>
        <w:t>EDERAL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EALTY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NVESTMENT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RUST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17145</wp:posOffset>
            </wp:positionV>
            <wp:extent cx="25901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[Pricing Agreement Signature Page]</w:t>
      </w:r>
    </w:p>
    <w:p>
      <w:pPr>
        <w:sectPr>
          <w:pgSz w:w="11900" w:h="16838" w:orient="portrait"/>
          <w:cols w:equalWidth="0" w:num="1">
            <w:col w:w="11020"/>
          </w:cols>
          <w:pgMar w:left="440" w:top="270"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w:t>
      </w:r>
      <w:r>
        <w:rPr>
          <w:rFonts w:ascii="Times New Roman" w:cs="Times New Roman" w:eastAsia="Times New Roman" w:hAnsi="Times New Roman"/>
          <w:sz w:val="15"/>
          <w:szCs w:val="15"/>
          <w:color w:val="auto"/>
        </w:rPr>
        <w:t>OF</w:t>
      </w:r>
      <w:r>
        <w:rPr>
          <w:rFonts w:ascii="Times New Roman" w:cs="Times New Roman" w:eastAsia="Times New Roman" w:hAnsi="Times New Roman"/>
          <w:sz w:val="18"/>
          <w:szCs w:val="18"/>
          <w:color w:val="auto"/>
        </w:rPr>
        <w:t>A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5"/>
          <w:szCs w:val="15"/>
          <w:color w:val="auto"/>
        </w:rPr>
        <w:t>EFFERIES</w:t>
      </w:r>
      <w:r>
        <w:rPr>
          <w:rFonts w:ascii="Times New Roman" w:cs="Times New Roman" w:eastAsia="Times New Roman" w:hAnsi="Times New Roman"/>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5"/>
          <w:szCs w:val="15"/>
          <w:color w:val="auto"/>
        </w:rPr>
        <w:t>ANCORP</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5"/>
          <w:szCs w:val="15"/>
          <w:color w:val="auto"/>
        </w:rPr>
        <w:t>NVESTMENTS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17145</wp:posOffset>
            </wp:positionV>
            <wp:extent cx="25641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17145</wp:posOffset>
            </wp:positionV>
            <wp:extent cx="25641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17145</wp:posOffset>
            </wp:positionV>
            <wp:extent cx="25641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Representatives of the Underwriters named in Schedule I to this Pricing Agreement.</w:t>
      </w:r>
    </w:p>
    <w:p>
      <w:pPr>
        <w:spacing w:after="0" w:line="1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i w:val="1"/>
          <w:iCs w:val="1"/>
          <w:color w:val="auto"/>
        </w:rPr>
        <w:t>[Pricing Agreement Signature Page]</w:t>
      </w:r>
    </w:p>
    <w:p>
      <w:pPr>
        <w:sectPr>
          <w:pgSz w:w="11900" w:h="16838" w:orient="portrait"/>
          <w:cols w:equalWidth="0" w:num="1">
            <w:col w:w="10019"/>
          </w:cols>
          <w:pgMar w:left="440" w:top="270" w:right="1440" w:bottom="1440" w:gutter="0" w:footer="0" w:header="0"/>
        </w:sectPr>
      </w:pPr>
    </w:p>
    <w:bookmarkStart w:id="37" w:name="page38"/>
    <w:bookmarkEnd w:id="37"/>
    <w:tbl>
      <w:tblPr>
        <w:tblLayout w:type="fixed"/>
        <w:tblInd w:w="78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500" w:type="dxa"/>
            <w:vAlign w:val="bottom"/>
            <w:gridSpan w:val="2"/>
          </w:tcPr>
          <w:p>
            <w:pPr>
              <w:jc w:val="right"/>
              <w:ind w:right="2035"/>
              <w:spacing w:after="0"/>
              <w:rPr>
                <w:sz w:val="20"/>
                <w:szCs w:val="20"/>
                <w:color w:val="auto"/>
              </w:rPr>
            </w:pPr>
            <w:r>
              <w:rPr>
                <w:rFonts w:ascii="Times New Roman" w:cs="Times New Roman" w:eastAsia="Times New Roman" w:hAnsi="Times New Roman"/>
                <w:sz w:val="18"/>
                <w:szCs w:val="18"/>
                <w:color w:val="auto"/>
              </w:rPr>
              <w:t>SCHEDULE I</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100" w:type="dxa"/>
            <w:vAlign w:val="bottom"/>
            <w:vMerge w:val="restart"/>
          </w:tcPr>
          <w:p>
            <w:pPr>
              <w:spacing w:after="0"/>
              <w:rPr>
                <w:sz w:val="24"/>
                <w:szCs w:val="24"/>
                <w:color w:val="auto"/>
              </w:rPr>
            </w:pPr>
          </w:p>
        </w:tc>
        <w:tc>
          <w:tcPr>
            <w:tcW w:w="4600" w:type="dxa"/>
            <w:vAlign w:val="bottom"/>
            <w:gridSpan w:val="4"/>
          </w:tcPr>
          <w:p>
            <w:pPr>
              <w:jc w:val="center"/>
              <w:ind w:left="3136"/>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3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SunTrust Robinson Humphrey, Inc.</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3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Sch. I to Exhibit A</w:t>
      </w:r>
    </w:p>
    <w:p>
      <w:pPr>
        <w:sectPr>
          <w:pgSz w:w="11900" w:h="16838" w:orient="portrait"/>
          <w:cols w:equalWidth="0" w:num="1">
            <w:col w:w="9019"/>
          </w:cols>
          <w:pgMar w:left="1440" w:top="270" w:right="1440" w:bottom="1440" w:gutter="0" w:footer="0" w:header="0"/>
        </w:sectPr>
      </w:pPr>
    </w:p>
    <w:bookmarkStart w:id="38" w:name="page39"/>
    <w:bookmarkEnd w:id="38"/>
    <w:p>
      <w:pPr>
        <w:jc w:val="center"/>
        <w:ind w:right="-4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of Designated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3.20% Notes due 2029 (the “Designated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$300,000,000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to Public:</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99.838% of the principal amount of the Designated Securities, plus accrued interest from June 7, 2019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 by Underwriters: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99.188% of the principal amount of the Designated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Specified funds for payment of purchase price: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121"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Indenture, dated as of September 1, 1998, between the Company and U.S. Bank National Association, successor to Wachovia Bank, National Association, successor to First Union National Bank, as Trustee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June 15, 2029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3.20% per year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June 15 and December 15, beginning on December 15, 2019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Provisions: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9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Sch. II to Exhibit A, Page 1</w:t>
      </w:r>
    </w:p>
    <w:p>
      <w:pPr>
        <w:sectPr>
          <w:pgSz w:w="11900" w:h="16838" w:orient="portrait"/>
          <w:cols w:equalWidth="0" w:num="1">
            <w:col w:w="10620"/>
          </w:cols>
          <w:pgMar w:left="440" w:top="270" w:right="8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Provisions: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provisions: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defeasance and covenant defeasance provisions of the Indenture apply to the Designated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Time: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3:40 p.m. (Eastern time) on June 4, 2019 or such other time as agreed by the Company and the Representatives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of Delivery: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June 7, 2019</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Closing Location: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Sidley Austin </w:t>
      </w:r>
      <w:r>
        <w:rPr>
          <w:rFonts w:ascii="Times New Roman" w:cs="Times New Roman" w:eastAsia="Times New Roman" w:hAnsi="Times New Roman"/>
          <w:sz w:val="15"/>
          <w:szCs w:val="15"/>
          <w:color w:val="auto"/>
        </w:rPr>
        <w:t>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 Section 12 Notice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50 Rockefeller Plaza, NY1-050-12-02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High Grade Transaction Management/Legal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(646) 855-5958</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(646) 619-4437</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N. Tryon Street, 26th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Charlotte, North Carolina 28282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High Grade Syndicate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(877) 774-3462</w:t>
      </w:r>
    </w:p>
    <w:p>
      <w:pPr>
        <w:spacing w:after="0" w:line="1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Sch. II to Exhibit A, Page 2</w:t>
      </w:r>
    </w:p>
    <w:p>
      <w:pPr>
        <w:sectPr>
          <w:pgSz w:w="11900" w:h="16838" w:orient="portrait"/>
          <w:cols w:equalWidth="0" w:num="1">
            <w:col w:w="10019"/>
          </w:cols>
          <w:pgMar w:left="440" w:top="266" w:right="1440"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ind w:left="1644"/>
        <w:spacing w:after="0"/>
        <w:rPr>
          <w:sz w:val="20"/>
          <w:szCs w:val="20"/>
          <w:color w:val="auto"/>
        </w:rPr>
      </w:pPr>
      <w:r>
        <w:rPr>
          <w:rFonts w:ascii="Times New Roman" w:cs="Times New Roman" w:eastAsia="Times New Roman" w:hAnsi="Times New Roman"/>
          <w:sz w:val="18"/>
          <w:szCs w:val="18"/>
          <w:b w:val="1"/>
          <w:bCs w:val="1"/>
          <w:color w:val="auto"/>
        </w:rPr>
        <w:t>Schedule of Issuer Free Writing Prospectuses Included in the General Disclosure Package</w:t>
      </w:r>
    </w:p>
    <w:p>
      <w:pPr>
        <w:spacing w:after="0" w:line="256" w:lineRule="exact"/>
        <w:rPr>
          <w:sz w:val="20"/>
          <w:szCs w:val="20"/>
          <w:color w:val="auto"/>
        </w:rPr>
      </w:pPr>
    </w:p>
    <w:p>
      <w:pPr>
        <w:ind w:left="4804" w:right="5220" w:hanging="4804"/>
        <w:spacing w:after="0" w:line="495" w:lineRule="auto"/>
        <w:tabs>
          <w:tab w:leader="none" w:pos="438"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Final Term Sheet, attached hereto as Schedule I to this Exhibit B Ex. B-1</w:t>
      </w:r>
    </w:p>
    <w:p>
      <w:pPr>
        <w:sectPr>
          <w:pgSz w:w="11900" w:h="16838" w:orient="portrait"/>
          <w:cols w:equalWidth="0" w:num="1">
            <w:col w:w="10584"/>
          </w:cols>
          <w:pgMar w:left="876" w:top="266" w:right="439" w:bottom="1440" w:gutter="0" w:footer="0" w:header="0"/>
        </w:sectPr>
      </w:pPr>
    </w:p>
    <w:bookmarkStart w:id="41" w:name="page42"/>
    <w:bookmarkEnd w:id="41"/>
    <w:p>
      <w:pPr>
        <w:ind w:left="92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 to Exhibit B</w:t>
      </w:r>
    </w:p>
    <w:p>
      <w:pPr>
        <w:spacing w:after="0" w:line="241"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7"/>
          <w:szCs w:val="17"/>
          <w:color w:val="auto"/>
        </w:rPr>
        <w:t>Filed Pursuant to Rule 433</w:t>
      </w:r>
    </w:p>
    <w:p>
      <w:pPr>
        <w:spacing w:after="0" w:line="39"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7"/>
          <w:szCs w:val="17"/>
          <w:color w:val="auto"/>
        </w:rPr>
        <w:t>Dated June 4, 2019</w:t>
      </w:r>
    </w:p>
    <w:p>
      <w:pPr>
        <w:spacing w:after="0" w:line="21"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7"/>
          <w:szCs w:val="17"/>
          <w:color w:val="auto"/>
        </w:rPr>
        <w:t>Registration Statement No. 333-224701</w:t>
      </w:r>
    </w:p>
    <w:p>
      <w:pPr>
        <w:spacing w:after="0" w:line="21"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8"/>
          <w:szCs w:val="18"/>
          <w:color w:val="auto"/>
        </w:rPr>
        <w:t>Relating to</w:t>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7"/>
          <w:szCs w:val="17"/>
          <w:color w:val="auto"/>
        </w:rPr>
        <w:t>Preliminary Prospectus Supplement Dated June 4, 2019 to</w:t>
      </w:r>
    </w:p>
    <w:p>
      <w:pPr>
        <w:spacing w:after="0" w:line="21"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8"/>
          <w:szCs w:val="18"/>
          <w:color w:val="auto"/>
        </w:rPr>
        <w:t>Prospectus dated May 7, 2018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Federal Realty Investment Trust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3.20% Notes due 2029</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 Sheet dated June 4, 2019</w:t>
      </w:r>
    </w:p>
    <w:p>
      <w:pPr>
        <w:sectPr>
          <w:pgSz w:w="11900" w:h="16838" w:orient="portrait"/>
          <w:cols w:equalWidth="0" w:num="1">
            <w:col w:w="11020"/>
          </w:cols>
          <w:pgMar w:left="440" w:top="266"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Realty Investment Trust</w:t>
      </w:r>
    </w:p>
    <w:p>
      <w:pPr>
        <w:spacing w:after="0" w:line="128"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Security: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3.20% Notes due 2029 (the “Notes”)</w:t>
      </w:r>
    </w:p>
    <w:p>
      <w:pPr>
        <w:spacing w:after="0" w:line="117"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Aggregate 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$300,000,000</w:t>
      </w:r>
    </w:p>
    <w:p>
      <w:pPr>
        <w:spacing w:after="0" w:line="117"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June 4, 2019</w:t>
      </w:r>
    </w:p>
    <w:p>
      <w:pPr>
        <w:spacing w:after="0" w:line="117"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June 7, 2019 (T+3)</w:t>
      </w:r>
    </w:p>
    <w:p>
      <w:pPr>
        <w:spacing w:after="0" w:line="129"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June 15, 2029</w:t>
      </w:r>
    </w:p>
    <w:p>
      <w:pPr>
        <w:spacing w:after="0" w:line="129"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0"/>
          <w:szCs w:val="20"/>
          <w:color w:val="auto"/>
        </w:rPr>
      </w:pPr>
      <w:r>
        <w:rPr>
          <w:sz w:val="20"/>
          <w:szCs w:val="20"/>
          <w:color w:val="auto"/>
        </w:rPr>
        <w:br w:type="column"/>
      </w:r>
    </w:p>
    <w:p>
      <w:pPr>
        <w:jc w:val="center"/>
        <w:ind w:right="2580"/>
        <w:spacing w:after="0"/>
        <w:rPr>
          <w:sz w:val="20"/>
          <w:szCs w:val="20"/>
          <w:color w:val="auto"/>
        </w:rPr>
      </w:pPr>
      <w:r>
        <w:rPr>
          <w:rFonts w:ascii="Times New Roman" w:cs="Times New Roman" w:eastAsia="Times New Roman" w:hAnsi="Times New Roman"/>
          <w:sz w:val="17"/>
          <w:szCs w:val="17"/>
          <w:color w:val="auto"/>
        </w:rPr>
        <w:t>June 15 and December 15, beginning on December 15, 2019</w:t>
      </w:r>
    </w:p>
    <w:p>
      <w:pPr>
        <w:spacing w:after="0" w:line="129"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2.375% due May 15, 2029</w:t>
      </w:r>
    </w:p>
    <w:p>
      <w:pPr>
        <w:spacing w:after="0" w:line="117"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Price/Yield: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102-9 / 2.119%</w:t>
      </w:r>
    </w:p>
    <w:p>
      <w:pPr>
        <w:spacing w:after="0" w:line="117"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+110 basis points</w:t>
      </w:r>
    </w:p>
    <w:p>
      <w:pPr>
        <w:spacing w:after="0" w:line="129"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Re-Offer Yield: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3.219%</w:t>
      </w:r>
    </w:p>
    <w:p>
      <w:pPr>
        <w:spacing w:after="0" w:line="117"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3.20% per year (interest on the Notes will accrue from June 7, 2019)</w:t>
      </w:r>
    </w:p>
    <w:p>
      <w:pPr>
        <w:spacing w:after="0" w:line="117"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99.838% of the principal amount</w:t>
      </w:r>
    </w:p>
    <w:p>
      <w:pPr>
        <w:spacing w:after="0" w:line="117"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Redemption Provision:</w:t>
      </w:r>
    </w:p>
    <w:p>
      <w:pPr>
        <w:spacing w:after="0" w:line="20" w:lineRule="exact"/>
        <w:rPr>
          <w:sz w:val="20"/>
          <w:szCs w:val="20"/>
          <w:color w:val="auto"/>
        </w:rPr>
      </w:pPr>
      <w:r>
        <w:rPr>
          <w:sz w:val="20"/>
          <w:szCs w:val="20"/>
          <w:color w:val="auto"/>
        </w:rPr>
        <w:br w:type="column"/>
      </w:r>
    </w:p>
    <w:p>
      <w:pPr>
        <w:ind w:right="60"/>
        <w:spacing w:after="0" w:line="261" w:lineRule="auto"/>
        <w:rPr>
          <w:sz w:val="20"/>
          <w:szCs w:val="20"/>
          <w:color w:val="auto"/>
        </w:rPr>
      </w:pPr>
      <w:r>
        <w:rPr>
          <w:rFonts w:ascii="Times New Roman" w:cs="Times New Roman" w:eastAsia="Times New Roman" w:hAnsi="Times New Roman"/>
          <w:sz w:val="18"/>
          <w:szCs w:val="18"/>
          <w:color w:val="auto"/>
        </w:rPr>
        <w:t>At any time before March 15, 2029, make-whole call based on U.S. Treasury plus 20 basis points (0.20%); if redeemed on or after March 15, 2029, at 100% of the principal amount of the notes being redeemed, in each case plus accrued and unpaid interest thereon to, but excluding, the redemption date</w:t>
      </w:r>
    </w:p>
    <w:p>
      <w:pPr>
        <w:spacing w:after="0" w:line="113" w:lineRule="exact"/>
        <w:rPr>
          <w:sz w:val="20"/>
          <w:szCs w:val="20"/>
          <w:color w:val="auto"/>
        </w:rPr>
      </w:pPr>
    </w:p>
    <w:p>
      <w:pPr>
        <w:sectPr>
          <w:pgSz w:w="11900" w:h="16838" w:orient="portrait"/>
          <w:cols w:equalWidth="0" w:num="2">
            <w:col w:w="3360" w:space="720"/>
            <w:col w:w="6940"/>
          </w:cols>
          <w:pgMar w:left="440" w:top="26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Ex. D-1</w:t>
      </w:r>
    </w:p>
    <w:p>
      <w:pPr>
        <w:sectPr>
          <w:pgSz w:w="11900" w:h="16838" w:orient="portrait"/>
          <w:cols w:equalWidth="0" w:num="1">
            <w:col w:w="11020"/>
          </w:cols>
          <w:pgMar w:left="440" w:top="266" w:right="4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313747 AZ0 / US313747AZ04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-206375</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9" w:lineRule="exact"/>
        <w:rPr>
          <w:sz w:val="20"/>
          <w:szCs w:val="20"/>
          <w:color w:val="auto"/>
        </w:rPr>
      </w:pPr>
    </w:p>
    <w:p>
      <w:pPr>
        <w:sectPr>
          <w:pgSz w:w="11900" w:h="16838" w:orient="portrait"/>
          <w:cols w:equalWidth="0" w:num="2">
            <w:col w:w="3360" w:space="720"/>
            <w:col w:w="6940"/>
          </w:cols>
          <w:pgMar w:left="440" w:top="270" w:right="4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wp:posOffset>
            </wp:positionH>
            <wp:positionV relativeFrom="paragraph">
              <wp:posOffset>228600</wp:posOffset>
            </wp:positionV>
            <wp:extent cx="14662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720"/>
            <w:col w:w="6940"/>
          </w:cols>
          <w:pgMar w:left="440" w:top="270" w:right="439" w:bottom="1440" w:gutter="0" w:footer="0" w:header="0"/>
          <w:type w:val="continuous"/>
        </w:sectPr>
      </w:pPr>
    </w:p>
    <w:p>
      <w:pPr>
        <w:spacing w:after="0" w:line="3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expect delivery of the Notes will be made against payment therefor on or about June 7, 2019, which is the third business day following the pricing of the Notes (such settlement being referred to as “T+3”). Under Rule 15c6-1 of the Exchange Act, trades in the secondary market generally are required to settle in two business days unless the parties to that trade expressly agree otherwise. Accordingly, purchasers who wish to trade the Notes on the date of pricing will be required by virtue of the fact that the Notes will settle in T+3, to specify an alternative settlement cycle at the time of any such trade to prevent failed settlement and should consult their own advisers.</w:t>
      </w:r>
    </w:p>
    <w:p>
      <w:pPr>
        <w:spacing w:after="0" w:line="18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lternatively, the issuer, any underwriter or any dealer participating in the offering will arrange to send you the prospectus supplement and prospectus if you request it from (i) BofA Securities, Inc. toll-free at 1-800-294-1322, (ii) Jefferies LLC toll free at 1-877-877-0696 or (iii) U.S. Bancorp Investments, Inc. toll-free at 1-877-558-2607.</w:t>
      </w:r>
    </w:p>
    <w:p>
      <w:pPr>
        <w:spacing w:after="0" w:line="183" w:lineRule="exact"/>
        <w:rPr>
          <w:sz w:val="20"/>
          <w:szCs w:val="20"/>
          <w:color w:val="auto"/>
        </w:rPr>
      </w:pPr>
    </w:p>
    <w:p>
      <w:pPr>
        <w:jc w:val="cente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D-2</w:t>
      </w:r>
    </w:p>
    <w:p>
      <w:pPr>
        <w:sectPr>
          <w:pgSz w:w="11900" w:h="16838" w:orient="portrait"/>
          <w:cols w:equalWidth="0" w:num="1">
            <w:col w:w="11020"/>
          </w:cols>
          <w:pgMar w:left="440" w:top="270" w:right="439" w:bottom="1440" w:gutter="0" w:footer="0" w:header="0"/>
          <w:type w:val="continuous"/>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4,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r>
        <w:rPr>
          <w:rFonts w:ascii="Times New Roman" w:cs="Times New Roman" w:eastAsia="Times New Roman" w:hAnsi="Times New Roman"/>
          <w:sz w:val="15"/>
          <w:szCs w:val="15"/>
          <w:color w:val="auto"/>
        </w:rPr>
        <w:t>OF</w:t>
      </w:r>
      <w:r>
        <w:rPr>
          <w:rFonts w:ascii="Times New Roman" w:cs="Times New Roman" w:eastAsia="Times New Roman" w:hAnsi="Times New Roman"/>
          <w:sz w:val="18"/>
          <w:szCs w:val="18"/>
          <w:color w:val="auto"/>
        </w:rPr>
        <w:t>A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5"/>
          <w:szCs w:val="15"/>
          <w:color w:val="auto"/>
        </w:rPr>
        <w:t>EFFERIES</w:t>
      </w:r>
      <w:r>
        <w:rPr>
          <w:rFonts w:ascii="Times New Roman" w:cs="Times New Roman" w:eastAsia="Times New Roman" w:hAnsi="Times New Roman"/>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5"/>
          <w:szCs w:val="15"/>
          <w:color w:val="auto"/>
        </w:rPr>
        <w:t>ANCORP</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5"/>
          <w:szCs w:val="15"/>
          <w:color w:val="auto"/>
        </w:rPr>
        <w:t>NVESTMENTS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c/o</w:t>
        <w:tab/>
        <w:t>BofA Securities,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N. Tryon St., 26th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Federal Realty Investment Trust, a Maryland real estate investment trust (the “Company”), proposes, subject to the terms and conditions stated herein and in the Underwriting Agreement, dated June 4, 2019 (the “Underwriting Agreement”), between the Company on the one hand and BofA Securities, Inc., Jefferies LLC and U.S. Bancorp Investments, Inc. acting for themselves and as representatives of the Underwriters named in Schedule I hereto (collectively, the “Underwriters”), on the other hand, to issue and sell to the Underwriters the Securities specified in Schedule II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ectPr>
          <w:pgSz w:w="11900" w:h="16838" w:orient="portrait"/>
          <w:cols w:equalWidth="0" w:num="1">
            <w:col w:w="11020"/>
          </w:cols>
          <w:pgMar w:left="440" w:top="117" w:right="439" w:bottom="1440" w:gutter="0" w:footer="0" w:header="0"/>
        </w:sectPr>
      </w:pPr>
    </w:p>
    <w:bookmarkStart w:id="44" w:name="page45"/>
    <w:bookmarkEnd w:id="44"/>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supplement to the Prospectus relating to the Designated Securities, in the form heretofore delivered to you, is now proposed to be filed with the Commission.</w:t>
      </w:r>
    </w:p>
    <w:p>
      <w:pPr>
        <w:spacing w:after="0" w:line="162" w:lineRule="exact"/>
        <w:rPr>
          <w:sz w:val="20"/>
          <w:szCs w:val="20"/>
          <w:color w:val="auto"/>
        </w:rPr>
      </w:pPr>
    </w:p>
    <w:p>
      <w:pPr>
        <w:jc w:val="both"/>
        <w:ind w:right="100" w:firstLine="441"/>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principal amount of Designated Securities set forth opposite the name of such Underwriter in Schedule I hereto.</w:t>
      </w:r>
    </w:p>
    <w:p>
      <w:pPr>
        <w:spacing w:after="0" w:line="180" w:lineRule="exact"/>
        <w:rPr>
          <w:sz w:val="20"/>
          <w:szCs w:val="20"/>
          <w:color w:val="auto"/>
        </w:rPr>
      </w:pPr>
    </w:p>
    <w:p>
      <w:pPr>
        <w:jc w:val="both"/>
        <w:ind w:right="180" w:firstLine="441"/>
        <w:spacing w:after="0" w:line="266"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Underwriting Agreement, and any interest and obligation in or under this Underwriting Agreement, will be effective to the same extent as the transfer would be effective under the U.S. Special Resolution Regime.</w:t>
      </w:r>
    </w:p>
    <w:p>
      <w:pPr>
        <w:spacing w:after="0" w:line="176"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Underwriting Agreement that may be exercised against such Underwriter are permitted to be exercised to no greater extent than such Default Rights could be exercised under the U.S. Special Resolution Regime.</w:t>
      </w:r>
    </w:p>
    <w:p>
      <w:pPr>
        <w:spacing w:after="0" w:line="176" w:lineRule="exact"/>
        <w:rPr>
          <w:sz w:val="20"/>
          <w:szCs w:val="20"/>
          <w:color w:val="auto"/>
        </w:rPr>
      </w:pPr>
    </w:p>
    <w:p>
      <w:pPr>
        <w:ind w:firstLine="441"/>
        <w:spacing w:after="0" w:line="269" w:lineRule="auto"/>
        <w:rPr>
          <w:sz w:val="20"/>
          <w:szCs w:val="20"/>
          <w:color w:val="auto"/>
        </w:rPr>
      </w:pPr>
      <w:r>
        <w:rPr>
          <w:rFonts w:ascii="Times New Roman" w:cs="Times New Roman" w:eastAsia="Times New Roman" w:hAnsi="Times New Roman"/>
          <w:sz w:val="17"/>
          <w:szCs w:val="17"/>
          <w:color w:val="auto"/>
        </w:rPr>
        <w:t>For purposes of foregoing two paragraphs, “</w:t>
      </w:r>
      <w:r>
        <w:rPr>
          <w:rFonts w:ascii="Times New Roman" w:cs="Times New Roman" w:eastAsia="Times New Roman" w:hAnsi="Times New Roman"/>
          <w:sz w:val="17"/>
          <w:szCs w:val="17"/>
          <w:u w:val="single" w:color="auto"/>
          <w:color w:val="auto"/>
        </w:rPr>
        <w:t>BHC Act Affiliate</w:t>
      </w:r>
      <w:r>
        <w:rPr>
          <w:rFonts w:ascii="Times New Roman" w:cs="Times New Roman" w:eastAsia="Times New Roman" w:hAnsi="Times New Roman"/>
          <w:sz w:val="17"/>
          <w:szCs w:val="17"/>
          <w:color w:val="auto"/>
        </w:rPr>
        <w:t>” has the meaning assigned to the term “affiliate” in, and shall be interpreted in accordance with, 12 U.S.C. § 1841(k); “</w:t>
      </w:r>
      <w:r>
        <w:rPr>
          <w:rFonts w:ascii="Times New Roman" w:cs="Times New Roman" w:eastAsia="Times New Roman" w:hAnsi="Times New Roman"/>
          <w:sz w:val="17"/>
          <w:szCs w:val="17"/>
          <w:u w:val="single" w:color="auto"/>
          <w:color w:val="auto"/>
        </w:rPr>
        <w:t>Covered Entity</w:t>
      </w:r>
      <w:r>
        <w:rPr>
          <w:rFonts w:ascii="Times New Roman" w:cs="Times New Roman" w:eastAsia="Times New Roman" w:hAnsi="Times New Roman"/>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7"/>
          <w:szCs w:val="17"/>
          <w:u w:val="single" w:color="auto"/>
          <w:color w:val="auto"/>
        </w:rPr>
        <w:t>Default Right</w:t>
      </w:r>
      <w:r>
        <w:rPr>
          <w:rFonts w:ascii="Times New Roman" w:cs="Times New Roman" w:eastAsia="Times New Roman" w:hAnsi="Times New Roman"/>
          <w:sz w:val="17"/>
          <w:szCs w:val="17"/>
          <w:color w:val="auto"/>
        </w:rPr>
        <w:t>” has the meaning assigned to that term in, and shall be interpreted in accordance with, 12 C.F.R. §§ 252.81, 47.2 or 382.1, as applicable; and “</w:t>
      </w:r>
      <w:r>
        <w:rPr>
          <w:rFonts w:ascii="Times New Roman" w:cs="Times New Roman" w:eastAsia="Times New Roman" w:hAnsi="Times New Roman"/>
          <w:sz w:val="17"/>
          <w:szCs w:val="17"/>
          <w:u w:val="single" w:color="auto"/>
          <w:color w:val="auto"/>
        </w:rPr>
        <w:t>U.S. Special Resolution Regime</w:t>
      </w:r>
      <w:r>
        <w:rPr>
          <w:rFonts w:ascii="Times New Roman" w:cs="Times New Roman" w:eastAsia="Times New Roman" w:hAnsi="Times New Roman"/>
          <w:sz w:val="17"/>
          <w:szCs w:val="17"/>
          <w:color w:val="auto"/>
        </w:rPr>
        <w:t>” means each of</w:t>
      </w:r>
    </w:p>
    <w:p>
      <w:pPr>
        <w:spacing w:after="0" w:line="3" w:lineRule="exact"/>
        <w:rPr>
          <w:sz w:val="20"/>
          <w:szCs w:val="20"/>
          <w:color w:val="auto"/>
        </w:rPr>
      </w:pPr>
    </w:p>
    <w:p>
      <w:pPr>
        <w:ind w:right="120" w:firstLine="4"/>
        <w:spacing w:after="0" w:line="261" w:lineRule="auto"/>
        <w:tabs>
          <w:tab w:leader="none" w:pos="2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obligations of the Underwriters under this Pricing Agreement and the Underwriting Agreement incorporated herein are several and not joint.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Pricing Agreement shall be governed by and construed in accordance with the laws of the State of New York.</w:t>
      </w:r>
    </w:p>
    <w:p>
      <w:pPr>
        <w:sectPr>
          <w:pgSz w:w="11900" w:h="16838" w:orient="portrait"/>
          <w:cols w:equalWidth="0" w:num="1">
            <w:col w:w="11000"/>
          </w:cols>
          <w:pgMar w:left="440" w:top="270" w:right="45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[REMAINDER OF THIS PAGE INTENTIONALLY LEFT BLANK]</w:t>
      </w:r>
    </w:p>
    <w:p>
      <w:pPr>
        <w:sectPr>
          <w:pgSz w:w="11900" w:h="16838" w:orient="portrait"/>
          <w:cols w:equalWidth="0" w:num="1">
            <w:col w:w="9019"/>
          </w:cols>
          <w:pgMar w:left="1440" w:top="270" w:right="1440" w:bottom="1440" w:gutter="0" w:footer="0" w:header="0"/>
        </w:sectPr>
      </w:pPr>
    </w:p>
    <w:bookmarkStart w:id="46" w:name="page47"/>
    <w:bookmarkEnd w:id="46"/>
    <w:p>
      <w:pPr>
        <w:ind w:firstLine="44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5"/>
          <w:szCs w:val="15"/>
          <w:b w:val="1"/>
          <w:bCs w:val="1"/>
          <w:color w:val="auto"/>
        </w:rPr>
        <w:t>EDERAL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5"/>
          <w:szCs w:val="15"/>
          <w:b w:val="1"/>
          <w:bCs w:val="1"/>
          <w:color w:val="auto"/>
        </w:rPr>
        <w:t>EALTY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NVESTMENT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5"/>
          <w:szCs w:val="15"/>
          <w:b w:val="1"/>
          <w:bCs w:val="1"/>
          <w:color w:val="auto"/>
        </w:rPr>
        <w:t>RUST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17145</wp:posOffset>
            </wp:positionV>
            <wp:extent cx="259016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Name: Daniel Guglielmone</w:t>
      </w:r>
    </w:p>
    <w:p>
      <w:pPr>
        <w:spacing w:after="0" w:line="27" w:lineRule="exact"/>
        <w:rPr>
          <w:sz w:val="20"/>
          <w:szCs w:val="20"/>
          <w:color w:val="auto"/>
        </w:rPr>
      </w:pPr>
    </w:p>
    <w:p>
      <w:pPr>
        <w:ind w:left="6940"/>
        <w:spacing w:after="0"/>
        <w:tabs>
          <w:tab w:leader="none" w:pos="7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President-Chief Financial</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[Pricing Agreement Signature Page]</w:t>
      </w:r>
    </w:p>
    <w:p>
      <w:pPr>
        <w:sectPr>
          <w:pgSz w:w="11900" w:h="16838" w:orient="portrait"/>
          <w:cols w:equalWidth="0" w:num="1">
            <w:col w:w="11020"/>
          </w:cols>
          <w:pgMar w:left="440" w:top="270"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w:t>
      </w:r>
      <w:r>
        <w:rPr>
          <w:rFonts w:ascii="Times New Roman" w:cs="Times New Roman" w:eastAsia="Times New Roman" w:hAnsi="Times New Roman"/>
          <w:sz w:val="15"/>
          <w:szCs w:val="15"/>
          <w:color w:val="auto"/>
        </w:rPr>
        <w:t>OF</w:t>
      </w:r>
      <w:r>
        <w:rPr>
          <w:rFonts w:ascii="Times New Roman" w:cs="Times New Roman" w:eastAsia="Times New Roman" w:hAnsi="Times New Roman"/>
          <w:sz w:val="18"/>
          <w:szCs w:val="18"/>
          <w:color w:val="auto"/>
        </w:rPr>
        <w:t>A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w:t>
      </w:r>
      <w:r>
        <w:rPr>
          <w:rFonts w:ascii="Times New Roman" w:cs="Times New Roman" w:eastAsia="Times New Roman" w:hAnsi="Times New Roman"/>
          <w:sz w:val="15"/>
          <w:szCs w:val="15"/>
          <w:color w:val="auto"/>
        </w:rPr>
        <w:t>EFFERIES</w:t>
      </w:r>
      <w:r>
        <w:rPr>
          <w:rFonts w:ascii="Times New Roman" w:cs="Times New Roman" w:eastAsia="Times New Roman" w:hAnsi="Times New Roman"/>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w:t>
      </w:r>
      <w:r>
        <w:rPr>
          <w:rFonts w:ascii="Times New Roman" w:cs="Times New Roman" w:eastAsia="Times New Roman" w:hAnsi="Times New Roman"/>
          <w:sz w:val="15"/>
          <w:szCs w:val="15"/>
          <w:color w:val="auto"/>
        </w:rPr>
        <w:t>ANCORP</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5"/>
          <w:szCs w:val="15"/>
          <w:color w:val="auto"/>
        </w:rPr>
        <w:t>NVESTMENTS</w:t>
      </w:r>
      <w:r>
        <w:rPr>
          <w:rFonts w:ascii="Times New Roman" w:cs="Times New Roman" w:eastAsia="Times New Roman" w:hAnsi="Times New Roman"/>
          <w:sz w:val="18"/>
          <w:szCs w:val="18"/>
          <w:color w:val="auto"/>
        </w:rPr>
        <w:t>,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Shawn Cepeda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17145</wp:posOffset>
            </wp:positionV>
            <wp:extent cx="25730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00" w:val="left"/>
        </w:tabs>
        <w:rPr>
          <w:sz w:val="20"/>
          <w:szCs w:val="20"/>
          <w:color w:val="auto"/>
        </w:rPr>
      </w:pPr>
      <w:r>
        <w:rPr>
          <w:rFonts w:ascii="Times New Roman" w:cs="Times New Roman" w:eastAsia="Times New Roman" w:hAnsi="Times New Roman"/>
          <w:sz w:val="18"/>
          <w:szCs w:val="18"/>
          <w:color w:val="auto"/>
        </w:rPr>
        <w:t>Name:</w:t>
        <w:tab/>
        <w:t>Shawn Cepeda</w:t>
      </w:r>
    </w:p>
    <w:p>
      <w:pPr>
        <w:spacing w:after="0" w:line="27" w:lineRule="exact"/>
        <w:rPr>
          <w:sz w:val="20"/>
          <w:szCs w:val="20"/>
          <w:color w:val="auto"/>
        </w:rPr>
      </w:pPr>
    </w:p>
    <w:p>
      <w:pPr>
        <w:ind w:left="3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17145</wp:posOffset>
            </wp:positionV>
            <wp:extent cx="25730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Matt Casey</w:t>
      </w:r>
    </w:p>
    <w:p>
      <w:pPr>
        <w:spacing w:after="0" w:line="27" w:lineRule="exact"/>
        <w:rPr>
          <w:sz w:val="20"/>
          <w:szCs w:val="20"/>
          <w:color w:val="auto"/>
        </w:rPr>
      </w:pPr>
    </w:p>
    <w:p>
      <w:pPr>
        <w:ind w:left="3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Charles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17145</wp:posOffset>
            </wp:positionV>
            <wp:extent cx="25730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10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Charles P. Carpenter</w:t>
      </w:r>
    </w:p>
    <w:p>
      <w:pPr>
        <w:spacing w:after="0" w:line="27" w:lineRule="exact"/>
        <w:rPr>
          <w:sz w:val="20"/>
          <w:szCs w:val="20"/>
          <w:color w:val="auto"/>
        </w:rPr>
      </w:pPr>
    </w:p>
    <w:p>
      <w:pPr>
        <w:ind w:left="3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themselves and as Representatives of the Underwriters named in Schedule I to this Pricing Agreement.</w:t>
      </w:r>
    </w:p>
    <w:p>
      <w:pPr>
        <w:spacing w:after="0" w:line="15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i w:val="1"/>
          <w:iCs w:val="1"/>
          <w:color w:val="auto"/>
        </w:rPr>
        <w:t>[Pricing Agreement Signature Page]</w:t>
      </w:r>
    </w:p>
    <w:p>
      <w:pPr>
        <w:sectPr>
          <w:pgSz w:w="11900" w:h="16838" w:orient="portrait"/>
          <w:cols w:equalWidth="0" w:num="1">
            <w:col w:w="10019"/>
          </w:cols>
          <w:pgMar w:left="440" w:top="270" w:right="1440" w:bottom="1440" w:gutter="0" w:footer="0" w:header="0"/>
        </w:sectPr>
      </w:pPr>
    </w:p>
    <w:bookmarkStart w:id="48" w:name="page49"/>
    <w:bookmarkEnd w:id="48"/>
    <w:tbl>
      <w:tblPr>
        <w:tblLayout w:type="fixed"/>
        <w:tblInd w:w="78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500" w:type="dxa"/>
            <w:vAlign w:val="bottom"/>
            <w:gridSpan w:val="2"/>
          </w:tcPr>
          <w:p>
            <w:pPr>
              <w:jc w:val="right"/>
              <w:ind w:right="2035"/>
              <w:spacing w:after="0"/>
              <w:rPr>
                <w:sz w:val="20"/>
                <w:szCs w:val="20"/>
                <w:color w:val="auto"/>
              </w:rPr>
            </w:pPr>
            <w:r>
              <w:rPr>
                <w:rFonts w:ascii="Times New Roman" w:cs="Times New Roman" w:eastAsia="Times New Roman" w:hAnsi="Times New Roman"/>
                <w:sz w:val="18"/>
                <w:szCs w:val="18"/>
                <w:color w:val="auto"/>
              </w:rPr>
              <w:t>SCHEDULE I</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100" w:type="dxa"/>
            <w:vAlign w:val="bottom"/>
            <w:vMerge w:val="restart"/>
          </w:tcPr>
          <w:p>
            <w:pPr>
              <w:spacing w:after="0"/>
              <w:rPr>
                <w:sz w:val="24"/>
                <w:szCs w:val="24"/>
                <w:color w:val="auto"/>
              </w:rPr>
            </w:pPr>
          </w:p>
        </w:tc>
        <w:tc>
          <w:tcPr>
            <w:tcW w:w="4600" w:type="dxa"/>
            <w:vAlign w:val="bottom"/>
            <w:gridSpan w:val="4"/>
          </w:tcPr>
          <w:p>
            <w:pPr>
              <w:jc w:val="center"/>
              <w:ind w:left="3136"/>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3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3"/>
        </w:trPr>
        <w:tc>
          <w:tcPr>
            <w:tcW w:w="28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3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Regions Securities LLC</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SunTrust Robinson Humphrey, Inc.</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3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0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Sch. I</w:t>
      </w:r>
    </w:p>
    <w:p>
      <w:pPr>
        <w:sectPr>
          <w:pgSz w:w="11900" w:h="16838" w:orient="portrait"/>
          <w:cols w:equalWidth="0" w:num="1">
            <w:col w:w="9019"/>
          </w:cols>
          <w:pgMar w:left="1440" w:top="270" w:right="1440" w:bottom="1440" w:gutter="0" w:footer="0" w:header="0"/>
        </w:sectPr>
      </w:pPr>
    </w:p>
    <w:bookmarkStart w:id="49" w:name="page50"/>
    <w:bookmarkEnd w:id="49"/>
    <w:p>
      <w:pPr>
        <w:jc w:val="center"/>
        <w:ind w:right="-4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of Designated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3.20% Notes due 2029 (the “Designated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$300,000,000</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to Public:</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99.838% of the principal amount of the Designated Securities, plus accrued interest from June 7, 2019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Price by Underwriters: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99.188% of the principal amount of the Designated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Specified funds for payment of purchase price: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121"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Indenture, dated as of September 1, 1998, between the Company and U.S. Bank National Association, successor to Wachovia Bank, National Association, successor to First Union National Bank, as Trustee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June 15, 2029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3.20% per year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June 15 and December 15, beginning on December 15, 2019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Provisions: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9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Sch. II, Page 1</w:t>
      </w:r>
    </w:p>
    <w:p>
      <w:pPr>
        <w:sectPr>
          <w:pgSz w:w="11900" w:h="16838" w:orient="portrait"/>
          <w:cols w:equalWidth="0" w:num="1">
            <w:col w:w="10620"/>
          </w:cols>
          <w:pgMar w:left="440" w:top="270" w:right="8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Sinking Fund Provisions: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provisions: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defeasance and covenant defeasance provisions of the Indenture apply to the Designated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Applicable Time: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3:40 p.m. (Eastern time) on June 4, 2019 or such other time as agreed by the Company and the Representatives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 of Delivery: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June 7,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Closing Location: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Sidley Austin </w:t>
      </w:r>
      <w:r>
        <w:rPr>
          <w:rFonts w:ascii="Times New Roman" w:cs="Times New Roman" w:eastAsia="Times New Roman" w:hAnsi="Times New Roman"/>
          <w:sz w:val="15"/>
          <w:szCs w:val="15"/>
          <w:color w:val="auto"/>
        </w:rPr>
        <w:t>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 Section 12 Notice Information: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50 Rockefeller Plaza, NY1-050-12-02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10020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High Grade Transaction Management/Legal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(646) 855-5958</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(646) 619-4437</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N. Tryon Street, 26th Floor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Charlotte, North Carolina 28282</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High Grade Syndicate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Facsimile: (877) 774-3462</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Sch. II, Page 2</w:t>
      </w:r>
    </w:p>
    <w:p>
      <w:pPr>
        <w:sectPr>
          <w:pgSz w:w="11900" w:h="16838" w:orient="portrait"/>
          <w:cols w:equalWidth="0" w:num="1">
            <w:col w:w="10019"/>
          </w:cols>
          <w:pgMar w:left="440" w:top="266" w:right="1440"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 of Security]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3.20% Note due 2029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CUSIP No. 313747 AZ0</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$300,000,000</w:t>
            </w:r>
          </w:p>
        </w:tc>
      </w:tr>
    </w:tbl>
    <w:p>
      <w:pPr>
        <w:spacing w:after="0" w:line="19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3"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7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THIS NOTE WILL BE ISSUED AND MAY BE TRANSFERRED ONLY IN MINIMUM DENOMINATIONS OF $2,000 AND INTEGRAL MULTIPLES OF $1,000 IN EXCESS THEREOF.</w:t>
      </w:r>
    </w:p>
    <w:p>
      <w:pPr>
        <w:spacing w:after="0" w:line="159"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8"/>
          <w:szCs w:val="18"/>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Three Hundred Million Dollars ($300,000,000) on June 15, 2029 (the “Stated Maturity Date”) or the date fixed for earlier redemption (the “Redemption Date,” and together with the Stated Maturity Date with respect to principal repayable on such date, the “Maturity Date”), and to pay interest on the outstanding principal amount thereof from June 7, 2019 or from the most recent interest payment date to which interest has been paid or duly provided for, semi-annually on June 15 and December 15 in each year (each, an “Interest Payment Date”), commencing December 15, 2019, at the rate of 3.20%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June 1 and December 1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w:t>
      </w:r>
    </w:p>
    <w:p>
      <w:pPr>
        <w:sectPr>
          <w:pgSz w:w="11900" w:h="16838" w:orient="portrait"/>
          <w:cols w:equalWidth="0" w:num="1">
            <w:col w:w="11020"/>
          </w:cols>
          <w:pgMar w:left="440" w:top="117" w:right="439" w:bottom="1440" w:gutter="0" w:footer="0" w:header="0"/>
        </w:sectPr>
      </w:pPr>
    </w:p>
    <w:bookmarkStart w:id="52" w:name="page53"/>
    <w:bookmarkEnd w:id="5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funds to an account 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89" w:lineRule="exact"/>
        <w:rPr>
          <w:sz w:val="20"/>
          <w:szCs w:val="20"/>
          <w:color w:val="auto"/>
        </w:rPr>
      </w:pPr>
    </w:p>
    <w:p>
      <w:pPr>
        <w:ind w:firstLine="881"/>
        <w:spacing w:after="0" w:line="261" w:lineRule="auto"/>
        <w:rPr>
          <w:sz w:val="20"/>
          <w:szCs w:val="20"/>
          <w:color w:val="auto"/>
        </w:rPr>
      </w:pPr>
      <w:r>
        <w:rPr>
          <w:rFonts w:ascii="Times New Roman" w:cs="Times New Roman" w:eastAsia="Times New Roman" w:hAnsi="Times New Roman"/>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80" w:lineRule="exact"/>
        <w:rPr>
          <w:sz w:val="20"/>
          <w:szCs w:val="20"/>
          <w:color w:val="auto"/>
        </w:rPr>
      </w:pPr>
    </w:p>
    <w:p>
      <w:pPr>
        <w:ind w:firstLine="881"/>
        <w:spacing w:after="0" w:line="255" w:lineRule="auto"/>
        <w:rPr>
          <w:sz w:val="20"/>
          <w:szCs w:val="20"/>
          <w:color w:val="auto"/>
        </w:rPr>
      </w:pPr>
      <w:r>
        <w:rPr>
          <w:rFonts w:ascii="Times New Roman" w:cs="Times New Roman" w:eastAsia="Times New Roman" w:hAnsi="Times New Roman"/>
          <w:sz w:val="18"/>
          <w:szCs w:val="18"/>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June 7, 2019,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All payments of principal, premium, if any, and interest in respect of this Note will be made by the Company in immediately available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w:t>
      </w:r>
    </w:p>
    <w:p>
      <w:pPr>
        <w:spacing w:after="0" w:line="207" w:lineRule="exact"/>
        <w:rPr>
          <w:sz w:val="20"/>
          <w:szCs w:val="20"/>
          <w:color w:val="auto"/>
        </w:rPr>
      </w:pPr>
    </w:p>
    <w:p>
      <w:pPr>
        <w:ind w:right="600" w:firstLine="881"/>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62" w:lineRule="exact"/>
        <w:rPr>
          <w:sz w:val="20"/>
          <w:szCs w:val="20"/>
          <w:color w:val="auto"/>
        </w:rPr>
      </w:pPr>
    </w:p>
    <w:p>
      <w:pPr>
        <w:ind w:right="140" w:firstLine="881"/>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[This space intentionally left blank]</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70" w:right="519" w:bottom="1440" w:gutter="0" w:footer="0" w:header="0"/>
        </w:sectPr>
      </w:pPr>
    </w:p>
    <w:bookmarkStart w:id="53" w:name="page54"/>
    <w:bookmarkEnd w:id="53"/>
    <w:p>
      <w:pPr>
        <w:ind w:left="8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Dated: June</w:t>
        <w:tab/>
        <w:t>, 2019</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17145</wp:posOffset>
            </wp:positionV>
            <wp:extent cx="25641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Donald C. Wood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17145</wp:posOffset>
            </wp:positionV>
            <wp:extent cx="25641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Daniel Guglielmone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Executive Vice President-Chief Financial Officer and</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Treasurer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27959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Dawn M. Becker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the Note of the series designated therein referred to in the within-mentioned Indenture.</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Dated: June</w:t>
        <w:tab/>
        <w:t>, 2019</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 BANK NATIONAL ASSOCIATION, as Trustee</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17145</wp:posOffset>
            </wp:positionV>
            <wp:extent cx="25641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840"/>
          </w:cols>
          <w:pgMar w:left="440" w:top="270" w:right="619" w:bottom="1440" w:gutter="0" w:footer="0" w:header="0"/>
        </w:sectPr>
      </w:pPr>
    </w:p>
    <w:bookmarkStart w:id="54" w:name="page55"/>
    <w:bookmarkEnd w:id="54"/>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3.20% Note due 2029</w:t>
      </w:r>
    </w:p>
    <w:p>
      <w:pPr>
        <w:spacing w:after="0" w:line="225" w:lineRule="exact"/>
        <w:rPr>
          <w:sz w:val="20"/>
          <w:szCs w:val="20"/>
          <w:color w:val="auto"/>
        </w:rPr>
      </w:pPr>
    </w:p>
    <w:p>
      <w:pPr>
        <w:ind w:right="40" w:firstLine="881"/>
        <w:spacing w:after="0" w:line="253" w:lineRule="auto"/>
        <w:rPr>
          <w:sz w:val="20"/>
          <w:szCs w:val="20"/>
          <w:color w:val="auto"/>
        </w:rPr>
      </w:pPr>
      <w:r>
        <w:rPr>
          <w:rFonts w:ascii="Times New Roman" w:cs="Times New Roman" w:eastAsia="Times New Roman" w:hAnsi="Times New Roman"/>
          <w:sz w:val="18"/>
          <w:szCs w:val="18"/>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“3.20% Notes due 2029” (collectively, the “Notes”), and the aggregate principal amount of the Notes to be issued under such series is limited to $300,000,000 as of the date hereof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91" w:lineRule="exact"/>
        <w:rPr>
          <w:sz w:val="20"/>
          <w:szCs w:val="20"/>
          <w:color w:val="auto"/>
        </w:rPr>
      </w:pPr>
    </w:p>
    <w:p>
      <w:pPr>
        <w:ind w:firstLine="881"/>
        <w:spacing w:after="0" w:line="282" w:lineRule="auto"/>
        <w:rPr>
          <w:sz w:val="20"/>
          <w:szCs w:val="20"/>
          <w:color w:val="auto"/>
        </w:rPr>
      </w:pPr>
      <w:r>
        <w:rPr>
          <w:rFonts w:ascii="Times New Roman" w:cs="Times New Roman" w:eastAsia="Times New Roman" w:hAnsi="Times New Roman"/>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used herein:</w:t>
      </w:r>
    </w:p>
    <w:p>
      <w:pPr>
        <w:spacing w:after="0" w:line="115" w:lineRule="exact"/>
        <w:rPr>
          <w:sz w:val="20"/>
          <w:szCs w:val="20"/>
          <w:color w:val="auto"/>
        </w:rPr>
      </w:pPr>
    </w:p>
    <w:p>
      <w:pPr>
        <w:ind w:left="440" w:right="400" w:firstLine="423"/>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67" w:lineRule="exact"/>
        <w:rPr>
          <w:sz w:val="20"/>
          <w:szCs w:val="20"/>
          <w:color w:val="auto"/>
        </w:rPr>
      </w:pPr>
    </w:p>
    <w:p>
      <w:pPr>
        <w:ind w:left="440" w:right="780" w:firstLine="428"/>
        <w:spacing w:after="0" w:line="282" w:lineRule="auto"/>
        <w:tabs>
          <w:tab w:leader="none" w:pos="12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53" w:lineRule="exact"/>
        <w:rPr>
          <w:rFonts w:ascii="Times New Roman" w:cs="Times New Roman" w:eastAsia="Times New Roman" w:hAnsi="Times New Roman"/>
          <w:sz w:val="18"/>
          <w:szCs w:val="18"/>
          <w:color w:val="auto"/>
        </w:rPr>
      </w:pPr>
    </w:p>
    <w:p>
      <w:pPr>
        <w:ind w:left="1260" w:hanging="392"/>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the Notes when it becomes due and payable at its Maturity;</w:t>
      </w:r>
    </w:p>
    <w:p>
      <w:pPr>
        <w:spacing w:after="0" w:line="117" w:lineRule="exact"/>
        <w:rPr>
          <w:rFonts w:ascii="Times New Roman" w:cs="Times New Roman" w:eastAsia="Times New Roman" w:hAnsi="Times New Roman"/>
          <w:sz w:val="18"/>
          <w:szCs w:val="18"/>
          <w:color w:val="auto"/>
        </w:rPr>
      </w:pPr>
    </w:p>
    <w:p>
      <w:pPr>
        <w:ind w:left="1260" w:hanging="392"/>
        <w:spacing w:after="0"/>
        <w:tabs>
          <w:tab w:leader="none" w:pos="1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deposit of any sinking fund payment, when and as due by the terms of the Notes;</w:t>
      </w:r>
    </w:p>
    <w:p>
      <w:pPr>
        <w:spacing w:after="0" w:line="117" w:lineRule="exact"/>
        <w:rPr>
          <w:rFonts w:ascii="Times New Roman" w:cs="Times New Roman" w:eastAsia="Times New Roman" w:hAnsi="Times New Roman"/>
          <w:sz w:val="18"/>
          <w:szCs w:val="18"/>
          <w:color w:val="auto"/>
        </w:rPr>
      </w:pPr>
    </w:p>
    <w:p>
      <w:pPr>
        <w:ind w:left="440" w:right="180" w:firstLine="428"/>
        <w:spacing w:after="0" w:line="282" w:lineRule="auto"/>
        <w:tabs>
          <w:tab w:leader="none" w:pos="125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a breach, of any covenant or agreement by the Company under the Indenture (other than a covenant or agreement a default in whose</w:t>
      </w:r>
    </w:p>
    <w:p>
      <w:pPr>
        <w:sectPr>
          <w:pgSz w:w="11900" w:h="16838" w:orient="portrait"/>
          <w:cols w:equalWidth="0" w:num="1">
            <w:col w:w="11000"/>
          </w:cols>
          <w:pgMar w:left="440" w:top="270" w:right="459" w:bottom="1440" w:gutter="0" w:footer="0" w:header="0"/>
        </w:sectPr>
      </w:pPr>
    </w:p>
    <w:bookmarkStart w:id="55" w:name="page56"/>
    <w:bookmarkEnd w:id="5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72" w:lineRule="exact"/>
        <w:rPr>
          <w:sz w:val="20"/>
          <w:szCs w:val="20"/>
          <w:color w:val="auto"/>
        </w:rPr>
      </w:pPr>
    </w:p>
    <w:p>
      <w:pPr>
        <w:ind w:firstLine="428"/>
        <w:spacing w:after="0" w:line="254" w:lineRule="auto"/>
        <w:tabs>
          <w:tab w:leader="none" w:pos="81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bond, debenture, note or other evidence of indebtedness for money borrowed by the Company (including obligations under leases required to be reflected on the balance sheet of the lessee as financing lease liabilities under generally accepted accounting principles but not including any indebtedness or obligations for which recourse is limited to one or more properties) in an aggregate principal amount in excess of $50,000,000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one or more properties) in an aggregate principal amount in excess of $50,000,000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81" w:lineRule="exact"/>
        <w:rPr>
          <w:rFonts w:ascii="Times New Roman" w:cs="Times New Roman" w:eastAsia="Times New Roman" w:hAnsi="Times New Roman"/>
          <w:sz w:val="18"/>
          <w:szCs w:val="18"/>
          <w:color w:val="auto"/>
        </w:rPr>
      </w:pPr>
    </w:p>
    <w:p>
      <w:pPr>
        <w:ind w:left="820" w:hanging="392"/>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1380" w:hanging="384"/>
        <w:spacing w:after="0"/>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or any Significant Subsidiary in an involuntary case,</w:t>
      </w:r>
    </w:p>
    <w:p>
      <w:pPr>
        <w:spacing w:after="0" w:line="117" w:lineRule="exact"/>
        <w:rPr>
          <w:rFonts w:ascii="Times New Roman" w:cs="Times New Roman" w:eastAsia="Times New Roman" w:hAnsi="Times New Roman"/>
          <w:sz w:val="18"/>
          <w:szCs w:val="18"/>
          <w:color w:val="auto"/>
        </w:rPr>
      </w:pPr>
    </w:p>
    <w:p>
      <w:pPr>
        <w:ind w:left="1380" w:hanging="384"/>
        <w:spacing w:after="0"/>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Significant Subsidiary or for all or substantially all of either of its property, or</w:t>
      </w:r>
    </w:p>
    <w:p>
      <w:pPr>
        <w:spacing w:after="0" w:line="117" w:lineRule="exact"/>
        <w:rPr>
          <w:rFonts w:ascii="Times New Roman" w:cs="Times New Roman" w:eastAsia="Times New Roman" w:hAnsi="Times New Roman"/>
          <w:sz w:val="18"/>
          <w:szCs w:val="18"/>
          <w:color w:val="auto"/>
        </w:rPr>
      </w:pPr>
    </w:p>
    <w:p>
      <w:pPr>
        <w:ind w:left="1000" w:right="40" w:hanging="4"/>
        <w:spacing w:after="0" w:line="282" w:lineRule="auto"/>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 or any Significant Subsidiary, and the order or decree remains unstayed and in effect for 90 days; or</w:t>
      </w:r>
    </w:p>
    <w:p>
      <w:pPr>
        <w:spacing w:after="0" w:line="53" w:lineRule="exact"/>
        <w:rPr>
          <w:rFonts w:ascii="Times New Roman" w:cs="Times New Roman" w:eastAsia="Times New Roman" w:hAnsi="Times New Roman"/>
          <w:sz w:val="18"/>
          <w:szCs w:val="18"/>
          <w:color w:val="auto"/>
        </w:rPr>
      </w:pPr>
    </w:p>
    <w:p>
      <w:pPr>
        <w:ind w:left="820" w:hanging="392"/>
        <w:spacing w:after="0"/>
        <w:tabs>
          <w:tab w:leader="none" w:pos="8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Significant Subsidiary pursuant to or within the meaning of any Bankruptcy Law:</w:t>
      </w:r>
    </w:p>
    <w:p>
      <w:pPr>
        <w:spacing w:after="0" w:line="117" w:lineRule="exact"/>
        <w:rPr>
          <w:rFonts w:ascii="Times New Roman" w:cs="Times New Roman" w:eastAsia="Times New Roman" w:hAnsi="Times New Roman"/>
          <w:sz w:val="18"/>
          <w:szCs w:val="18"/>
          <w:color w:val="auto"/>
        </w:rPr>
      </w:pPr>
    </w:p>
    <w:p>
      <w:pPr>
        <w:ind w:left="1380" w:hanging="384"/>
        <w:spacing w:after="0"/>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117" w:lineRule="exact"/>
        <w:rPr>
          <w:rFonts w:ascii="Times New Roman" w:cs="Times New Roman" w:eastAsia="Times New Roman" w:hAnsi="Times New Roman"/>
          <w:sz w:val="18"/>
          <w:szCs w:val="18"/>
          <w:color w:val="auto"/>
        </w:rPr>
      </w:pPr>
    </w:p>
    <w:p>
      <w:pPr>
        <w:ind w:left="1380" w:hanging="384"/>
        <w:spacing w:after="0"/>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117" w:lineRule="exact"/>
        <w:rPr>
          <w:rFonts w:ascii="Times New Roman" w:cs="Times New Roman" w:eastAsia="Times New Roman" w:hAnsi="Times New Roman"/>
          <w:sz w:val="18"/>
          <w:szCs w:val="18"/>
          <w:color w:val="auto"/>
        </w:rPr>
      </w:pPr>
    </w:p>
    <w:p>
      <w:pPr>
        <w:ind w:left="1380" w:hanging="384"/>
        <w:spacing w:after="0"/>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 or</w:t>
      </w:r>
    </w:p>
    <w:p>
      <w:pPr>
        <w:spacing w:after="0" w:line="117" w:lineRule="exact"/>
        <w:rPr>
          <w:rFonts w:ascii="Times New Roman" w:cs="Times New Roman" w:eastAsia="Times New Roman" w:hAnsi="Times New Roman"/>
          <w:sz w:val="18"/>
          <w:szCs w:val="18"/>
          <w:color w:val="auto"/>
        </w:rPr>
      </w:pPr>
    </w:p>
    <w:p>
      <w:pPr>
        <w:ind w:left="1380" w:hanging="384"/>
        <w:spacing w:after="0"/>
        <w:tabs>
          <w:tab w:leader="none" w:pos="13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70" w:right="479" w:bottom="1440" w:gutter="0" w:footer="0" w:header="0"/>
        </w:sectPr>
      </w:pPr>
    </w:p>
    <w:bookmarkStart w:id="56" w:name="page57"/>
    <w:bookmarkEnd w:id="56"/>
    <w:p>
      <w:pPr>
        <w:ind w:right="40" w:firstLine="88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defeasance and covenant defeasance provisions of the Indenture apply to the Notes. The Notes will not be entitled to the benefits of any sinking fund.</w:t>
      </w:r>
    </w:p>
    <w:p>
      <w:pPr>
        <w:spacing w:after="0" w:line="162" w:lineRule="exact"/>
        <w:rPr>
          <w:sz w:val="20"/>
          <w:szCs w:val="20"/>
          <w:color w:val="auto"/>
        </w:rPr>
      </w:pPr>
    </w:p>
    <w:p>
      <w:pPr>
        <w:ind w:right="40" w:firstLine="881"/>
        <w:spacing w:after="0" w:line="253" w:lineRule="auto"/>
        <w:rPr>
          <w:sz w:val="20"/>
          <w:szCs w:val="20"/>
          <w:color w:val="auto"/>
        </w:rPr>
      </w:pPr>
      <w:r>
        <w:rPr>
          <w:rFonts w:ascii="Times New Roman" w:cs="Times New Roman" w:eastAsia="Times New Roman" w:hAnsi="Times New Roman"/>
          <w:sz w:val="18"/>
          <w:szCs w:val="18"/>
          <w:color w:val="auto"/>
        </w:rPr>
        <w:t>The Notes are subject to redemption at any time, in whole or in part, at the election of the Company, at a redemption price equal to (x) if the Notes are redeemed before March 15, 2029 (the “Par Call Date”), the greater of (1) 100% of the principal amount of the Notes being redeemed, or (2) as determined by the Quotation Agent (as defined below), the sum of the present values of the remaining scheduled payments of principal and interest (not including any portion of such payments of interest accrued as of the Redemption Date) on the Notes to be redeemed, assuming that such Notes matured on, and that interest on such Notes was payable on, the Par Call Date, discounted to the Redemption Date on a semi-annual basis (assuming a 360-day year consisting of twelve 30-day months) at the Adjusted Treasury Rate (as defined below) plus 20 basis points (twenty one-hundredths of one percent) plus, in each case, accrued interest thereon to, but excluding, the Redemption Date or (y) if the Notes are redeemed on or after the Par Call Date, 100% of the principal amount of the Notes to be redeemed plus accrued and unpaid interest to, but excluding,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9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used herein:</w:t>
      </w:r>
    </w:p>
    <w:p>
      <w:pPr>
        <w:spacing w:after="0" w:line="115" w:lineRule="exact"/>
        <w:rPr>
          <w:sz w:val="20"/>
          <w:szCs w:val="20"/>
          <w:color w:val="auto"/>
        </w:rPr>
      </w:pPr>
    </w:p>
    <w:p>
      <w:pPr>
        <w:jc w:val="both"/>
        <w:ind w:left="440" w:right="600" w:firstLine="423"/>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Adjusted Treasury Rate</w:t>
      </w:r>
      <w:r>
        <w:rPr>
          <w:rFonts w:ascii="Times New Roman" w:cs="Times New Roman" w:eastAsia="Times New Roman" w:hAnsi="Times New Roman"/>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65" w:lineRule="exact"/>
        <w:rPr>
          <w:sz w:val="20"/>
          <w:szCs w:val="20"/>
          <w:color w:val="auto"/>
        </w:rPr>
      </w:pPr>
    </w:p>
    <w:p>
      <w:pPr>
        <w:ind w:left="440" w:right="1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Issue</w:t>
      </w:r>
      <w:r>
        <w:rPr>
          <w:rFonts w:ascii="Times New Roman" w:cs="Times New Roman" w:eastAsia="Times New Roman" w:hAnsi="Times New Roman"/>
          <w:sz w:val="18"/>
          <w:szCs w:val="18"/>
          <w:color w:val="auto"/>
        </w:rPr>
        <w:t>” means the United States Treasury security selected by the Quotation Agent as having a maturity comparable to the remaining term of the Notes to be redeemed (assuming for this purpose that such Notes matured on the Par Call Date) that would be utilized, at the time of selection and in accordance with customary financial practice, in pricing new issues of corporate debt securities of comparable maturity to the remaining term of such Notes.</w:t>
      </w:r>
    </w:p>
    <w:p>
      <w:pPr>
        <w:spacing w:after="0" w:line="72" w:lineRule="exact"/>
        <w:rPr>
          <w:sz w:val="20"/>
          <w:szCs w:val="20"/>
          <w:color w:val="auto"/>
        </w:rPr>
      </w:pPr>
    </w:p>
    <w:p>
      <w:pPr>
        <w:ind w:left="44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“Comparable Treasury Price</w:t>
      </w:r>
      <w:r>
        <w:rPr>
          <w:rFonts w:ascii="Times New Roman" w:cs="Times New Roman" w:eastAsia="Times New Roman" w:hAnsi="Times New Roman"/>
          <w:sz w:val="18"/>
          <w:szCs w:val="18"/>
          <w:color w:val="auto"/>
        </w:rPr>
        <w:t>” means, with respect to any Redemption Date, (1) the average of the Reference Treasury Dealer Quotations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Redemption Date, after excluding the highest and lowest of such Reference Treasury Dealer Quotations, or (2) if the Trustee obtains fewer than five such Reference Treasury Dealer quotations, the average of all such Quotations.</w:t>
      </w:r>
    </w:p>
    <w:p>
      <w:pPr>
        <w:spacing w:after="0" w:line="6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Quotation Agent</w:t>
      </w:r>
      <w:r>
        <w:rPr>
          <w:rFonts w:ascii="Times New Roman" w:cs="Times New Roman" w:eastAsia="Times New Roman" w:hAnsi="Times New Roman"/>
          <w:sz w:val="18"/>
          <w:szCs w:val="18"/>
          <w:color w:val="auto"/>
        </w:rPr>
        <w:t>” means the Reference Treasury Dealer appointed by the Company.</w:t>
      </w:r>
    </w:p>
    <w:p>
      <w:pPr>
        <w:spacing w:after="0" w:line="117" w:lineRule="exact"/>
        <w:rPr>
          <w:sz w:val="20"/>
          <w:szCs w:val="20"/>
          <w:color w:val="auto"/>
        </w:rPr>
      </w:pPr>
    </w:p>
    <w:p>
      <w:pPr>
        <w:ind w:left="440" w:right="600" w:firstLine="423"/>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w:t>
      </w:r>
      <w:r>
        <w:rPr>
          <w:rFonts w:ascii="Times New Roman" w:cs="Times New Roman" w:eastAsia="Times New Roman" w:hAnsi="Times New Roman"/>
          <w:sz w:val="18"/>
          <w:szCs w:val="18"/>
          <w:color w:val="auto"/>
        </w:rPr>
        <w:t>” means a Primary Treasury Dealer selected by each of (1) BofA Securities, Inc., Jefferies LLC and U.S. Bancorp Investments, Inc. and their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57" w:name="page58"/>
    <w:bookmarkEnd w:id="57"/>
    <w:p>
      <w:pPr>
        <w:jc w:val="both"/>
        <w:ind w:left="440" w:right="4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respective successors; provided, however, that if any Reference Treasury Dealer ceases to be a primary U.S. Government securities dealer (a “Primary Treasury Dealer”), the Company will substitute therefor another Primary Treasury Dealer; and (2) any two other Primary Treasury Dealers selected by the Company.</w:t>
      </w:r>
    </w:p>
    <w:p>
      <w:pPr>
        <w:spacing w:after="0" w:line="66" w:lineRule="exact"/>
        <w:rPr>
          <w:sz w:val="20"/>
          <w:szCs w:val="20"/>
          <w:color w:val="auto"/>
        </w:rPr>
      </w:pPr>
    </w:p>
    <w:p>
      <w:pPr>
        <w:ind w:left="440" w:right="2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2" w:lineRule="exact"/>
        <w:rPr>
          <w:sz w:val="20"/>
          <w:szCs w:val="20"/>
          <w:color w:val="auto"/>
        </w:rPr>
      </w:pPr>
    </w:p>
    <w:p>
      <w:pPr>
        <w:ind w:right="320" w:firstLine="881"/>
        <w:spacing w:after="0" w:line="282" w:lineRule="auto"/>
        <w:rPr>
          <w:sz w:val="20"/>
          <w:szCs w:val="20"/>
          <w:color w:val="auto"/>
        </w:rPr>
      </w:pPr>
      <w:r>
        <w:rPr>
          <w:rFonts w:ascii="Times New Roman" w:cs="Times New Roman" w:eastAsia="Times New Roman" w:hAnsi="Times New Roman"/>
          <w:sz w:val="18"/>
          <w:szCs w:val="18"/>
          <w:color w:val="auto"/>
        </w:rPr>
        <w:t>Notice of any redemption of the Notes will be given by mail to Holders of Securities, not less than 15 nor more than 60 days prior to the Redemption Date, all as provided in the Indenture.</w:t>
      </w:r>
    </w:p>
    <w:p>
      <w:pPr>
        <w:spacing w:after="0" w:line="162" w:lineRule="exact"/>
        <w:rPr>
          <w:sz w:val="20"/>
          <w:szCs w:val="20"/>
          <w:color w:val="auto"/>
        </w:rPr>
      </w:pPr>
    </w:p>
    <w:p>
      <w:pPr>
        <w:ind w:right="200" w:firstLine="881"/>
        <w:spacing w:after="0" w:line="282" w:lineRule="auto"/>
        <w:rPr>
          <w:sz w:val="20"/>
          <w:szCs w:val="20"/>
          <w:color w:val="auto"/>
        </w:rPr>
      </w:pPr>
      <w:r>
        <w:rPr>
          <w:rFonts w:ascii="Times New Roman" w:cs="Times New Roman" w:eastAsia="Times New Roman" w:hAnsi="Times New Roman"/>
          <w:sz w:val="18"/>
          <w:szCs w:val="18"/>
          <w:color w:val="auto"/>
        </w:rPr>
        <w:t>In the event of redemption of this Note in part only, a new Note or Notes for the unredeemed portion hereof shall be issued in the name of the Holder hereof upon the cancellation hereof.</w:t>
      </w:r>
    </w:p>
    <w:p>
      <w:pPr>
        <w:spacing w:after="0" w:line="162" w:lineRule="exact"/>
        <w:rPr>
          <w:sz w:val="20"/>
          <w:szCs w:val="20"/>
          <w:color w:val="auto"/>
        </w:rPr>
      </w:pPr>
    </w:p>
    <w:p>
      <w:pPr>
        <w:ind w:firstLine="881"/>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86" w:lineRule="exact"/>
        <w:rPr>
          <w:sz w:val="20"/>
          <w:szCs w:val="20"/>
          <w:color w:val="auto"/>
        </w:rPr>
      </w:pPr>
    </w:p>
    <w:p>
      <w:pPr>
        <w:ind w:right="120" w:firstLine="881"/>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76" w:lineRule="exact"/>
        <w:rPr>
          <w:sz w:val="20"/>
          <w:szCs w:val="20"/>
          <w:color w:val="auto"/>
        </w:rPr>
      </w:pPr>
    </w:p>
    <w:p>
      <w:pPr>
        <w:ind w:right="100" w:firstLine="881"/>
        <w:spacing w:after="0" w:line="261" w:lineRule="auto"/>
        <w:rPr>
          <w:sz w:val="20"/>
          <w:szCs w:val="20"/>
          <w:color w:val="auto"/>
        </w:rPr>
      </w:pPr>
      <w:r>
        <w:rPr>
          <w:rFonts w:ascii="Times New Roman" w:cs="Times New Roman" w:eastAsia="Times New Roman" w:hAnsi="Times New Roman"/>
          <w:sz w:val="18"/>
          <w:szCs w:val="18"/>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58" w:name="page59"/>
    <w:bookmarkEnd w:id="58"/>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84" w:lineRule="exact"/>
        <w:rPr>
          <w:sz w:val="20"/>
          <w:szCs w:val="20"/>
          <w:color w:val="auto"/>
        </w:rPr>
      </w:pPr>
    </w:p>
    <w:p>
      <w:pPr>
        <w:ind w:right="20" w:firstLine="881"/>
        <w:spacing w:after="0" w:line="253" w:lineRule="auto"/>
        <w:rPr>
          <w:sz w:val="20"/>
          <w:szCs w:val="20"/>
          <w:color w:val="auto"/>
        </w:rPr>
      </w:pPr>
      <w:r>
        <w:rPr>
          <w:rFonts w:ascii="Times New Roman" w:cs="Times New Roman" w:eastAsia="Times New Roman" w:hAnsi="Times New Roman"/>
          <w:sz w:val="18"/>
          <w:szCs w:val="18"/>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from Total Assets.</w:t>
      </w:r>
    </w:p>
    <w:p>
      <w:pPr>
        <w:spacing w:after="0" w:line="191" w:lineRule="exact"/>
        <w:rPr>
          <w:sz w:val="20"/>
          <w:szCs w:val="20"/>
          <w:color w:val="auto"/>
        </w:rPr>
      </w:pPr>
    </w:p>
    <w:p>
      <w:pPr>
        <w:ind w:firstLine="881"/>
        <w:spacing w:after="0" w:line="253" w:lineRule="auto"/>
        <w:rPr>
          <w:sz w:val="20"/>
          <w:szCs w:val="20"/>
          <w:color w:val="auto"/>
        </w:rPr>
      </w:pPr>
      <w:r>
        <w:rPr>
          <w:rFonts w:ascii="Times New Roman" w:cs="Times New Roman" w:eastAsia="Times New Roman" w:hAnsi="Times New Roman"/>
          <w:sz w:val="18"/>
          <w:szCs w:val="18"/>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59" w:name="page60"/>
    <w:bookmarkEnd w:id="59"/>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76" w:lineRule="exact"/>
        <w:rPr>
          <w:sz w:val="20"/>
          <w:szCs w:val="20"/>
          <w:color w:val="auto"/>
        </w:rPr>
      </w:pPr>
    </w:p>
    <w:p>
      <w:pPr>
        <w:jc w:val="both"/>
        <w:ind w:firstLine="881"/>
        <w:spacing w:after="0" w:line="266" w:lineRule="auto"/>
        <w:rPr>
          <w:sz w:val="20"/>
          <w:szCs w:val="20"/>
          <w:color w:val="auto"/>
        </w:rPr>
      </w:pPr>
      <w:r>
        <w:rPr>
          <w:rFonts w:ascii="Times New Roman" w:cs="Times New Roman" w:eastAsia="Times New Roman" w:hAnsi="Times New Roman"/>
          <w:sz w:val="18"/>
          <w:szCs w:val="18"/>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used herein,</w:t>
      </w:r>
    </w:p>
    <w:p>
      <w:pPr>
        <w:spacing w:after="0" w:line="115" w:lineRule="exact"/>
        <w:rPr>
          <w:sz w:val="20"/>
          <w:szCs w:val="20"/>
          <w:color w:val="auto"/>
        </w:rPr>
      </w:pPr>
    </w:p>
    <w:p>
      <w:pPr>
        <w:ind w:left="440" w:right="10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Debt</w:t>
      </w:r>
      <w:r>
        <w:rPr>
          <w:rFonts w:ascii="Times New Roman" w:cs="Times New Roman" w:eastAsia="Times New Roman" w:hAnsi="Times New Roman"/>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72" w:lineRule="exact"/>
        <w:rPr>
          <w:sz w:val="20"/>
          <w:szCs w:val="20"/>
          <w:color w:val="auto"/>
        </w:rPr>
      </w:pPr>
    </w:p>
    <w:p>
      <w:pPr>
        <w:ind w:left="440" w:right="100" w:firstLine="423"/>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Debt Service Charge</w:t>
      </w:r>
      <w:r>
        <w:rPr>
          <w:rFonts w:ascii="Times New Roman" w:cs="Times New Roman" w:eastAsia="Times New Roman" w:hAnsi="Times New Roman"/>
          <w:sz w:val="18"/>
          <w:szCs w:val="18"/>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65" w:lineRule="exact"/>
        <w:rPr>
          <w:sz w:val="20"/>
          <w:szCs w:val="20"/>
          <w:color w:val="auto"/>
        </w:rPr>
      </w:pPr>
    </w:p>
    <w:p>
      <w:pPr>
        <w:ind w:left="440" w:right="120" w:firstLine="423"/>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65" w:lineRule="exact"/>
        <w:rPr>
          <w:sz w:val="20"/>
          <w:szCs w:val="20"/>
          <w:color w:val="auto"/>
        </w:rPr>
      </w:pPr>
    </w:p>
    <w:p>
      <w:pPr>
        <w:ind w:left="440" w:right="120" w:firstLine="423"/>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Income Available for Debt Service</w:t>
      </w:r>
      <w:r>
        <w:rPr>
          <w:rFonts w:ascii="Times New Roman" w:cs="Times New Roman" w:eastAsia="Times New Roman" w:hAnsi="Times New Roman"/>
          <w:sz w:val="18"/>
          <w:szCs w:val="18"/>
          <w:color w:val="auto"/>
        </w:rPr>
        <w:t>” for any period means Funds from Operations (as defined below) of the Company and its Subsidiaries plus amounts which have been deducted for interest on Debt of the Company and its Subsidiaries.</w:t>
      </w:r>
    </w:p>
    <w:p>
      <w:pPr>
        <w:spacing w:after="0" w:line="50" w:lineRule="exact"/>
        <w:rPr>
          <w:sz w:val="20"/>
          <w:szCs w:val="20"/>
          <w:color w:val="auto"/>
        </w:rPr>
      </w:pPr>
    </w:p>
    <w:p>
      <w:pPr>
        <w:ind w:left="440" w:right="80" w:firstLine="423"/>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 (v) any lease of property by the Company or any Subsidiary as lessee which is reflected on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60" w:name="page61"/>
    <w:bookmarkEnd w:id="6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Company’s consolidated balance sheet as a financing lease liability in accordance with generally accepted accounting principles to the extent, in the case of items of indebtedness under (i) 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79" w:lineRule="exact"/>
        <w:rPr>
          <w:sz w:val="20"/>
          <w:szCs w:val="20"/>
          <w:color w:val="auto"/>
        </w:rPr>
      </w:pPr>
    </w:p>
    <w:p>
      <w:pPr>
        <w:ind w:right="40" w:firstLine="423"/>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Disqualified Stock</w:t>
      </w:r>
      <w:r>
        <w:rPr>
          <w:rFonts w:ascii="Times New Roman" w:cs="Times New Roman" w:eastAsia="Times New Roman" w:hAnsi="Times New Roman"/>
          <w:sz w:val="18"/>
          <w:szCs w:val="18"/>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w:t>
      </w:r>
    </w:p>
    <w:p>
      <w:pPr>
        <w:spacing w:after="0" w:line="1" w:lineRule="exact"/>
        <w:rPr>
          <w:sz w:val="20"/>
          <w:szCs w:val="20"/>
          <w:color w:val="auto"/>
        </w:rPr>
      </w:pPr>
    </w:p>
    <w:p>
      <w:pPr>
        <w:ind w:right="20" w:firstLine="4"/>
        <w:spacing w:after="0" w:line="255" w:lineRule="auto"/>
        <w:tabs>
          <w:tab w:leader="none" w:pos="2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76" w:lineRule="exact"/>
        <w:rPr>
          <w:sz w:val="20"/>
          <w:szCs w:val="20"/>
          <w:color w:val="auto"/>
        </w:rPr>
      </w:pPr>
    </w:p>
    <w:p>
      <w:pPr>
        <w:ind w:right="420" w:firstLine="423"/>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Funds from Operations</w:t>
      </w:r>
      <w:r>
        <w:rPr>
          <w:rFonts w:ascii="Times New Roman" w:cs="Times New Roman" w:eastAsia="Times New Roman" w:hAnsi="Times New Roman"/>
          <w:sz w:val="18"/>
          <w:szCs w:val="18"/>
          <w:color w:val="auto"/>
        </w:rPr>
        <w:t>” for any period means income available to common shareholders before depreciation and amortization of real estate assets and before extraordinary items less gain on sale of real estate.</w:t>
      </w:r>
    </w:p>
    <w:p>
      <w:pPr>
        <w:spacing w:after="0" w:line="50" w:lineRule="exact"/>
        <w:rPr>
          <w:sz w:val="20"/>
          <w:szCs w:val="20"/>
          <w:color w:val="auto"/>
        </w:rPr>
      </w:pPr>
    </w:p>
    <w:p>
      <w:pPr>
        <w:ind w:right="240" w:firstLine="423"/>
        <w:spacing w:after="0" w:line="31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Total Assets</w:t>
      </w:r>
      <w:r>
        <w:rPr>
          <w:rFonts w:ascii="Times New Roman" w:cs="Times New Roman" w:eastAsia="Times New Roman" w:hAnsi="Times New Roman"/>
          <w:sz w:val="17"/>
          <w:szCs w:val="17"/>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27" w:lineRule="exact"/>
        <w:rPr>
          <w:sz w:val="20"/>
          <w:szCs w:val="20"/>
          <w:color w:val="auto"/>
        </w:rPr>
      </w:pPr>
    </w:p>
    <w:p>
      <w:pPr>
        <w:ind w:right="80" w:firstLine="423"/>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Undepreciated Real Estate Assets</w:t>
      </w:r>
      <w:r>
        <w:rPr>
          <w:rFonts w:ascii="Times New Roman" w:cs="Times New Roman" w:eastAsia="Times New Roman" w:hAnsi="Times New Roman"/>
          <w:sz w:val="18"/>
          <w:szCs w:val="18"/>
          <w:color w:val="auto"/>
        </w:rPr>
        <w:t>” as of any date means the cost (original cost plus capital improvements) of real estate assets and finance lease right of use assets of the Company and its Subsidiaries on such date, before depreciation and amortization determined on a consolidated basis in accordance with generally accepted accounting principles.</w:t>
      </w:r>
    </w:p>
    <w:p>
      <w:pPr>
        <w:spacing w:after="0" w:line="65" w:lineRule="exact"/>
        <w:rPr>
          <w:sz w:val="20"/>
          <w:szCs w:val="20"/>
          <w:color w:val="auto"/>
        </w:rPr>
      </w:pPr>
    </w:p>
    <w:p>
      <w:pPr>
        <w:ind w:right="160" w:firstLine="423"/>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Unencumbered Total Asset Value</w:t>
      </w:r>
      <w:r>
        <w:rPr>
          <w:rFonts w:ascii="Times New Roman" w:cs="Times New Roman" w:eastAsia="Times New Roman" w:hAnsi="Times New Roman"/>
          <w:sz w:val="18"/>
          <w:szCs w:val="18"/>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 Asset Value for purposes of the</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61" w:name="page62"/>
    <w:bookmarkEnd w:id="61"/>
    <w:p>
      <w:pPr>
        <w:ind w:left="4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covenant relating to the maintenance of Unencumbered Total Asset Value, all investments by the Company and any of the Company’s subsidiaries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80" w:lineRule="exact"/>
        <w:rPr>
          <w:sz w:val="20"/>
          <w:szCs w:val="20"/>
          <w:color w:val="auto"/>
        </w:rPr>
      </w:pPr>
    </w:p>
    <w:p>
      <w:pPr>
        <w:ind w:right="20" w:firstLine="881"/>
        <w:spacing w:after="0" w:line="256" w:lineRule="auto"/>
        <w:rPr>
          <w:sz w:val="20"/>
          <w:szCs w:val="20"/>
          <w:color w:val="auto"/>
        </w:rPr>
      </w:pPr>
      <w:r>
        <w:rPr>
          <w:rFonts w:ascii="Times New Roman" w:cs="Times New Roman" w:eastAsia="Times New Roman" w:hAnsi="Times New Roman"/>
          <w:sz w:val="18"/>
          <w:szCs w:val="18"/>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Credit Agreement, dated as of July 7, 2011, between the Company and the various financial institutions named therein,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88" w:lineRule="exact"/>
        <w:rPr>
          <w:sz w:val="20"/>
          <w:szCs w:val="20"/>
          <w:color w:val="auto"/>
        </w:rPr>
      </w:pPr>
    </w:p>
    <w:p>
      <w:pPr>
        <w:ind w:right="100" w:firstLine="881"/>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88" w:lineRule="exact"/>
        <w:rPr>
          <w:sz w:val="20"/>
          <w:szCs w:val="20"/>
          <w:color w:val="auto"/>
        </w:rPr>
      </w:pPr>
    </w:p>
    <w:p>
      <w:pPr>
        <w:ind w:right="80" w:firstLine="881"/>
        <w:spacing w:after="0" w:line="26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76" w:lineRule="exact"/>
        <w:rPr>
          <w:sz w:val="20"/>
          <w:szCs w:val="20"/>
          <w:color w:val="auto"/>
        </w:rPr>
      </w:pPr>
    </w:p>
    <w:p>
      <w:pPr>
        <w:ind w:right="180" w:firstLine="881"/>
        <w:spacing w:after="0" w:line="282" w:lineRule="auto"/>
        <w:rPr>
          <w:sz w:val="20"/>
          <w:szCs w:val="20"/>
          <w:color w:val="auto"/>
        </w:rPr>
      </w:pPr>
      <w:r>
        <w:rPr>
          <w:rFonts w:ascii="Times New Roman" w:cs="Times New Roman" w:eastAsia="Times New Roman" w:hAnsi="Times New Roman"/>
          <w:sz w:val="18"/>
          <w:szCs w:val="18"/>
          <w:color w:val="auto"/>
        </w:rPr>
        <w:t>The Securities of this series are issuable only in registered form without coupons in denominations of $2,000 and any integral multiples of $1,000 in excess thereof.</w:t>
      </w:r>
    </w:p>
    <w:p>
      <w:pPr>
        <w:spacing w:after="0" w:line="162" w:lineRule="exact"/>
        <w:rPr>
          <w:sz w:val="20"/>
          <w:szCs w:val="20"/>
          <w:color w:val="auto"/>
        </w:rPr>
      </w:pPr>
    </w:p>
    <w:p>
      <w:pPr>
        <w:ind w:firstLine="881"/>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62" w:lineRule="exact"/>
        <w:rPr>
          <w:sz w:val="20"/>
          <w:szCs w:val="20"/>
          <w:color w:val="auto"/>
        </w:rPr>
      </w:pPr>
    </w:p>
    <w:p>
      <w:pPr>
        <w:jc w:val="both"/>
        <w:ind w:right="340" w:firstLine="881"/>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62" w:name="page63"/>
    <w:bookmarkEnd w:id="62"/>
    <w:p>
      <w:pPr>
        <w:ind w:firstLine="88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Indenture and the Notes shall be governed by and construed in accordance with the laws of the State of New York applicable to agreements made and to be performed entirely in such State.</w:t>
      </w:r>
    </w:p>
    <w:p>
      <w:pPr>
        <w:spacing w:after="0" w:line="9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380"/>
          </w:cols>
          <w:pgMar w:left="440" w:top="270" w:right="107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1200 Seventeenth St. NW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acting as counsel for Federal Realty Investment Trust, a Maryland real estate investment trust (the “Company”), in connection with the issuance and sale of $300,000,000 aggregate principal amount of 3.20% Notes due 2029 (the “Notes”) of the Company, pursuant to the Underwriting Agreement and related Pricing Agreement, each dated June 4, 2019, between the several underwriters listed in Schedule I to the Pricing Agreement (the “Underwriters”) and the Company (collectively, the “Agreement”). The Notes are being issued under the Indenture dated as of September 1, 1998 between the Company and U.S. Bank National Association (successor trustee to Wachovia Bank, National Association (successor trustee to First Union National Bank)), as Trustee (together with the officers’ certificate dated June 7, 2019 setting forth the terms of the Notes, the “Indenture”).</w:t>
      </w:r>
    </w:p>
    <w:p>
      <w:pPr>
        <w:spacing w:after="0" w:line="18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We have reviewed (a) the Agreement, (b) the Indenture, (c) the Registration Statement on Form S-3 (File No. 333-224701) (the “Registration Statement”) filed by the Company to register the offer and sale of the Notes with the Securities and Exchange Commission (the “Commission”) under the Securities Act of 1933 (the “Securities Act”), (d) the Prospectus dated May 7, 2018, as supplemented by the Prospectus Supplement dated June 4, 2019, relating to the offer and sale of the Notes (the “Prospectus”), filed by the Company with the Commission pursuant to Rule 424(b)(5) under the Securities Act. We have also reviewed such other agreements, documents, records, certificates and other materials, and have satisfied ourselves as to such other matters, as we have considered relevant or necessary as a basis for this opinion.</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In delivering this opinion, we have relied, without independent verification, as to factual matters, on certificates and other written or oral statements of governmental and other public officials and of officers and representatives of the Company, the Underwriters and the Trustee.</w:t>
      </w:r>
    </w:p>
    <w:p>
      <w:pPr>
        <w:spacing w:after="0" w:line="1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the basis of the assumptions and subject to the qualifications and limitations set forth herein, we are of the opinion that the Notes constitute the valid and legally binding obligations of the Company enforceable against the Company in accordance with their terms, except as may be subject to and limited by the effect of (a) applicable bankruptcy, insolvency, reorganization, fraudulent conveyance and other similar laws affecting creditors’ rights generally, (b) general equitable principles (whether considered in a proceeding in equity or at law) and (c) requirements of reasonableness, good faith, materiality and fair dealing and the discretion of the court before which any matter may be brought.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is limited to the law of the States of New York and Maryland, in each case as in effect on the date hereof.</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Company’s Current Report on Form 8-K filed by the Company with the Commission on June 7, 2019 and the incorporation thereof in the Registration Statement and to the use of our name under the captions “Legal Matters” in the Prospectus Supplement. In giving this consent, we do not thereby admit that we are within the category of persons whose consent is required under Section 7 of the Securities Act or the rules and regulations of the Commission promulgated thereunder.</w:t>
      </w:r>
    </w:p>
    <w:p>
      <w:pPr>
        <w:sectPr>
          <w:pgSz w:w="11900" w:h="16838" w:orient="portrait"/>
          <w:cols w:equalWidth="0" w:num="1">
            <w:col w:w="11020"/>
          </w:cols>
          <w:pgMar w:left="440" w:top="117"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Pillsbury Winthrop Shaw Pittman LLP</w:t>
      </w:r>
    </w:p>
    <w:p>
      <w:pPr>
        <w:spacing w:after="0" w:line="158"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19"/>
          </w:cols>
          <w:pgMar w:left="440" w:top="270" w:right="1440" w:bottom="1440" w:gutter="0" w:footer="0" w:header="0"/>
        </w:sectPr>
      </w:pPr>
    </w:p>
    <w:bookmarkStart w:id="65" w:name="page66"/>
    <w:bookmarkEnd w:id="65"/>
    <w:p>
      <w:pPr>
        <w:ind w:left="10180"/>
        <w:spacing w:after="0"/>
        <w:rPr>
          <w:sz w:val="20"/>
          <w:szCs w:val="20"/>
          <w:color w:val="auto"/>
        </w:rPr>
      </w:pPr>
      <w:r>
        <w:rPr>
          <w:rFonts w:ascii="Times New Roman" w:cs="Times New Roman" w:eastAsia="Times New Roman" w:hAnsi="Times New Roman"/>
          <w:sz w:val="17"/>
          <w:szCs w:val="17"/>
          <w:b w:val="1"/>
          <w:bCs w:val="1"/>
          <w:color w:val="auto"/>
        </w:rPr>
        <w:t>Exhibit 8.1</w:t>
      </w:r>
    </w:p>
    <w:p>
      <w:pPr>
        <w:sectPr>
          <w:pgSz w:w="11900" w:h="16838" w:orient="portrait"/>
          <w:cols w:equalWidth="0" w:num="1">
            <w:col w:w="11020"/>
          </w:cols>
          <w:pgMar w:left="440" w:top="117" w:right="439" w:bottom="1440" w:gutter="0" w:footer="0" w:header="0"/>
        </w:sectPr>
      </w:pPr>
    </w:p>
    <w:p>
      <w:pPr>
        <w:spacing w:after="0" w:line="26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1200 Seventeenth Street NW</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Washington, DC 20036-3006</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202.663.8000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202.663.8007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www.pillsburylaw.com</w:t>
      </w:r>
    </w:p>
    <w:p>
      <w:pPr>
        <w:spacing w:after="0" w:line="200" w:lineRule="exact"/>
        <w:rPr>
          <w:sz w:val="20"/>
          <w:szCs w:val="20"/>
          <w:color w:val="auto"/>
        </w:rPr>
      </w:pPr>
    </w:p>
    <w:p>
      <w:pPr>
        <w:sectPr>
          <w:pgSz w:w="11900" w:h="16838" w:orient="portrait"/>
          <w:cols w:equalWidth="0" w:num="2">
            <w:col w:w="8300" w:space="520"/>
            <w:col w:w="2200"/>
          </w:cols>
          <w:pgMar w:left="440" w:top="117" w:right="439" w:bottom="1440" w:gutter="0" w:footer="0" w:header="0"/>
          <w:type w:val="continuous"/>
        </w:sectPr>
      </w:pP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4,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Maryland 20852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June 4, 2019 (the “Prospectus Supplement”) to a prospectus (the “Base Prospectus”) filed as part of a registration statement on Form S-3 (File No. 333-224701, the “Registration Statement,” which term includes the Base Prospectus, Prospectus Supplement, and all documents incorporated and deemed to be incorporated by reference therein) with the Securities and Exchange Commission.</w:t>
      </w:r>
    </w:p>
    <w:p>
      <w:pPr>
        <w:spacing w:after="0" w:line="184" w:lineRule="exact"/>
        <w:rPr>
          <w:sz w:val="20"/>
          <w:szCs w:val="20"/>
          <w:color w:val="auto"/>
        </w:rPr>
      </w:pPr>
    </w:p>
    <w:p>
      <w:pPr>
        <w:jc w:val="both"/>
        <w:ind w:right="40" w:firstLine="441"/>
        <w:spacing w:after="0" w:line="272" w:lineRule="auto"/>
        <w:rPr>
          <w:sz w:val="20"/>
          <w:szCs w:val="20"/>
          <w:color w:val="auto"/>
        </w:rPr>
      </w:pPr>
      <w:r>
        <w:rPr>
          <w:rFonts w:ascii="Times New Roman" w:cs="Times New Roman" w:eastAsia="Times New Roman" w:hAnsi="Times New Roman"/>
          <w:sz w:val="17"/>
          <w:szCs w:val="17"/>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spacing w:after="0" w:line="2" w:lineRule="exact"/>
        <w:rPr>
          <w:sz w:val="20"/>
          <w:szCs w:val="20"/>
          <w:color w:val="auto"/>
        </w:rPr>
      </w:pPr>
    </w:p>
    <w:p>
      <w:pPr>
        <w:ind w:right="140" w:firstLine="4"/>
        <w:spacing w:after="0" w:line="252"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88"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020"/>
          </w:cols>
          <w:pgMar w:left="440" w:top="117" w:right="4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88"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2019;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(2019) taxable year and for future taxable years, and (iii) the discussions in (x) the Base Prospectus under the caption “Material Federal Income Tax Considerations,” (y) the Prospectus Supplement under the caption “Additional Material Federal Income Tax Considerations,” and (z) the Company’s Annual Report on Form 10-K for the year ended December 31, 2018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can own,” and “Risk Factors–U.S. federal tax reform legislation now and in the future could affect REITs, both positively and negatively, in ways that are difficult to anticipate,”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89" w:lineRule="exact"/>
        <w:rPr>
          <w:sz w:val="20"/>
          <w:szCs w:val="20"/>
          <w:color w:val="auto"/>
        </w:rPr>
      </w:pPr>
    </w:p>
    <w:p>
      <w:pPr>
        <w:ind w:right="200" w:firstLine="441"/>
        <w:spacing w:after="0" w:line="256" w:lineRule="auto"/>
        <w:rPr>
          <w:sz w:val="20"/>
          <w:szCs w:val="20"/>
          <w:color w:val="auto"/>
        </w:rPr>
      </w:pPr>
      <w:r>
        <w:rPr>
          <w:rFonts w:ascii="Times New Roman" w:cs="Times New Roman" w:eastAsia="Times New Roman" w:hAnsi="Times New Roman"/>
          <w:sz w:val="18"/>
          <w:szCs w:val="18"/>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Pillsbury Winthrop Shaw Pittman LLP</w:t>
      </w:r>
    </w:p>
    <w:p>
      <w:pPr>
        <w:sectPr>
          <w:pgSz w:w="11900" w:h="16838" w:orient="portrait"/>
          <w:cols w:equalWidth="0" w:num="1">
            <w:col w:w="11020"/>
          </w:cols>
          <w:pgMar w:left="440" w:top="270"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4,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assurance can be given as to whether, for any given taxable year, the actual ownership of the Company’s stock and its actual operating results and distributions satisfy the tests necessary to achieve and maintain its status as a REIT.</w:t>
      </w:r>
    </w:p>
    <w:p>
      <w:pPr>
        <w:spacing w:after="0" w:line="162" w:lineRule="exact"/>
        <w:rPr>
          <w:sz w:val="20"/>
          <w:szCs w:val="20"/>
          <w:color w:val="auto"/>
        </w:rPr>
      </w:pPr>
    </w:p>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62"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PILLSBURY WINTHROP SHAW PITTMAN LLP</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Pillsbury Winthrop Shaw Pittman LLP</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lvl w:ilvl="1">
      <w:lvlJc w:val="left"/>
      <w:lvlText w:val="(%2)"/>
      <w:numFmt w:val="lowerLetter"/>
      <w:start w:val="1"/>
    </w:lvl>
  </w:abstractNum>
  <w:abstractNum w:abstractNumId="2">
    <w:nsid w:val="8EDBDAB"/>
    <w:multiLevelType w:val="hybridMultilevel"/>
    <w:lvl w:ilvl="0">
      <w:lvlJc w:val="left"/>
      <w:lvlText w:val="(%1)"/>
      <w:numFmt w:val="lowerLetter"/>
      <w:start w:val="2"/>
    </w:lvl>
  </w:abstractNum>
  <w:abstractNum w:abstractNumId="3">
    <w:nsid w:val="79838CB2"/>
    <w:multiLevelType w:val="hybridMultilevel"/>
    <w:lvl w:ilvl="0">
      <w:lvlJc w:val="left"/>
      <w:lvlText w:val="(%1)"/>
      <w:numFmt w:val="lowerLetter"/>
      <w:start w:val="3"/>
    </w:lvl>
  </w:abstractNum>
  <w:abstractNum w:abstractNumId="4">
    <w:nsid w:val="4353D0CD"/>
    <w:multiLevelType w:val="hybridMultilevel"/>
    <w:lvl w:ilvl="0">
      <w:lvlJc w:val="left"/>
      <w:lvlText w:val="(%1)"/>
      <w:numFmt w:val="upperLetter"/>
      <w:start w:val="1"/>
    </w:lvl>
  </w:abstractNum>
  <w:abstractNum w:abstractNumId="5">
    <w:nsid w:val="B03E0C6"/>
    <w:multiLevelType w:val="hybridMultilevel"/>
    <w:lvl w:ilvl="0">
      <w:lvlJc w:val="left"/>
      <w:lvlText w:val="(%1)"/>
      <w:numFmt w:val="lowerLetter"/>
      <w:start w:val="4"/>
    </w:lvl>
  </w:abstractNum>
  <w:abstractNum w:abstractNumId="6">
    <w:nsid w:val="189A769B"/>
    <w:multiLevelType w:val="hybridMultilevel"/>
    <w:lvl w:ilvl="0">
      <w:lvlJc w:val="left"/>
      <w:lvlText w:val="(%1)"/>
      <w:numFmt w:val="lowerLetter"/>
      <w:start w:val="7"/>
    </w:lvl>
  </w:abstractNum>
  <w:abstractNum w:abstractNumId="7">
    <w:nsid w:val="54E49EB4"/>
    <w:multiLevelType w:val="hybridMultilevel"/>
    <w:lvl w:ilvl="0">
      <w:lvlJc w:val="left"/>
      <w:lvlText w:val="%1"/>
      <w:numFmt w:val="lowerLetter"/>
      <w:start w:val="1"/>
    </w:lvl>
    <w:lvl w:ilvl="1">
      <w:lvlJc w:val="left"/>
      <w:lvlText w:val="(%2)"/>
      <w:numFmt w:val="lowerLetter"/>
      <w:start w:val="9"/>
    </w:lvl>
  </w:abstractNum>
  <w:abstractNum w:abstractNumId="8">
    <w:nsid w:val="71F32454"/>
    <w:multiLevelType w:val="hybridMultilevel"/>
    <w:lvl w:ilvl="0">
      <w:lvlJc w:val="left"/>
      <w:lvlText w:val="(%1)"/>
      <w:numFmt w:val="lowerLetter"/>
      <w:start w:val="61"/>
    </w:lvl>
    <w:lvl w:ilvl="1">
      <w:lvlJc w:val="left"/>
      <w:lvlText w:val="%2"/>
      <w:numFmt w:val="lowerLetter"/>
      <w:start w:val="1"/>
    </w:lvl>
  </w:abstractNum>
  <w:abstractNum w:abstractNumId="9">
    <w:nsid w:val="2CA88611"/>
    <w:multiLevelType w:val="hybridMultilevel"/>
    <w:lvl w:ilvl="0">
      <w:lvlJc w:val="left"/>
      <w:lvlText w:val="(%1)"/>
      <w:numFmt w:val="lowerLetter"/>
      <w:start w:val="12"/>
    </w:lvl>
  </w:abstractNum>
  <w:abstractNum w:abstractNumId="10">
    <w:nsid w:val="836C40E"/>
    <w:multiLevelType w:val="hybridMultilevel"/>
    <w:lvl w:ilvl="0">
      <w:lvlJc w:val="left"/>
      <w:lvlText w:val="(%1)"/>
      <w:numFmt w:val="lowerLetter"/>
      <w:start w:val="15"/>
    </w:lvl>
  </w:abstractNum>
  <w:abstractNum w:abstractNumId="11">
    <w:nsid w:val="2901D82"/>
    <w:multiLevelType w:val="hybridMultilevel"/>
    <w:lvl w:ilvl="0">
      <w:lvlJc w:val="left"/>
      <w:lvlText w:val="(%1)"/>
      <w:numFmt w:val="lowerLetter"/>
      <w:start w:val="20"/>
    </w:lvl>
  </w:abstractNum>
  <w:abstractNum w:abstractNumId="12">
    <w:nsid w:val="3A95F874"/>
    <w:multiLevelType w:val="hybridMultilevel"/>
    <w:lvl w:ilvl="0">
      <w:lvlJc w:val="left"/>
      <w:lvlText w:val="(%1)"/>
      <w:numFmt w:val="lowerLetter"/>
      <w:start w:val="24"/>
    </w:lvl>
  </w:abstractNum>
  <w:abstractNum w:abstractNumId="13">
    <w:nsid w:val="8138641"/>
    <w:multiLevelType w:val="hybridMultilevel"/>
    <w:lvl w:ilvl="0">
      <w:lvlJc w:val="left"/>
      <w:lvlText w:val="(%1)"/>
      <w:numFmt w:val="lowerLetter"/>
      <w:start w:val="27"/>
    </w:lvl>
  </w:abstractNum>
  <w:abstractNum w:abstractNumId="14">
    <w:nsid w:val="1E7FF521"/>
    <w:multiLevelType w:val="hybridMultilevel"/>
    <w:lvl w:ilvl="0">
      <w:lvlJc w:val="left"/>
      <w:lvlText w:val="%1."/>
      <w:numFmt w:val="decimal"/>
      <w:start w:val="3"/>
    </w:lvl>
  </w:abstractNum>
  <w:abstractNum w:abstractNumId="15">
    <w:nsid w:val="7C3DBD3D"/>
    <w:multiLevelType w:val="hybridMultilevel"/>
    <w:lvl w:ilvl="0">
      <w:lvlJc w:val="left"/>
      <w:lvlText w:val="%1."/>
      <w:numFmt w:val="decimal"/>
      <w:start w:val="4"/>
    </w:lvl>
    <w:lvl w:ilvl="1">
      <w:lvlJc w:val="left"/>
      <w:lvlText w:val="(%2)"/>
      <w:numFmt w:val="lowerLetter"/>
      <w:start w:val="1"/>
    </w:lvl>
  </w:abstractNum>
  <w:abstractNum w:abstractNumId="16">
    <w:nsid w:val="737B8DDC"/>
    <w:multiLevelType w:val="hybridMultilevel"/>
    <w:lvl w:ilvl="0">
      <w:lvlJc w:val="left"/>
      <w:lvlText w:val="(%1)"/>
      <w:numFmt w:val="lowerLetter"/>
      <w:start w:val="2"/>
    </w:lvl>
  </w:abstractNum>
  <w:abstractNum w:abstractNumId="17">
    <w:nsid w:val="6CEAF087"/>
    <w:multiLevelType w:val="hybridMultilevel"/>
    <w:lvl w:ilvl="0">
      <w:lvlJc w:val="left"/>
      <w:lvlText w:val="(%1)"/>
      <w:numFmt w:val="lowerLetter"/>
      <w:start w:val="5"/>
    </w:lvl>
  </w:abstractNum>
  <w:abstractNum w:abstractNumId="18">
    <w:nsid w:val="22221A70"/>
    <w:multiLevelType w:val="hybridMultilevel"/>
    <w:lvl w:ilvl="0">
      <w:lvlJc w:val="left"/>
      <w:lvlText w:val="(%1)"/>
      <w:numFmt w:val="lowerLetter"/>
      <w:start w:val="8"/>
    </w:lvl>
  </w:abstractNum>
  <w:abstractNum w:abstractNumId="19">
    <w:nsid w:val="4516DDE9"/>
    <w:multiLevelType w:val="hybridMultilevel"/>
    <w:lvl w:ilvl="0">
      <w:lvlJc w:val="left"/>
      <w:lvlText w:val="%1"/>
      <w:numFmt w:val="decimal"/>
      <w:start w:val="1"/>
    </w:lvl>
    <w:lvl w:ilvl="1">
      <w:lvlJc w:val="left"/>
      <w:lvlText w:val="(%2)"/>
      <w:numFmt w:val="lowerLetter"/>
      <w:start w:val="10"/>
    </w:lvl>
  </w:abstractNum>
  <w:abstractNum w:abstractNumId="20">
    <w:nsid w:val="3006C83E"/>
    <w:multiLevelType w:val="hybridMultilevel"/>
    <w:lvl w:ilvl="0">
      <w:lvlJc w:val="left"/>
      <w:lvlText w:val="%1."/>
      <w:numFmt w:val="decimal"/>
      <w:start w:val="6"/>
    </w:lvl>
    <w:lvl w:ilvl="1">
      <w:lvlJc w:val="left"/>
      <w:lvlText w:val="%2"/>
      <w:numFmt w:val="lowerLetter"/>
      <w:start w:val="1"/>
    </w:lvl>
  </w:abstractNum>
  <w:abstractNum w:abstractNumId="21">
    <w:nsid w:val="614FD4A1"/>
    <w:multiLevelType w:val="hybridMultilevel"/>
    <w:lvl w:ilvl="0">
      <w:lvlJc w:val="left"/>
      <w:lvlText w:val="%1."/>
      <w:numFmt w:val="decimal"/>
      <w:start w:val="7"/>
    </w:lvl>
    <w:lvl w:ilvl="1">
      <w:lvlJc w:val="left"/>
      <w:lvlText w:val="(%2)"/>
      <w:numFmt w:val="lowerLetter"/>
      <w:start w:val="1"/>
    </w:lvl>
  </w:abstractNum>
  <w:abstractNum w:abstractNumId="22">
    <w:nsid w:val="419AC241"/>
    <w:multiLevelType w:val="hybridMultilevel"/>
    <w:lvl w:ilvl="0">
      <w:lvlJc w:val="left"/>
      <w:lvlText w:val="%1"/>
      <w:numFmt w:val="upperLetter"/>
      <w:start w:val="1"/>
    </w:lvl>
    <w:lvl w:ilvl="1">
      <w:lvlJc w:val="left"/>
      <w:lvlText w:val="(%2)"/>
      <w:numFmt w:val="lowerLetter"/>
      <w:start w:val="3"/>
    </w:lvl>
  </w:abstractNum>
  <w:abstractNum w:abstractNumId="23">
    <w:nsid w:val="5577F8E1"/>
    <w:multiLevelType w:val="hybridMultilevel"/>
    <w:lvl w:ilvl="0">
      <w:lvlJc w:val="left"/>
      <w:lvlText w:val="(%1)"/>
      <w:numFmt w:val="upperLetter"/>
      <w:start w:val="2"/>
    </w:lvl>
    <w:lvl w:ilvl="1">
      <w:lvlJc w:val="left"/>
      <w:lvlText w:val="%2"/>
      <w:numFmt w:val="lowerLetter"/>
      <w:start w:val="1"/>
    </w:lvl>
  </w:abstractNum>
  <w:abstractNum w:abstractNumId="24">
    <w:nsid w:val="440BADFC"/>
    <w:multiLevelType w:val="hybridMultilevel"/>
    <w:lvl w:ilvl="0">
      <w:lvlJc w:val="left"/>
      <w:lvlText w:val="%1"/>
      <w:numFmt w:val="lowerLetter"/>
      <w:start w:val="1"/>
    </w:lvl>
    <w:lvl w:ilvl="1">
      <w:lvlJc w:val="left"/>
      <w:lvlText w:val="(%2)"/>
      <w:numFmt w:val="lowerLetter"/>
      <w:start w:val="7"/>
    </w:lvl>
  </w:abstractNum>
  <w:abstractNum w:abstractNumId="25">
    <w:nsid w:val="5072367"/>
    <w:multiLevelType w:val="hybridMultilevel"/>
    <w:lvl w:ilvl="0">
      <w:lvlJc w:val="left"/>
      <w:lvlText w:val="(%1)"/>
      <w:numFmt w:val="lowerLetter"/>
      <w:start w:val="9"/>
    </w:lvl>
    <w:lvl w:ilvl="1">
      <w:lvlJc w:val="left"/>
      <w:lvlText w:val="(%2)"/>
      <w:numFmt w:val="lowerLetter"/>
      <w:start w:val="9"/>
    </w:lvl>
  </w:abstractNum>
  <w:abstractNum w:abstractNumId="26">
    <w:nsid w:val="3804823E"/>
    <w:multiLevelType w:val="hybridMultilevel"/>
    <w:lvl w:ilvl="0">
      <w:lvlJc w:val="left"/>
      <w:lvlText w:val="(%1)"/>
      <w:numFmt w:val="lowerLetter"/>
      <w:start w:val="1"/>
    </w:lvl>
    <w:lvl w:ilvl="1">
      <w:lvlJc w:val="left"/>
      <w:lvlText w:val="%2"/>
      <w:numFmt w:val="lowerLetter"/>
      <w:start w:val="1"/>
    </w:lvl>
  </w:abstractNum>
  <w:abstractNum w:abstractNumId="27">
    <w:nsid w:val="77465F01"/>
    <w:multiLevelType w:val="hybridMultilevel"/>
    <w:lvl w:ilvl="0">
      <w:lvlJc w:val="left"/>
      <w:lvlText w:val="%1."/>
      <w:numFmt w:val="decimal"/>
      <w:start w:val="8"/>
    </w:lvl>
  </w:abstractNum>
  <w:abstractNum w:abstractNumId="28">
    <w:nsid w:val="7724C67E"/>
    <w:multiLevelType w:val="hybridMultilevel"/>
    <w:lvl w:ilvl="0">
      <w:lvlJc w:val="left"/>
      <w:lvlText w:val="(%1)"/>
      <w:numFmt w:val="lowerLetter"/>
      <w:start w:val="2"/>
    </w:lvl>
  </w:abstractNum>
  <w:abstractNum w:abstractNumId="29">
    <w:nsid w:val="5C482A97"/>
    <w:multiLevelType w:val="hybridMultilevel"/>
    <w:lvl w:ilvl="0">
      <w:lvlJc w:val="left"/>
      <w:lvlText w:val="%1"/>
      <w:numFmt w:val="lowerLetter"/>
      <w:start w:val="1"/>
    </w:lvl>
    <w:lvl w:ilvl="1">
      <w:lvlJc w:val="left"/>
      <w:lvlText w:val="(%2)"/>
      <w:numFmt w:val="lowerLetter"/>
      <w:start w:val="3"/>
    </w:lvl>
  </w:abstractNum>
  <w:abstractNum w:abstractNumId="30">
    <w:nsid w:val="2463B9EA"/>
    <w:multiLevelType w:val="hybridMultilevel"/>
    <w:lvl w:ilvl="0">
      <w:lvlJc w:val="left"/>
      <w:lvlText w:val="(%1)"/>
      <w:numFmt w:val="lowerLetter"/>
      <w:start w:val="1"/>
    </w:lvl>
    <w:lvl w:ilvl="1">
      <w:lvlJc w:val="left"/>
      <w:lvlText w:val="%2"/>
      <w:numFmt w:val="lowerLetter"/>
      <w:start w:val="1"/>
    </w:lvl>
  </w:abstractNum>
  <w:abstractNum w:abstractNumId="31">
    <w:nsid w:val="5E884ADC"/>
    <w:multiLevelType w:val="hybridMultilevel"/>
    <w:lvl w:ilvl="0">
      <w:lvlJc w:val="left"/>
      <w:lvlText w:val="(%1)"/>
      <w:numFmt w:val="lowerLetter"/>
      <w:start w:val="4"/>
    </w:lvl>
    <w:lvl w:ilvl="1">
      <w:lvlJc w:val="left"/>
      <w:lvlText w:val="(%2)"/>
      <w:numFmt w:val="lowerLetter"/>
      <w:start w:val="5"/>
    </w:lvl>
  </w:abstractNum>
  <w:abstractNum w:abstractNumId="32">
    <w:nsid w:val="51EAD36B"/>
    <w:multiLevelType w:val="hybridMultilevel"/>
    <w:lvl w:ilvl="0">
      <w:lvlJc w:val="left"/>
      <w:lvlText w:val="%1."/>
      <w:numFmt w:val="decimal"/>
      <w:start w:val="9"/>
    </w:lvl>
  </w:abstractNum>
  <w:abstractNum w:abstractNumId="33">
    <w:nsid w:val="2D517796"/>
    <w:multiLevelType w:val="hybridMultilevel"/>
    <w:lvl w:ilvl="0">
      <w:lvlJc w:val="left"/>
      <w:lvlText w:val="(%1)"/>
      <w:numFmt w:val="lowerLetter"/>
      <w:start w:val="2"/>
    </w:lvl>
  </w:abstractNum>
  <w:abstractNum w:abstractNumId="34">
    <w:nsid w:val="580BD78F"/>
    <w:multiLevelType w:val="hybridMultilevel"/>
    <w:lvl w:ilvl="0">
      <w:lvlJc w:val="left"/>
      <w:lvlText w:val="%1."/>
      <w:numFmt w:val="decimal"/>
      <w:start w:val="10"/>
    </w:lvl>
  </w:abstractNum>
  <w:abstractNum w:abstractNumId="35">
    <w:nsid w:val="153EA438"/>
    <w:multiLevelType w:val="hybridMultilevel"/>
    <w:lvl w:ilvl="0">
      <w:lvlJc w:val="left"/>
      <w:lvlText w:val="%1."/>
      <w:numFmt w:val="decimal"/>
      <w:start w:val="11"/>
    </w:lvl>
  </w:abstractNum>
  <w:abstractNum w:abstractNumId="36">
    <w:nsid w:val="3855585C"/>
    <w:multiLevelType w:val="hybridMultilevel"/>
    <w:lvl w:ilvl="0">
      <w:lvlJc w:val="left"/>
      <w:lvlText w:val="%1."/>
      <w:numFmt w:val="decimal"/>
      <w:start w:val="13"/>
    </w:lvl>
  </w:abstractNum>
  <w:abstractNum w:abstractNumId="37">
    <w:nsid w:val="70A64E2A"/>
    <w:multiLevelType w:val="hybridMultilevel"/>
    <w:lvl w:ilvl="0">
      <w:lvlJc w:val="left"/>
      <w:lvlText w:val="%1."/>
      <w:numFmt w:val="decimal"/>
      <w:start w:val="15"/>
    </w:lvl>
  </w:abstractNum>
  <w:abstractNum w:abstractNumId="38">
    <w:nsid w:val="6A2342EC"/>
    <w:multiLevelType w:val="hybridMultilevel"/>
    <w:lvl w:ilvl="0">
      <w:lvlJc w:val="left"/>
      <w:lvlText w:val="(%1)"/>
      <w:numFmt w:val="lowerRoman"/>
      <w:start w:val="3"/>
    </w:lvl>
    <w:lvl w:ilvl="1">
      <w:lvlJc w:val="left"/>
      <w:lvlText w:val="%2."/>
      <w:numFmt w:val="decimal"/>
      <w:start w:val="18"/>
    </w:lvl>
  </w:abstractNum>
  <w:abstractNum w:abstractNumId="39">
    <w:nsid w:val="2A487CB0"/>
    <w:multiLevelType w:val="hybridMultilevel"/>
    <w:lvl w:ilvl="0">
      <w:lvlJc w:val="left"/>
      <w:lvlText w:val="(%1)"/>
      <w:numFmt w:val="lowerRoman"/>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Roman"/>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5"/>
    </w:lvl>
    <w:lvl w:ilvl="1">
      <w:lvlJc w:val="left"/>
      <w:lvlText w:val="(%2)"/>
      <w:numFmt w:val="lowerLetter"/>
      <w:start w:val="1"/>
    </w:lvl>
  </w:abstractNum>
  <w:abstractNum w:abstractNumId="44">
    <w:nsid w:val="7A6D8D3C"/>
    <w:multiLevelType w:val="hybridMultilevel"/>
    <w:lvl w:ilvl="0">
      <w:lvlJc w:val="left"/>
      <w:lvlText w:val="(%1)"/>
      <w:numFmt w:val="lowerRoman"/>
      <w:start w:val="1"/>
    </w:lvl>
  </w:abstractNum>
  <w:abstractNum w:abstractNumId="45">
    <w:nsid w:val="4B588F5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2019-12-28T11:27:17Z</dcterms:created>
  <dcterms:modified xsi:type="dcterms:W3CDTF">2019-12-28T11:27:17Z</dcterms:modified>
</cp:coreProperties>
</file>