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WASHINGTON, D.C. 20549</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41275</wp:posOffset>
            </wp:positionV>
            <wp:extent cx="1895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95475" cy="8890"/>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-232410</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193" w:lineRule="exact"/>
        <w:rPr>
          <w:sz w:val="24"/>
          <w:szCs w:val="24"/>
          <w:color w:val="auto"/>
        </w:rPr>
      </w:pPr>
    </w:p>
    <w:p>
      <w:pPr>
        <w:ind w:left="720" w:right="52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THE SECTION 13 OR 15(D) OF THE SECURITIES EXCHANGE ACT OF 1934</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 the quarterly period ended June 30, 2015</w:t>
      </w:r>
    </w:p>
    <w:p>
      <w:pPr>
        <w:spacing w:after="0" w:line="8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OR</w:t>
      </w:r>
    </w:p>
    <w:p>
      <w:pPr>
        <w:spacing w:after="0" w:line="157" w:lineRule="exact"/>
        <w:rPr>
          <w:sz w:val="24"/>
          <w:szCs w:val="24"/>
          <w:color w:val="auto"/>
        </w:rPr>
      </w:pPr>
    </w:p>
    <w:p>
      <w:pPr>
        <w:ind w:left="720" w:right="14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59" w:lineRule="exact"/>
        <w:rPr>
          <w:sz w:val="24"/>
          <w:szCs w:val="24"/>
          <w:color w:val="auto"/>
        </w:rPr>
      </w:pPr>
    </w:p>
    <w:p>
      <w:pPr>
        <w:ind w:left="3680"/>
        <w:spacing w:after="0"/>
        <w:tabs>
          <w:tab w:leader="none" w:pos="6920" w:val="left"/>
        </w:tabs>
        <w:rPr>
          <w:sz w:val="20"/>
          <w:szCs w:val="20"/>
          <w:color w:val="auto"/>
        </w:rPr>
      </w:pPr>
      <w:r>
        <w:rPr>
          <w:rFonts w:ascii="Arial" w:cs="Arial" w:eastAsia="Arial" w:hAnsi="Arial"/>
          <w:sz w:val="20"/>
          <w:szCs w:val="20"/>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81" w:lineRule="exact"/>
        <w:rPr>
          <w:sz w:val="24"/>
          <w:szCs w:val="24"/>
          <w:color w:val="auto"/>
        </w:rPr>
      </w:pPr>
    </w:p>
    <w:p>
      <w:pPr>
        <w:jc w:val="center"/>
        <w:ind w:right="40"/>
        <w:spacing w:after="0"/>
        <w:rPr>
          <w:sz w:val="20"/>
          <w:szCs w:val="20"/>
          <w:color w:val="auto"/>
        </w:rPr>
      </w:pPr>
      <w:r>
        <w:rPr>
          <w:rFonts w:ascii="Arial" w:cs="Arial" w:eastAsia="Arial" w:hAnsi="Arial"/>
          <w:sz w:val="20"/>
          <w:szCs w:val="20"/>
          <w:b w:val="1"/>
          <w:bCs w:val="1"/>
          <w:color w:val="auto"/>
        </w:rPr>
        <w:t>Commission file number: 1-07533</w:t>
      </w:r>
    </w:p>
    <w:p>
      <w:pPr>
        <w:spacing w:after="0" w:line="78"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FEDERAL REALTY INVESTMENT TRUST</w:t>
      </w:r>
    </w:p>
    <w:p>
      <w:pPr>
        <w:spacing w:after="0" w:line="7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Declaration of Trust)</w:t>
      </w:r>
    </w:p>
    <w:p>
      <w:pPr>
        <w:spacing w:after="0" w:line="248" w:lineRule="exact"/>
        <w:rPr>
          <w:sz w:val="24"/>
          <w:szCs w:val="24"/>
          <w:color w:val="auto"/>
        </w:rPr>
      </w:pPr>
    </w:p>
    <w:tbl>
      <w:tblPr>
        <w:tblLayout w:type="fixed"/>
        <w:tblInd w:w="620" w:type="dxa"/>
        <w:tblCellMar>
          <w:top w:w="0" w:type="dxa"/>
          <w:left w:w="0" w:type="dxa"/>
          <w:bottom w:w="0" w:type="dxa"/>
          <w:right w:w="0" w:type="dxa"/>
        </w:tblCellMar>
      </w:tblPr>
      <w:tr>
        <w:trPr>
          <w:trHeight w:val="256"/>
        </w:trPr>
        <w:tc>
          <w:tcPr>
            <w:tcW w:w="6780" w:type="dxa"/>
            <w:vAlign w:val="bottom"/>
          </w:tcPr>
          <w:p>
            <w:pPr>
              <w:jc w:val="center"/>
              <w:ind w:right="2653"/>
              <w:spacing w:after="0"/>
              <w:rPr>
                <w:sz w:val="20"/>
                <w:szCs w:val="20"/>
                <w:color w:val="auto"/>
              </w:rPr>
            </w:pPr>
            <w:r>
              <w:rPr>
                <w:rFonts w:ascii="Arial" w:cs="Arial" w:eastAsia="Arial" w:hAnsi="Arial"/>
                <w:sz w:val="20"/>
                <w:szCs w:val="20"/>
                <w:b w:val="1"/>
                <w:bCs w:val="1"/>
                <w:color w:val="auto"/>
                <w:w w:val="95"/>
              </w:rPr>
              <w:t>Maryland</w:t>
            </w:r>
          </w:p>
        </w:tc>
        <w:tc>
          <w:tcPr>
            <w:tcW w:w="2340" w:type="dxa"/>
            <w:vAlign w:val="bottom"/>
          </w:tcPr>
          <w:p>
            <w:pPr>
              <w:jc w:val="right"/>
              <w:ind w:right="610"/>
              <w:spacing w:after="0"/>
              <w:rPr>
                <w:sz w:val="20"/>
                <w:szCs w:val="20"/>
                <w:color w:val="auto"/>
              </w:rPr>
            </w:pPr>
            <w:r>
              <w:rPr>
                <w:rFonts w:ascii="Arial" w:cs="Arial" w:eastAsia="Arial" w:hAnsi="Arial"/>
                <w:sz w:val="20"/>
                <w:szCs w:val="20"/>
                <w:b w:val="1"/>
                <w:bCs w:val="1"/>
                <w:color w:val="auto"/>
              </w:rPr>
              <w:t>52-0782497</w:t>
            </w:r>
          </w:p>
        </w:tc>
      </w:tr>
      <w:tr>
        <w:trPr>
          <w:trHeight w:val="247"/>
        </w:trPr>
        <w:tc>
          <w:tcPr>
            <w:tcW w:w="6780" w:type="dxa"/>
            <w:vAlign w:val="bottom"/>
          </w:tcPr>
          <w:p>
            <w:pPr>
              <w:jc w:val="center"/>
              <w:ind w:right="2653"/>
              <w:spacing w:after="0"/>
              <w:rPr>
                <w:sz w:val="20"/>
                <w:szCs w:val="20"/>
                <w:color w:val="auto"/>
              </w:rPr>
            </w:pPr>
            <w:r>
              <w:rPr>
                <w:rFonts w:ascii="Arial" w:cs="Arial" w:eastAsia="Arial" w:hAnsi="Arial"/>
                <w:sz w:val="16"/>
                <w:szCs w:val="16"/>
                <w:b w:val="1"/>
                <w:bCs w:val="1"/>
                <w:color w:val="auto"/>
                <w:w w:val="93"/>
              </w:rPr>
              <w:t>(State of Organization)</w:t>
            </w:r>
          </w:p>
        </w:tc>
        <w:tc>
          <w:tcPr>
            <w:tcW w:w="2340" w:type="dxa"/>
            <w:vAlign w:val="bottom"/>
          </w:tcPr>
          <w:p>
            <w:pPr>
              <w:jc w:val="center"/>
              <w:spacing w:after="0"/>
              <w:rPr>
                <w:sz w:val="20"/>
                <w:szCs w:val="20"/>
                <w:color w:val="auto"/>
              </w:rPr>
            </w:pPr>
            <w:r>
              <w:rPr>
                <w:rFonts w:ascii="Arial" w:cs="Arial" w:eastAsia="Arial" w:hAnsi="Arial"/>
                <w:sz w:val="16"/>
                <w:szCs w:val="16"/>
                <w:b w:val="1"/>
                <w:bCs w:val="1"/>
                <w:color w:val="auto"/>
                <w:w w:val="93"/>
              </w:rPr>
              <w:t>(IRS Employer Identification No.)</w:t>
            </w:r>
          </w:p>
        </w:tc>
      </w:tr>
      <w:tr>
        <w:trPr>
          <w:trHeight w:val="523"/>
        </w:trPr>
        <w:tc>
          <w:tcPr>
            <w:tcW w:w="6780" w:type="dxa"/>
            <w:vAlign w:val="bottom"/>
          </w:tcPr>
          <w:p>
            <w:pPr>
              <w:jc w:val="center"/>
              <w:ind w:right="2653"/>
              <w:spacing w:after="0"/>
              <w:rPr>
                <w:sz w:val="20"/>
                <w:szCs w:val="20"/>
                <w:color w:val="auto"/>
              </w:rPr>
            </w:pPr>
            <w:r>
              <w:rPr>
                <w:rFonts w:ascii="Arial" w:cs="Arial" w:eastAsia="Arial" w:hAnsi="Arial"/>
                <w:sz w:val="20"/>
                <w:szCs w:val="20"/>
                <w:b w:val="1"/>
                <w:bCs w:val="1"/>
                <w:color w:val="auto"/>
                <w:w w:val="90"/>
              </w:rPr>
              <w:t>1626 East Jefferson Street, Rockville, Maryland</w:t>
            </w:r>
          </w:p>
        </w:tc>
        <w:tc>
          <w:tcPr>
            <w:tcW w:w="2340" w:type="dxa"/>
            <w:vAlign w:val="bottom"/>
          </w:tcPr>
          <w:p>
            <w:pPr>
              <w:jc w:val="right"/>
              <w:ind w:right="830"/>
              <w:spacing w:after="0"/>
              <w:rPr>
                <w:sz w:val="20"/>
                <w:szCs w:val="20"/>
                <w:color w:val="auto"/>
              </w:rPr>
            </w:pPr>
            <w:r>
              <w:rPr>
                <w:rFonts w:ascii="Arial" w:cs="Arial" w:eastAsia="Arial" w:hAnsi="Arial"/>
                <w:sz w:val="20"/>
                <w:szCs w:val="20"/>
                <w:b w:val="1"/>
                <w:bCs w:val="1"/>
                <w:color w:val="auto"/>
              </w:rPr>
              <w:t>20852</w:t>
            </w:r>
          </w:p>
        </w:tc>
      </w:tr>
      <w:tr>
        <w:trPr>
          <w:trHeight w:val="247"/>
        </w:trPr>
        <w:tc>
          <w:tcPr>
            <w:tcW w:w="6780" w:type="dxa"/>
            <w:vAlign w:val="bottom"/>
          </w:tcPr>
          <w:p>
            <w:pPr>
              <w:jc w:val="center"/>
              <w:ind w:right="2673"/>
              <w:spacing w:after="0"/>
              <w:rPr>
                <w:sz w:val="20"/>
                <w:szCs w:val="20"/>
                <w:color w:val="auto"/>
              </w:rPr>
            </w:pPr>
            <w:r>
              <w:rPr>
                <w:rFonts w:ascii="Arial" w:cs="Arial" w:eastAsia="Arial" w:hAnsi="Arial"/>
                <w:sz w:val="16"/>
                <w:szCs w:val="16"/>
                <w:b w:val="1"/>
                <w:bCs w:val="1"/>
                <w:color w:val="auto"/>
                <w:w w:val="91"/>
              </w:rPr>
              <w:t>(Address of Principal Executive Offices)</w:t>
            </w:r>
          </w:p>
        </w:tc>
        <w:tc>
          <w:tcPr>
            <w:tcW w:w="2340" w:type="dxa"/>
            <w:vAlign w:val="bottom"/>
          </w:tcPr>
          <w:p>
            <w:pPr>
              <w:jc w:val="center"/>
              <w:spacing w:after="0"/>
              <w:rPr>
                <w:sz w:val="20"/>
                <w:szCs w:val="20"/>
                <w:color w:val="auto"/>
              </w:rPr>
            </w:pPr>
            <w:r>
              <w:rPr>
                <w:rFonts w:ascii="Arial" w:cs="Arial" w:eastAsia="Arial" w:hAnsi="Arial"/>
                <w:sz w:val="16"/>
                <w:szCs w:val="16"/>
                <w:b w:val="1"/>
                <w:bCs w:val="1"/>
                <w:color w:val="auto"/>
                <w:w w:val="93"/>
              </w:rPr>
              <w:t>(Zip Code)</w:t>
            </w:r>
          </w:p>
        </w:tc>
      </w:tr>
      <w:tr>
        <w:trPr>
          <w:trHeight w:val="330"/>
        </w:trPr>
        <w:tc>
          <w:tcPr>
            <w:tcW w:w="6780" w:type="dxa"/>
            <w:vAlign w:val="bottom"/>
          </w:tcPr>
          <w:p>
            <w:pPr>
              <w:jc w:val="right"/>
              <w:ind w:right="1033"/>
              <w:spacing w:after="0"/>
              <w:rPr>
                <w:sz w:val="20"/>
                <w:szCs w:val="20"/>
                <w:color w:val="auto"/>
              </w:rPr>
            </w:pPr>
            <w:r>
              <w:rPr>
                <w:rFonts w:ascii="Arial" w:cs="Arial" w:eastAsia="Arial" w:hAnsi="Arial"/>
                <w:sz w:val="18"/>
                <w:szCs w:val="18"/>
                <w:b w:val="1"/>
                <w:bCs w:val="1"/>
                <w:color w:val="auto"/>
              </w:rPr>
              <w:t>(301) 998-8100</w:t>
            </w:r>
          </w:p>
        </w:tc>
        <w:tc>
          <w:tcPr>
            <w:tcW w:w="2340" w:type="dxa"/>
            <w:vAlign w:val="bottom"/>
          </w:tcPr>
          <w:p>
            <w:pPr>
              <w:spacing w:after="0"/>
              <w:rPr>
                <w:sz w:val="24"/>
                <w:szCs w:val="24"/>
                <w:color w:val="auto"/>
              </w:rPr>
            </w:pPr>
          </w:p>
        </w:tc>
      </w:tr>
      <w:tr>
        <w:trPr>
          <w:trHeight w:val="204"/>
        </w:trPr>
        <w:tc>
          <w:tcPr>
            <w:tcW w:w="6780" w:type="dxa"/>
            <w:vAlign w:val="bottom"/>
          </w:tcPr>
          <w:p>
            <w:pPr>
              <w:jc w:val="center"/>
              <w:ind w:left="3273"/>
              <w:spacing w:after="0"/>
              <w:rPr>
                <w:sz w:val="20"/>
                <w:szCs w:val="20"/>
                <w:color w:val="auto"/>
              </w:rPr>
            </w:pPr>
            <w:r>
              <w:rPr>
                <w:rFonts w:ascii="Arial" w:cs="Arial" w:eastAsia="Arial" w:hAnsi="Arial"/>
                <w:sz w:val="14"/>
                <w:szCs w:val="14"/>
                <w:b w:val="1"/>
                <w:bCs w:val="1"/>
                <w:color w:val="auto"/>
                <w:w w:val="92"/>
              </w:rPr>
              <w:t>(Registrant’s Telephone Number, Including Area Code)</w:t>
            </w:r>
          </w:p>
        </w:tc>
        <w:tc>
          <w:tcPr>
            <w:tcW w:w="2340" w:type="dxa"/>
            <w:vAlign w:val="bottom"/>
          </w:tcPr>
          <w:p>
            <w:pPr>
              <w:spacing w:after="0"/>
              <w:rPr>
                <w:sz w:val="17"/>
                <w:szCs w:val="17"/>
                <w:color w:val="auto"/>
              </w:rPr>
            </w:pPr>
          </w:p>
        </w:tc>
      </w:tr>
    </w:tbl>
    <w:p>
      <w:pPr>
        <w:spacing w:after="0" w:line="146"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03"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03" w:lineRule="exact"/>
        <w:rPr>
          <w:sz w:val="24"/>
          <w:szCs w:val="24"/>
          <w:color w:val="auto"/>
        </w:rPr>
      </w:pPr>
    </w:p>
    <w:p>
      <w:pPr>
        <w:ind w:right="38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234" w:right="239" w:bottom="1440" w:gutter="0" w:footer="0" w:header="0"/>
        </w:sectPr>
      </w:pPr>
    </w:p>
    <w:p>
      <w:pPr>
        <w:spacing w:after="0" w:line="70"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11" w:lineRule="exact"/>
        <w:rPr>
          <w:sz w:val="24"/>
          <w:szCs w:val="24"/>
          <w:color w:val="auto"/>
        </w:rPr>
      </w:pPr>
    </w:p>
    <w:p>
      <w:pPr>
        <w:sectPr>
          <w:pgSz w:w="11900" w:h="16838" w:orient="portrait"/>
          <w:cols w:equalWidth="0" w:num="4">
            <w:col w:w="1740" w:space="700"/>
            <w:col w:w="3960" w:space="720"/>
            <w:col w:w="3260" w:space="720"/>
            <w:col w:w="320"/>
          </w:cols>
          <w:pgMar w:left="240" w:top="234" w:right="23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197" w:lineRule="exact"/>
        <w:rPr>
          <w:sz w:val="24"/>
          <w:szCs w:val="24"/>
          <w:color w:val="auto"/>
        </w:rPr>
      </w:pPr>
    </w:p>
    <w:p>
      <w:pPr>
        <w:sectPr>
          <w:pgSz w:w="11900" w:h="16838" w:orient="portrait"/>
          <w:cols w:equalWidth="0" w:num="4">
            <w:col w:w="1720" w:space="720"/>
            <w:col w:w="3960" w:space="720"/>
            <w:col w:w="3260" w:space="720"/>
            <w:col w:w="320"/>
          </w:cols>
          <w:pgMar w:left="240" w:top="234"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Yes</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188" w:lineRule="exact"/>
        <w:rPr>
          <w:sz w:val="24"/>
          <w:szCs w:val="24"/>
          <w:color w:val="auto"/>
        </w:rPr>
      </w:pPr>
    </w:p>
    <w:p>
      <w:pPr>
        <w:sectPr>
          <w:pgSz w:w="11900" w:h="16838" w:orient="portrait"/>
          <w:cols w:equalWidth="0" w:num="3">
            <w:col w:w="8240" w:space="240"/>
            <w:col w:w="500" w:space="180"/>
            <w:col w:w="2260"/>
          </w:cols>
          <w:pgMar w:left="240" w:top="234" w:right="239" w:bottom="1440" w:gutter="0" w:footer="0" w:header="0"/>
          <w:type w:val="continuous"/>
        </w:sectPr>
      </w:pPr>
    </w:p>
    <w:p>
      <w:pPr>
        <w:spacing w:after="0"/>
        <w:rPr>
          <w:sz w:val="20"/>
          <w:szCs w:val="20"/>
          <w:color w:val="auto"/>
        </w:rPr>
      </w:pPr>
      <w:r>
        <w:rPr>
          <w:rFonts w:ascii="Arial" w:cs="Arial" w:eastAsia="Arial" w:hAnsi="Arial"/>
          <w:sz w:val="16"/>
          <w:szCs w:val="16"/>
          <w:color w:val="auto"/>
        </w:rPr>
        <w:t>The number of Registrant’s common shares outstanding on July 31, 2015 was 69,125,823.</w:t>
      </w:r>
    </w:p>
    <w:p>
      <w:pPr>
        <w:sectPr>
          <w:pgSz w:w="11900" w:h="16838" w:orient="portrait"/>
          <w:cols w:equalWidth="0" w:num="1">
            <w:col w:w="11420"/>
          </w:cols>
          <w:pgMar w:left="240" w:top="234"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11220" w:type="dxa"/>
            <w:vAlign w:val="bottom"/>
            <w:gridSpan w:val="3"/>
          </w:tcPr>
          <w:p>
            <w:pPr>
              <w:spacing w:after="0"/>
              <w:rPr>
                <w:sz w:val="20"/>
                <w:szCs w:val="20"/>
                <w:color w:val="auto"/>
              </w:rPr>
            </w:pPr>
            <w:r>
              <w:rPr>
                <w:rFonts w:ascii="Arial" w:cs="Arial" w:eastAsia="Arial" w:hAnsi="Arial"/>
                <w:sz w:val="16"/>
                <w:szCs w:val="16"/>
                <w:b w:val="1"/>
                <w:bCs w:val="1"/>
                <w:color w:val="0000EE"/>
              </w:rPr>
              <w:t>Table of Contents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66"/>
        </w:trPr>
        <w:tc>
          <w:tcPr>
            <w:tcW w:w="8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000" w:type="dxa"/>
            <w:vAlign w:val="bottom"/>
          </w:tcPr>
          <w:p>
            <w:pPr>
              <w:jc w:val="center"/>
              <w:ind w:right="930"/>
              <w:spacing w:after="0"/>
              <w:rPr>
                <w:sz w:val="20"/>
                <w:szCs w:val="20"/>
                <w:color w:val="auto"/>
              </w:rPr>
            </w:pPr>
            <w:r>
              <w:rPr>
                <w:rFonts w:ascii="Arial" w:cs="Arial" w:eastAsia="Arial" w:hAnsi="Arial"/>
                <w:sz w:val="18"/>
                <w:szCs w:val="18"/>
                <w:b w:val="1"/>
                <w:bCs w:val="1"/>
                <w:color w:val="auto"/>
              </w:rPr>
              <w:t>FEDERAL REALTY INVESTMENT TRUST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2"/>
        </w:trPr>
        <w:tc>
          <w:tcPr>
            <w:tcW w:w="8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0" w:type="dxa"/>
            <w:vAlign w:val="bottom"/>
          </w:tcPr>
          <w:p>
            <w:pPr>
              <w:jc w:val="center"/>
              <w:ind w:right="930"/>
              <w:spacing w:after="0"/>
              <w:rPr>
                <w:sz w:val="20"/>
                <w:szCs w:val="20"/>
                <w:color w:val="auto"/>
              </w:rPr>
            </w:pPr>
            <w:r>
              <w:rPr>
                <w:rFonts w:ascii="Arial" w:cs="Arial" w:eastAsia="Arial" w:hAnsi="Arial"/>
                <w:sz w:val="18"/>
                <w:szCs w:val="18"/>
                <w:b w:val="1"/>
                <w:bCs w:val="1"/>
                <w:color w:val="auto"/>
                <w:w w:val="99"/>
              </w:rPr>
              <w:t>QUARTERLY REPORT ON FORM 10-Q</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4"/>
        </w:trPr>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0" w:type="dxa"/>
            <w:vAlign w:val="bottom"/>
          </w:tcPr>
          <w:p>
            <w:pPr>
              <w:jc w:val="center"/>
              <w:ind w:right="910"/>
              <w:spacing w:after="0"/>
              <w:rPr>
                <w:sz w:val="20"/>
                <w:szCs w:val="20"/>
                <w:color w:val="auto"/>
              </w:rPr>
            </w:pPr>
            <w:r>
              <w:rPr>
                <w:rFonts w:ascii="Arial" w:cs="Arial" w:eastAsia="Arial" w:hAnsi="Arial"/>
                <w:sz w:val="18"/>
                <w:szCs w:val="18"/>
                <w:b w:val="1"/>
                <w:bCs w:val="1"/>
                <w:color w:val="auto"/>
                <w:w w:val="96"/>
              </w:rPr>
              <w:t>QUARTER ENDED JUNE 30, 2015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40"/>
        </w:trPr>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0" w:type="dxa"/>
            <w:vAlign w:val="bottom"/>
          </w:tcPr>
          <w:p>
            <w:pPr>
              <w:jc w:val="center"/>
              <w:ind w:right="910"/>
              <w:spacing w:after="0"/>
              <w:rPr>
                <w:sz w:val="20"/>
                <w:szCs w:val="20"/>
                <w:color w:val="auto"/>
              </w:rPr>
            </w:pPr>
            <w:r>
              <w:rPr>
                <w:rFonts w:ascii="Arial" w:cs="Arial" w:eastAsia="Arial" w:hAnsi="Arial"/>
                <w:sz w:val="18"/>
                <w:szCs w:val="18"/>
                <w:b w:val="1"/>
                <w:bCs w:val="1"/>
                <w:color w:val="auto"/>
                <w:w w:val="98"/>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08"/>
        </w:trPr>
        <w:tc>
          <w:tcPr>
            <w:tcW w:w="11220" w:type="dxa"/>
            <w:vAlign w:val="bottom"/>
            <w:gridSpan w:val="3"/>
          </w:tcPr>
          <w:p>
            <w:pPr>
              <w:ind w:left="40"/>
              <w:spacing w:after="0"/>
              <w:rPr>
                <w:sz w:val="20"/>
                <w:szCs w:val="20"/>
                <w:color w:val="auto"/>
              </w:rPr>
            </w:pPr>
            <w:r>
              <w:rPr>
                <w:rFonts w:ascii="Arial" w:cs="Arial" w:eastAsia="Arial" w:hAnsi="Arial"/>
                <w:sz w:val="18"/>
                <w:szCs w:val="18"/>
                <w:color w:val="auto"/>
              </w:rPr>
              <w:t>PART I. FINANCIAL INFORMATION</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2">
              <w:r>
                <w:rPr>
                  <w:rFonts w:ascii="Arial" w:cs="Arial" w:eastAsia="Arial" w:hAnsi="Arial"/>
                  <w:sz w:val="18"/>
                  <w:szCs w:val="18"/>
                  <w:color w:val="0000EE"/>
                  <w:w w:val="79"/>
                </w:rPr>
                <w:t>3</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Item 1.</w:t>
            </w: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Financial Statements</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r>
      <w:tr>
        <w:trPr>
          <w:trHeight w:val="250"/>
        </w:trPr>
        <w:tc>
          <w:tcPr>
            <w:tcW w:w="820" w:type="dxa"/>
            <w:vAlign w:val="bottom"/>
          </w:tcPr>
          <w:p>
            <w:pPr>
              <w:spacing w:after="0"/>
              <w:rPr>
                <w:sz w:val="21"/>
                <w:szCs w:val="21"/>
                <w:color w:val="auto"/>
              </w:rPr>
            </w:pP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Consolidated Balance Sheets as of June 30, 2015 (unaudited) and December 31, 2014</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4</w:t>
              </w:r>
            </w:hyperlink>
          </w:p>
        </w:tc>
      </w:tr>
      <w:tr>
        <w:trPr>
          <w:trHeight w:val="250"/>
        </w:trPr>
        <w:tc>
          <w:tcPr>
            <w:tcW w:w="820" w:type="dxa"/>
            <w:vAlign w:val="bottom"/>
          </w:tcPr>
          <w:p>
            <w:pPr>
              <w:spacing w:after="0"/>
              <w:rPr>
                <w:sz w:val="21"/>
                <w:szCs w:val="21"/>
                <w:color w:val="auto"/>
              </w:rPr>
            </w:pP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Consolidated Statements of Comprehensive Income (unaudited) for the three and six months ended June 30, 2015 and 2014</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5</w:t>
              </w:r>
            </w:hyperlink>
          </w:p>
        </w:tc>
      </w:tr>
      <w:tr>
        <w:trPr>
          <w:trHeight w:val="250"/>
        </w:trPr>
        <w:tc>
          <w:tcPr>
            <w:tcW w:w="820" w:type="dxa"/>
            <w:vAlign w:val="bottom"/>
          </w:tcPr>
          <w:p>
            <w:pPr>
              <w:spacing w:after="0"/>
              <w:rPr>
                <w:sz w:val="21"/>
                <w:szCs w:val="21"/>
                <w:color w:val="auto"/>
              </w:rPr>
            </w:pP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Consolidated Statement of Shareholders' Equity (unaudited) for the six months ended June 30, 2015</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6</w:t>
              </w:r>
            </w:hyperlink>
          </w:p>
        </w:tc>
      </w:tr>
      <w:tr>
        <w:trPr>
          <w:trHeight w:val="250"/>
        </w:trPr>
        <w:tc>
          <w:tcPr>
            <w:tcW w:w="820" w:type="dxa"/>
            <w:vAlign w:val="bottom"/>
          </w:tcPr>
          <w:p>
            <w:pPr>
              <w:spacing w:after="0"/>
              <w:rPr>
                <w:sz w:val="21"/>
                <w:szCs w:val="21"/>
                <w:color w:val="auto"/>
              </w:rPr>
            </w:pP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Consolidated Statements of Cash Flows (unaudited) for the six months ended June 30, 2015 and 2014</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7</w:t>
              </w:r>
            </w:hyperlink>
          </w:p>
        </w:tc>
      </w:tr>
      <w:tr>
        <w:trPr>
          <w:trHeight w:val="250"/>
        </w:trPr>
        <w:tc>
          <w:tcPr>
            <w:tcW w:w="820" w:type="dxa"/>
            <w:vAlign w:val="bottom"/>
          </w:tcPr>
          <w:p>
            <w:pPr>
              <w:spacing w:after="0"/>
              <w:rPr>
                <w:sz w:val="21"/>
                <w:szCs w:val="21"/>
                <w:color w:val="auto"/>
              </w:rPr>
            </w:pP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Notes to Consolidated Financial Statements (unaudited)</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8</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Item 2.</w:t>
            </w: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4">
              <w:r>
                <w:rPr>
                  <w:rFonts w:ascii="Arial" w:cs="Arial" w:eastAsia="Arial" w:hAnsi="Arial"/>
                  <w:sz w:val="18"/>
                  <w:szCs w:val="18"/>
                  <w:color w:val="0000EE"/>
                  <w:w w:val="79"/>
                </w:rPr>
                <w:t>15</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Item 3.</w:t>
            </w: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Quantitative and Qualitative Disclosures about Market Risk</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30</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Item 4.</w:t>
            </w: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Controls and Procedures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2">
              <w:r>
                <w:rPr>
                  <w:rFonts w:ascii="Arial" w:cs="Arial" w:eastAsia="Arial" w:hAnsi="Arial"/>
                  <w:sz w:val="18"/>
                  <w:szCs w:val="18"/>
                  <w:color w:val="0000EE"/>
                  <w:w w:val="79"/>
                </w:rPr>
                <w:t>31</w:t>
              </w:r>
            </w:hyperlink>
          </w:p>
        </w:tc>
      </w:tr>
      <w:tr>
        <w:trPr>
          <w:trHeight w:val="574"/>
        </w:trPr>
        <w:tc>
          <w:tcPr>
            <w:tcW w:w="11220" w:type="dxa"/>
            <w:vAlign w:val="bottom"/>
            <w:gridSpan w:val="3"/>
          </w:tcPr>
          <w:p>
            <w:pPr>
              <w:ind w:left="40"/>
              <w:spacing w:after="0"/>
              <w:rPr>
                <w:sz w:val="20"/>
                <w:szCs w:val="20"/>
                <w:color w:val="auto"/>
              </w:rPr>
            </w:pPr>
            <w:r>
              <w:rPr>
                <w:rFonts w:ascii="Arial" w:cs="Arial" w:eastAsia="Arial" w:hAnsi="Arial"/>
                <w:sz w:val="18"/>
                <w:szCs w:val="18"/>
                <w:color w:val="auto"/>
              </w:rPr>
              <w:t>PART II. OTHER INFORMATION</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2">
              <w:r>
                <w:rPr>
                  <w:rFonts w:ascii="Arial" w:cs="Arial" w:eastAsia="Arial" w:hAnsi="Arial"/>
                  <w:sz w:val="18"/>
                  <w:szCs w:val="18"/>
                  <w:color w:val="0000EE"/>
                  <w:w w:val="79"/>
                </w:rPr>
                <w:t>31</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Item 1.</w:t>
            </w: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Legal Proceedings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2">
              <w:r>
                <w:rPr>
                  <w:rFonts w:ascii="Arial" w:cs="Arial" w:eastAsia="Arial" w:hAnsi="Arial"/>
                  <w:sz w:val="18"/>
                  <w:szCs w:val="18"/>
                  <w:color w:val="0000EE"/>
                  <w:w w:val="79"/>
                </w:rPr>
                <w:t>31</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Item 1A.</w:t>
            </w: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Risk Factors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2">
              <w:r>
                <w:rPr>
                  <w:rFonts w:ascii="Arial" w:cs="Arial" w:eastAsia="Arial" w:hAnsi="Arial"/>
                  <w:sz w:val="18"/>
                  <w:szCs w:val="18"/>
                  <w:color w:val="0000EE"/>
                  <w:w w:val="79"/>
                </w:rPr>
                <w:t>31</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Item 2.</w:t>
            </w: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Unregistered Sales of Equity Securities and Use of Proceeds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3">
              <w:r>
                <w:rPr>
                  <w:rFonts w:ascii="Arial" w:cs="Arial" w:eastAsia="Arial" w:hAnsi="Arial"/>
                  <w:sz w:val="18"/>
                  <w:szCs w:val="18"/>
                  <w:color w:val="0000EE"/>
                  <w:w w:val="79"/>
                </w:rPr>
                <w:t>32</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Item 3.</w:t>
            </w: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Defaults Upon Senior Securities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3">
              <w:r>
                <w:rPr>
                  <w:rFonts w:ascii="Arial" w:cs="Arial" w:eastAsia="Arial" w:hAnsi="Arial"/>
                  <w:sz w:val="18"/>
                  <w:szCs w:val="18"/>
                  <w:color w:val="0000EE"/>
                  <w:w w:val="79"/>
                </w:rPr>
                <w:t>32</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Item 4.</w:t>
            </w: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Mine Safety Disclosures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3">
              <w:r>
                <w:rPr>
                  <w:rFonts w:ascii="Arial" w:cs="Arial" w:eastAsia="Arial" w:hAnsi="Arial"/>
                  <w:sz w:val="18"/>
                  <w:szCs w:val="18"/>
                  <w:color w:val="0000EE"/>
                  <w:w w:val="79"/>
                </w:rPr>
                <w:t>32</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Item 5.</w:t>
            </w: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Other Information</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3">
              <w:r>
                <w:rPr>
                  <w:rFonts w:ascii="Arial" w:cs="Arial" w:eastAsia="Arial" w:hAnsi="Arial"/>
                  <w:sz w:val="18"/>
                  <w:szCs w:val="18"/>
                  <w:color w:val="0000EE"/>
                  <w:w w:val="79"/>
                </w:rPr>
                <w:t>32</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Item 6.</w:t>
            </w: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Exhibits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3">
              <w:r>
                <w:rPr>
                  <w:rFonts w:ascii="Arial" w:cs="Arial" w:eastAsia="Arial" w:hAnsi="Arial"/>
                  <w:sz w:val="18"/>
                  <w:szCs w:val="18"/>
                  <w:color w:val="0000EE"/>
                  <w:w w:val="79"/>
                </w:rPr>
                <w:t>32</w:t>
              </w:r>
            </w:hyperlink>
          </w:p>
        </w:tc>
      </w:tr>
      <w:tr>
        <w:trPr>
          <w:trHeight w:val="574"/>
        </w:trPr>
        <w:tc>
          <w:tcPr>
            <w:tcW w:w="11220" w:type="dxa"/>
            <w:vAlign w:val="bottom"/>
            <w:gridSpan w:val="3"/>
          </w:tcPr>
          <w:p>
            <w:pPr>
              <w:ind w:left="40"/>
              <w:spacing w:after="0"/>
              <w:rPr>
                <w:sz w:val="20"/>
                <w:szCs w:val="20"/>
                <w:color w:val="auto"/>
              </w:rPr>
            </w:pPr>
            <w:r>
              <w:rPr>
                <w:rFonts w:ascii="Arial" w:cs="Arial" w:eastAsia="Arial" w:hAnsi="Arial"/>
                <w:sz w:val="18"/>
                <w:szCs w:val="18"/>
                <w:color w:val="auto"/>
              </w:rPr>
              <w:t>SIGNATURES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3">
              <w:r>
                <w:rPr>
                  <w:rFonts w:ascii="Arial" w:cs="Arial" w:eastAsia="Arial" w:hAnsi="Arial"/>
                  <w:sz w:val="18"/>
                  <w:szCs w:val="18"/>
                  <w:color w:val="0000EE"/>
                  <w:w w:val="79"/>
                </w:rPr>
                <w:t>33</w:t>
              </w:r>
            </w:hyperlink>
          </w:p>
        </w:tc>
      </w:tr>
      <w:tr>
        <w:trPr>
          <w:trHeight w:val="939"/>
        </w:trPr>
        <w:tc>
          <w:tcPr>
            <w:tcW w:w="820" w:type="dxa"/>
            <w:vAlign w:val="bottom"/>
          </w:tcPr>
          <w:p>
            <w:pPr>
              <w:spacing w:after="0"/>
              <w:rPr>
                <w:sz w:val="24"/>
                <w:szCs w:val="24"/>
                <w:color w:val="auto"/>
              </w:rPr>
            </w:pPr>
          </w:p>
        </w:tc>
        <w:tc>
          <w:tcPr>
            <w:tcW w:w="10400" w:type="dxa"/>
            <w:vAlign w:val="bottom"/>
            <w:gridSpan w:val="2"/>
          </w:tcPr>
          <w:p>
            <w:pPr>
              <w:jc w:val="center"/>
              <w:ind w:right="530"/>
              <w:spacing w:after="0"/>
              <w:rPr>
                <w:sz w:val="20"/>
                <w:szCs w:val="20"/>
                <w:color w:val="auto"/>
              </w:rPr>
            </w:pPr>
            <w:r>
              <w:rPr>
                <w:rFonts w:ascii="Arial" w:cs="Arial" w:eastAsia="Arial" w:hAnsi="Arial"/>
                <w:sz w:val="18"/>
                <w:szCs w:val="18"/>
                <w:color w:val="auto"/>
                <w:w w:val="99"/>
              </w:rPr>
              <w:t>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118" w:right="25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I—FINANCIAL INFORMATION</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9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following balance sheet as of December 31, 2014, which has been derived from audited financial statements, and unaudited interim financial statements have been prepared pursuant to the rules and regulations of the Securities and Exchange Commission. Certain information and note disclosures normally included in annual financial statements prepared in accordance with generally accepted accounting principles (GAAP) have been omitted pursuant to those rules and regulations, although Federal Realty Investment Trust (the "Trust") believes that the disclosures made are adequate to make the information not misleading. It is suggested that these financial statements be read in conjunction with the financial statements and notes thereto included in the Trust’s latest Annual Report on Form 10-K. In the opinion of management, all adjustments (consisting of normal, recurring adjustments) necessary for a fair presentation for the periods presented have been included. The results of operations for the three and six months ended June 30, 2015 are not necessarily indicative of the results that may be expected for the full year.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80"/>
          </w:cols>
          <w:pgMar w:left="240" w:top="126" w:right="379" w:bottom="144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6"/>
                <w:szCs w:val="16"/>
                <w:color w:val="auto"/>
              </w:rPr>
            </w:pPr>
          </w:p>
        </w:tc>
        <w:tc>
          <w:tcPr>
            <w:tcW w:w="1180" w:type="dxa"/>
            <w:vAlign w:val="bottom"/>
          </w:tcPr>
          <w:p>
            <w:pPr>
              <w:jc w:val="right"/>
              <w:ind w:right="171"/>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276"/>
        </w:trPr>
        <w:tc>
          <w:tcPr>
            <w:tcW w:w="85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52"/>
        </w:trPr>
        <w:tc>
          <w:tcPr>
            <w:tcW w:w="8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40" w:type="dxa"/>
            <w:vAlign w:val="bottom"/>
            <w:gridSpan w:val="4"/>
          </w:tcPr>
          <w:p>
            <w:pPr>
              <w:jc w:val="right"/>
              <w:ind w:right="231"/>
              <w:spacing w:after="0" w:line="153" w:lineRule="exact"/>
              <w:rPr>
                <w:sz w:val="20"/>
                <w:szCs w:val="20"/>
                <w:color w:val="auto"/>
              </w:rPr>
            </w:pPr>
            <w:r>
              <w:rPr>
                <w:rFonts w:ascii="Arial" w:cs="Arial" w:eastAsia="Arial" w:hAnsi="Arial"/>
                <w:sz w:val="14"/>
                <w:szCs w:val="14"/>
                <w:b w:val="1"/>
                <w:bCs w:val="1"/>
                <w:color w:val="auto"/>
                <w:w w:val="95"/>
              </w:rPr>
              <w:t>(In thousands, except share and per</w:t>
            </w:r>
          </w:p>
        </w:tc>
        <w:tc>
          <w:tcPr>
            <w:tcW w:w="0" w:type="dxa"/>
            <w:vAlign w:val="bottom"/>
          </w:tcPr>
          <w:p>
            <w:pPr>
              <w:spacing w:after="0"/>
              <w:rPr>
                <w:sz w:val="1"/>
                <w:szCs w:val="1"/>
                <w:color w:val="auto"/>
              </w:rPr>
            </w:pPr>
          </w:p>
        </w:tc>
      </w:tr>
      <w:tr>
        <w:trPr>
          <w:trHeight w:val="186"/>
        </w:trPr>
        <w:tc>
          <w:tcPr>
            <w:tcW w:w="8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40" w:type="dxa"/>
            <w:vAlign w:val="bottom"/>
            <w:gridSpan w:val="4"/>
          </w:tcPr>
          <w:p>
            <w:pPr>
              <w:jc w:val="right"/>
              <w:ind w:right="971"/>
              <w:spacing w:after="0"/>
              <w:rPr>
                <w:sz w:val="20"/>
                <w:szCs w:val="20"/>
                <w:color w:val="auto"/>
              </w:rPr>
            </w:pPr>
            <w:r>
              <w:rPr>
                <w:rFonts w:ascii="Arial" w:cs="Arial" w:eastAsia="Arial" w:hAnsi="Arial"/>
                <w:sz w:val="14"/>
                <w:szCs w:val="14"/>
                <w:b w:val="1"/>
                <w:bCs w:val="1"/>
                <w:color w:val="auto"/>
              </w:rPr>
              <w:t>share data)</w:t>
            </w:r>
          </w:p>
        </w:tc>
        <w:tc>
          <w:tcPr>
            <w:tcW w:w="0" w:type="dxa"/>
            <w:vAlign w:val="bottom"/>
          </w:tcPr>
          <w:p>
            <w:pPr>
              <w:spacing w:after="0"/>
              <w:rPr>
                <w:sz w:val="1"/>
                <w:szCs w:val="1"/>
                <w:color w:val="auto"/>
              </w:rPr>
            </w:pPr>
          </w:p>
        </w:tc>
      </w:tr>
      <w:tr>
        <w:trPr>
          <w:trHeight w:val="270"/>
        </w:trPr>
        <w:tc>
          <w:tcPr>
            <w:tcW w:w="8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(Unaudited)</w:t>
            </w: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8580" w:type="dxa"/>
            <w:vAlign w:val="bottom"/>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 estate, at cost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w w:val="99"/>
              </w:rPr>
              <w:t>Operating (including $355,241 and $282,303 of consolidated variable interest entities, respectively)</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5,336,688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5,128,757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Construction-in-progress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507,491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480,241</w:t>
            </w:r>
          </w:p>
        </w:tc>
        <w:tc>
          <w:tcPr>
            <w:tcW w:w="0" w:type="dxa"/>
            <w:vAlign w:val="bottom"/>
          </w:tcPr>
          <w:p>
            <w:pPr>
              <w:spacing w:after="0"/>
              <w:rPr>
                <w:sz w:val="1"/>
                <w:szCs w:val="1"/>
                <w:color w:val="auto"/>
              </w:rPr>
            </w:pPr>
          </w:p>
        </w:tc>
      </w:tr>
      <w:tr>
        <w:trPr>
          <w:trHeight w:val="237"/>
        </w:trPr>
        <w:tc>
          <w:tcPr>
            <w:tcW w:w="85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5,844,179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5,608,998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3"/>
              </w:rPr>
              <w:t>Less accumulated depreciation and amortization (including $30,099 and $26,618 of consolidated variable</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interest entities, respectively)</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(1,508,397)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(1,467,050)</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Net real estate</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4,335,782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4,141,948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22,175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47,951</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Accounts and notes receivable, net</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106,218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93,291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Mortgage notes receivable, net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50,677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50,988</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Investment in real estate partnerships</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37,748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37,457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165,685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160,167</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Debt issuance costs, net of accumulated amortization of $11,796 and $11,441, respectively</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15,553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15,068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4,733,838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4,546,870</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LIABILITIES AND SHAREHOLDERS’ 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580" w:type="dxa"/>
            <w:vAlign w:val="bottom"/>
          </w:tcPr>
          <w:p>
            <w:pPr>
              <w:ind w:left="720"/>
              <w:spacing w:after="0"/>
              <w:rPr>
                <w:sz w:val="20"/>
                <w:szCs w:val="20"/>
                <w:color w:val="auto"/>
              </w:rPr>
            </w:pPr>
            <w:r>
              <w:rPr>
                <w:rFonts w:ascii="Arial" w:cs="Arial" w:eastAsia="Arial" w:hAnsi="Arial"/>
                <w:sz w:val="18"/>
                <w:szCs w:val="18"/>
                <w:color w:val="auto"/>
              </w:rPr>
              <w:t>Mortgages payable (including $179,303 and $187,632 of consolidated variable interest entities,</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720"/>
              <w:spacing w:after="0"/>
              <w:rPr>
                <w:sz w:val="20"/>
                <w:szCs w:val="20"/>
                <w:color w:val="auto"/>
              </w:rPr>
            </w:pPr>
            <w:r>
              <w:rPr>
                <w:rFonts w:ascii="Arial" w:cs="Arial" w:eastAsia="Arial" w:hAnsi="Arial"/>
                <w:sz w:val="18"/>
                <w:szCs w:val="18"/>
                <w:color w:val="auto"/>
              </w:rPr>
              <w:t>respectively)</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576,446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563,698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Capital lease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71,633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71,647</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Notes payable</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396,911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290,519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Senior notes and debentures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1,494,515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1,483,813</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137,944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145,685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Dividends payable</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60,992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60,620</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Security deposits payable</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14,901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14,115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liabilities and deferred credits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118,570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105,164</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2,871,912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2,735,261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Commitments and contingencies (Note 7)</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Redeemable noncontrolling interests</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120,360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119,053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580" w:type="dxa"/>
            <w:vAlign w:val="bottom"/>
          </w:tcPr>
          <w:p>
            <w:pPr>
              <w:ind w:left="720"/>
              <w:spacing w:after="0"/>
              <w:rPr>
                <w:sz w:val="20"/>
                <w:szCs w:val="20"/>
                <w:color w:val="auto"/>
              </w:rPr>
            </w:pPr>
            <w:r>
              <w:rPr>
                <w:rFonts w:ascii="Arial" w:cs="Arial" w:eastAsia="Arial" w:hAnsi="Arial"/>
                <w:sz w:val="18"/>
                <w:szCs w:val="18"/>
                <w:color w:val="auto"/>
                <w:w w:val="89"/>
              </w:rPr>
              <w:t>Preferred shares, authorized 15,000,000 shares, $.01 par: 5.417% Series 1 Cumulative Convertible Preferred</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720"/>
              <w:spacing w:after="0"/>
              <w:rPr>
                <w:sz w:val="20"/>
                <w:szCs w:val="20"/>
                <w:color w:val="auto"/>
              </w:rPr>
            </w:pPr>
            <w:r>
              <w:rPr>
                <w:rFonts w:ascii="Arial" w:cs="Arial" w:eastAsia="Arial" w:hAnsi="Arial"/>
                <w:sz w:val="18"/>
                <w:szCs w:val="18"/>
                <w:color w:val="auto"/>
              </w:rPr>
              <w:t>Shares, (stated at liquidation preference $25 per share), 399,896 shares issued and outstanding</w:t>
            </w:r>
          </w:p>
        </w:tc>
        <w:tc>
          <w:tcPr>
            <w:tcW w:w="200" w:type="dxa"/>
            <w:vAlign w:val="bottom"/>
          </w:tcPr>
          <w:p>
            <w:pPr>
              <w:spacing w:after="0"/>
              <w:rPr>
                <w:sz w:val="20"/>
                <w:szCs w:val="20"/>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9,997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0"/>
              </w:rPr>
              <w:t>Common shares of beneficial interest, $.01 par, 100,000,000 shares authorized, 69,120,797 and 68,605,783</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shares issued and outstanding, 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2,344,031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2,281,223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Accumulated dividends in excess of net income</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(714,239)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(683,991)</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(3,515)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shareholders’ equity of the Trust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1,635,572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1,604,401</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Noncontrolling interests</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105,994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88,155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1,741,566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1,692,556</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4,733,838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4,546,870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ectPr>
          <w:pgSz w:w="11900" w:h="16838" w:orient="portrait"/>
          <w:cols w:equalWidth="0" w:num="1">
            <w:col w:w="11420"/>
          </w:cols>
          <w:pgMar w:left="240" w:top="126"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6" w:right="2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214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w w:val="98"/>
              </w:rPr>
              <w:t>Six Months Ended June 30,</w:t>
            </w:r>
          </w:p>
        </w:tc>
        <w:tc>
          <w:tcPr>
            <w:tcW w:w="0" w:type="dxa"/>
            <w:vAlign w:val="bottom"/>
          </w:tcPr>
          <w:p>
            <w:pPr>
              <w:spacing w:after="0"/>
              <w:rPr>
                <w:sz w:val="1"/>
                <w:szCs w:val="1"/>
                <w:color w:val="auto"/>
              </w:rPr>
            </w:pPr>
          </w:p>
        </w:tc>
      </w:tr>
      <w:tr>
        <w:trPr>
          <w:trHeight w:val="264"/>
        </w:trPr>
        <w:tc>
          <w:tcPr>
            <w:tcW w:w="53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0"/>
        </w:trPr>
        <w:tc>
          <w:tcPr>
            <w:tcW w:w="5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gridSpan w:val="6"/>
          </w:tcPr>
          <w:p>
            <w:pPr>
              <w:ind w:left="40"/>
              <w:spacing w:after="0"/>
              <w:rPr>
                <w:sz w:val="20"/>
                <w:szCs w:val="20"/>
                <w:color w:val="auto"/>
              </w:rPr>
            </w:pPr>
            <w:r>
              <w:rPr>
                <w:rFonts w:ascii="Arial" w:cs="Arial" w:eastAsia="Arial" w:hAnsi="Arial"/>
                <w:sz w:val="14"/>
                <w:szCs w:val="14"/>
                <w:b w:val="1"/>
                <w:bCs w:val="1"/>
                <w:color w:val="auto"/>
                <w:w w:val="97"/>
              </w:rPr>
              <w:t>(In thousands, except per share data)</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5320" w:type="dxa"/>
            <w:vAlign w:val="bottom"/>
          </w:tcPr>
          <w:p>
            <w:pPr>
              <w:ind w:left="40"/>
              <w:spacing w:after="0"/>
              <w:rPr>
                <w:sz w:val="20"/>
                <w:szCs w:val="20"/>
                <w:color w:val="auto"/>
              </w:rPr>
            </w:pPr>
            <w:r>
              <w:rPr>
                <w:rFonts w:ascii="Arial" w:cs="Arial" w:eastAsia="Arial" w:hAnsi="Arial"/>
                <w:sz w:val="18"/>
                <w:szCs w:val="18"/>
                <w:color w:val="auto"/>
              </w:rPr>
              <w:t>REVENUE</w:t>
            </w:r>
          </w:p>
        </w:tc>
        <w:tc>
          <w:tcPr>
            <w:tcW w:w="1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Rental income</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175,884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162,383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357,050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328,576</w:t>
            </w: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Other property income</w:t>
            </w: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4,420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4,325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6,885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7,725</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Mortgage interest income</w:t>
            </w:r>
          </w:p>
        </w:tc>
        <w:tc>
          <w:tcPr>
            <w:tcW w:w="1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2,318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2,474</w:t>
            </w:r>
          </w:p>
        </w:tc>
        <w:tc>
          <w:tcPr>
            <w:tcW w:w="0" w:type="dxa"/>
            <w:vAlign w:val="bottom"/>
          </w:tcPr>
          <w:p>
            <w:pPr>
              <w:spacing w:after="0"/>
              <w:rPr>
                <w:sz w:val="1"/>
                <w:szCs w:val="1"/>
                <w:color w:val="auto"/>
              </w:rPr>
            </w:pPr>
          </w:p>
        </w:tc>
      </w:tr>
      <w:tr>
        <w:trPr>
          <w:trHeight w:val="237"/>
        </w:trPr>
        <w:tc>
          <w:tcPr>
            <w:tcW w:w="5320" w:type="dxa"/>
            <w:vAlign w:val="bottom"/>
          </w:tcPr>
          <w:p>
            <w:pPr>
              <w:ind w:left="720"/>
              <w:spacing w:after="0"/>
              <w:rPr>
                <w:sz w:val="20"/>
                <w:szCs w:val="20"/>
                <w:color w:val="auto"/>
              </w:rPr>
            </w:pPr>
            <w:r>
              <w:rPr>
                <w:rFonts w:ascii="Arial" w:cs="Arial" w:eastAsia="Arial" w:hAnsi="Arial"/>
                <w:sz w:val="18"/>
                <w:szCs w:val="18"/>
                <w:color w:val="auto"/>
              </w:rPr>
              <w:t>Total revenue</w:t>
            </w:r>
          </w:p>
        </w:tc>
        <w:tc>
          <w:tcPr>
            <w:tcW w:w="12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181,461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167,947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366,253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338,775</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1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Rental expenses</w:t>
            </w: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32,623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31,405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74,062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68,535</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 estate taxes</w:t>
            </w:r>
          </w:p>
        </w:tc>
        <w:tc>
          <w:tcPr>
            <w:tcW w:w="1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20,667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41,061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37,864</w:t>
            </w: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9,299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8,124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18,152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15,828</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1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42,671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40,893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84,655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84,743</w:t>
            </w:r>
          </w:p>
        </w:tc>
        <w:tc>
          <w:tcPr>
            <w:tcW w:w="0" w:type="dxa"/>
            <w:vAlign w:val="bottom"/>
          </w:tcPr>
          <w:p>
            <w:pPr>
              <w:spacing w:after="0"/>
              <w:rPr>
                <w:sz w:val="1"/>
                <w:szCs w:val="1"/>
                <w:color w:val="auto"/>
              </w:rPr>
            </w:pPr>
          </w:p>
        </w:tc>
      </w:tr>
      <w:tr>
        <w:trPr>
          <w:trHeight w:val="237"/>
        </w:trPr>
        <w:tc>
          <w:tcPr>
            <w:tcW w:w="532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2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105,260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99,586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217,930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206,970</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76,201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68,361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148,323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131,805</w:t>
            </w: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Other interest income</w:t>
            </w: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1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(46,350)</w:t>
            </w: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Early extinguishment of debt</w:t>
            </w: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(19,072)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(19,072)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real estate partnerships</w:t>
            </w:r>
          </w:p>
        </w:tc>
        <w:tc>
          <w:tcPr>
            <w:tcW w:w="1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37"/>
        </w:trPr>
        <w:tc>
          <w:tcPr>
            <w:tcW w:w="532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12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34,164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45,416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82,367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85,961</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sale of real estate</w:t>
            </w:r>
          </w:p>
        </w:tc>
        <w:tc>
          <w:tcPr>
            <w:tcW w:w="1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11,509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11,509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3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45,673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45,416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93,876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85,961</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1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(3,663)</w:t>
            </w:r>
          </w:p>
        </w:tc>
        <w:tc>
          <w:tcPr>
            <w:tcW w:w="0" w:type="dxa"/>
            <w:vAlign w:val="bottom"/>
          </w:tcPr>
          <w:p>
            <w:pPr>
              <w:spacing w:after="0"/>
              <w:rPr>
                <w:sz w:val="1"/>
                <w:szCs w:val="1"/>
                <w:color w:val="auto"/>
              </w:rPr>
            </w:pPr>
          </w:p>
        </w:tc>
      </w:tr>
      <w:tr>
        <w:trPr>
          <w:trHeight w:val="237"/>
        </w:trPr>
        <w:tc>
          <w:tcPr>
            <w:tcW w:w="5320" w:type="dxa"/>
            <w:vAlign w:val="bottom"/>
          </w:tcPr>
          <w:p>
            <w:pPr>
              <w:ind w:left="40"/>
              <w:spacing w:after="0"/>
              <w:rPr>
                <w:sz w:val="20"/>
                <w:szCs w:val="20"/>
                <w:color w:val="auto"/>
              </w:rPr>
            </w:pPr>
            <w:r>
              <w:rPr>
                <w:rFonts w:ascii="Arial" w:cs="Arial" w:eastAsia="Arial" w:hAnsi="Arial"/>
                <w:sz w:val="18"/>
                <w:szCs w:val="18"/>
                <w:color w:val="auto"/>
              </w:rPr>
              <w:t>NET INCOME ATTRIBUTABLE TO THE TRUST</w:t>
            </w:r>
          </w:p>
        </w:tc>
        <w:tc>
          <w:tcPr>
            <w:tcW w:w="12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43,632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43,545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89,818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82,298</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on preferred shares</w:t>
            </w:r>
          </w:p>
        </w:tc>
        <w:tc>
          <w:tcPr>
            <w:tcW w:w="1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37"/>
        </w:trPr>
        <w:tc>
          <w:tcPr>
            <w:tcW w:w="5320" w:type="dxa"/>
            <w:vAlign w:val="bottom"/>
          </w:tcPr>
          <w:p>
            <w:pPr>
              <w:ind w:left="40"/>
              <w:spacing w:after="0"/>
              <w:rPr>
                <w:sz w:val="20"/>
                <w:szCs w:val="20"/>
                <w:color w:val="auto"/>
              </w:rPr>
            </w:pPr>
            <w:r>
              <w:rPr>
                <w:rFonts w:ascii="Arial" w:cs="Arial" w:eastAsia="Arial" w:hAnsi="Arial"/>
                <w:sz w:val="18"/>
                <w:szCs w:val="18"/>
                <w:color w:val="auto"/>
              </w:rPr>
              <w:t>NET INCOME AVAILABLE FOR COMMON SHAREHOLDERS</w:t>
            </w:r>
          </w:p>
        </w:tc>
        <w:tc>
          <w:tcPr>
            <w:tcW w:w="12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43,497</w:t>
            </w:r>
          </w:p>
        </w:tc>
        <w:tc>
          <w:tcPr>
            <w:tcW w:w="100" w:type="dxa"/>
            <w:vAlign w:val="bottom"/>
          </w:tcPr>
          <w:p>
            <w:pPr>
              <w:spacing w:after="0"/>
              <w:rPr>
                <w:sz w:val="20"/>
                <w:szCs w:val="20"/>
                <w:color w:val="auto"/>
              </w:rPr>
            </w:pPr>
          </w:p>
        </w:tc>
        <w:tc>
          <w:tcPr>
            <w:tcW w:w="2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43,410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89,547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82,027</w:t>
            </w:r>
          </w:p>
        </w:tc>
        <w:tc>
          <w:tcPr>
            <w:tcW w:w="0" w:type="dxa"/>
            <w:vAlign w:val="bottom"/>
          </w:tcPr>
          <w:p>
            <w:pPr>
              <w:spacing w:after="0"/>
              <w:rPr>
                <w:sz w:val="1"/>
                <w:szCs w:val="1"/>
                <w:color w:val="auto"/>
              </w:rPr>
            </w:pPr>
          </w:p>
        </w:tc>
      </w:tr>
      <w:tr>
        <w:trPr>
          <w:trHeight w:val="67"/>
        </w:trPr>
        <w:tc>
          <w:tcPr>
            <w:tcW w:w="5320" w:type="dxa"/>
            <w:vAlign w:val="bottom"/>
            <w:tcBorders>
              <w:bottom w:val="single" w:sz="8" w:color="CCEEFF"/>
            </w:tcBorders>
          </w:tcPr>
          <w:p>
            <w:pPr>
              <w:spacing w:after="0"/>
              <w:rPr>
                <w:sz w:val="5"/>
                <w:szCs w:val="5"/>
                <w:color w:val="auto"/>
              </w:rPr>
            </w:pPr>
          </w:p>
        </w:tc>
        <w:tc>
          <w:tcPr>
            <w:tcW w:w="12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3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EARNINGS PER COMMON SHARE, BASIC</w:t>
            </w:r>
          </w:p>
        </w:tc>
        <w:tc>
          <w:tcPr>
            <w:tcW w:w="1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Continuing operations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sale of real estate</w:t>
            </w:r>
          </w:p>
        </w:tc>
        <w:tc>
          <w:tcPr>
            <w:tcW w:w="1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20"/>
                <w:szCs w:val="20"/>
                <w:color w:val="auto"/>
              </w:rPr>
            </w:pPr>
          </w:p>
        </w:tc>
        <w:tc>
          <w:tcPr>
            <w:tcW w:w="2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67"/>
        </w:trPr>
        <w:tc>
          <w:tcPr>
            <w:tcW w:w="5320" w:type="dxa"/>
            <w:vAlign w:val="bottom"/>
            <w:tcBorders>
              <w:bottom w:val="single" w:sz="8" w:color="CCEEFF"/>
            </w:tcBorders>
          </w:tcPr>
          <w:p>
            <w:pPr>
              <w:spacing w:after="0"/>
              <w:rPr>
                <w:sz w:val="5"/>
                <w:szCs w:val="5"/>
                <w:color w:val="auto"/>
              </w:rPr>
            </w:pPr>
          </w:p>
        </w:tc>
        <w:tc>
          <w:tcPr>
            <w:tcW w:w="12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32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Weighted average number of common shares, basic</w:t>
            </w:r>
          </w:p>
        </w:tc>
        <w:tc>
          <w:tcPr>
            <w:tcW w:w="1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68,531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67,110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68,449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66,858</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DILUTED</w:t>
            </w:r>
          </w:p>
        </w:tc>
        <w:tc>
          <w:tcPr>
            <w:tcW w:w="1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20" w:type="dxa"/>
            <w:vAlign w:val="bottom"/>
            <w:vMerge w:val="continue"/>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3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Continuing operations</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Gain on sale of real estate</w:t>
            </w: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Weighted average number of common shares, diluted</w:t>
            </w:r>
          </w:p>
        </w:tc>
        <w:tc>
          <w:tcPr>
            <w:tcW w:w="1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20" w:type="dxa"/>
            <w:vAlign w:val="bottom"/>
            <w:vMerge w:val="continue"/>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68,713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67,277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68,638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67,021</w:t>
            </w:r>
          </w:p>
        </w:tc>
        <w:tc>
          <w:tcPr>
            <w:tcW w:w="0" w:type="dxa"/>
            <w:vAlign w:val="bottom"/>
          </w:tcPr>
          <w:p>
            <w:pPr>
              <w:spacing w:after="0"/>
              <w:rPr>
                <w:sz w:val="1"/>
                <w:szCs w:val="1"/>
                <w:color w:val="auto"/>
              </w:rPr>
            </w:pPr>
          </w:p>
        </w:tc>
      </w:tr>
      <w:tr>
        <w:trPr>
          <w:trHeight w:val="67"/>
        </w:trPr>
        <w:tc>
          <w:tcPr>
            <w:tcW w:w="5320" w:type="dxa"/>
            <w:vAlign w:val="bottom"/>
            <w:tcBorders>
              <w:bottom w:val="single" w:sz="8" w:color="CCEEFF"/>
            </w:tcBorders>
          </w:tcPr>
          <w:p>
            <w:pPr>
              <w:spacing w:after="0"/>
              <w:rPr>
                <w:sz w:val="5"/>
                <w:szCs w:val="5"/>
                <w:color w:val="auto"/>
              </w:rPr>
            </w:pPr>
          </w:p>
        </w:tc>
        <w:tc>
          <w:tcPr>
            <w:tcW w:w="12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53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46,740</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43,316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92,482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83,318</w:t>
            </w:r>
          </w:p>
        </w:tc>
        <w:tc>
          <w:tcPr>
            <w:tcW w:w="0" w:type="dxa"/>
            <w:vAlign w:val="bottom"/>
          </w:tcPr>
          <w:p>
            <w:pPr>
              <w:spacing w:after="0"/>
              <w:rPr>
                <w:sz w:val="1"/>
                <w:szCs w:val="1"/>
                <w:color w:val="auto"/>
              </w:rPr>
            </w:pPr>
          </w:p>
        </w:tc>
      </w:tr>
      <w:tr>
        <w:trPr>
          <w:trHeight w:val="67"/>
        </w:trPr>
        <w:tc>
          <w:tcPr>
            <w:tcW w:w="5320" w:type="dxa"/>
            <w:vAlign w:val="bottom"/>
            <w:tcBorders>
              <w:bottom w:val="single" w:sz="8" w:color="CCEEFF"/>
            </w:tcBorders>
          </w:tcPr>
          <w:p>
            <w:pPr>
              <w:spacing w:after="0"/>
              <w:rPr>
                <w:sz w:val="5"/>
                <w:szCs w:val="5"/>
                <w:color w:val="auto"/>
              </w:rPr>
            </w:pPr>
          </w:p>
        </w:tc>
        <w:tc>
          <w:tcPr>
            <w:tcW w:w="12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COMPREHENSIVE INCOME ATTRIBUTABLE TO THE TRUST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44,699</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41,445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88,424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79,655</w:t>
            </w:r>
          </w:p>
        </w:tc>
        <w:tc>
          <w:tcPr>
            <w:tcW w:w="0" w:type="dxa"/>
            <w:vAlign w:val="bottom"/>
          </w:tcPr>
          <w:p>
            <w:pPr>
              <w:spacing w:after="0"/>
              <w:rPr>
                <w:sz w:val="1"/>
                <w:szCs w:val="1"/>
                <w:color w:val="auto"/>
              </w:rPr>
            </w:pPr>
          </w:p>
        </w:tc>
      </w:tr>
      <w:tr>
        <w:trPr>
          <w:trHeight w:val="27"/>
        </w:trPr>
        <w:tc>
          <w:tcPr>
            <w:tcW w:w="6520" w:type="dxa"/>
            <w:vAlign w:val="bottom"/>
            <w:gridSpan w:val="2"/>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20" w:type="dxa"/>
            <w:vAlign w:val="bottom"/>
            <w:gridSpan w:val="2"/>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040" w:type="dxa"/>
            <w:vAlign w:val="bottom"/>
            <w:gridSpan w:val="8"/>
          </w:tcPr>
          <w:p>
            <w:pPr>
              <w:jc w:val="center"/>
              <w:ind w:left="2290"/>
              <w:spacing w:after="0"/>
              <w:rPr>
                <w:sz w:val="20"/>
                <w:szCs w:val="20"/>
                <w:color w:val="auto"/>
              </w:rPr>
            </w:pPr>
            <w:r>
              <w:rPr>
                <w:rFonts w:ascii="Arial" w:cs="Arial" w:eastAsia="Arial" w:hAnsi="Arial"/>
                <w:sz w:val="18"/>
                <w:szCs w:val="18"/>
                <w:color w:val="auto"/>
                <w:w w:val="89"/>
              </w:rPr>
              <w:t>The accompanying notes are an integral part of these consolidated statements.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320" w:type="dxa"/>
            <w:vAlign w:val="bottom"/>
          </w:tcPr>
          <w:p>
            <w:pPr>
              <w:spacing w:after="0"/>
              <w:rPr>
                <w:sz w:val="24"/>
                <w:szCs w:val="24"/>
                <w:color w:val="auto"/>
              </w:rPr>
            </w:pPr>
          </w:p>
        </w:tc>
        <w:tc>
          <w:tcPr>
            <w:tcW w:w="1200" w:type="dxa"/>
            <w:vAlign w:val="bottom"/>
          </w:tcPr>
          <w:p>
            <w:pPr>
              <w:jc w:val="right"/>
              <w:ind w:right="67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3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Six Months Ended June 30, 2015</w:t>
      </w:r>
    </w:p>
    <w:p>
      <w:pPr>
        <w:spacing w:after="0" w:line="3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6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8"/>
          </w:tcPr>
          <w:p>
            <w:pPr>
              <w:ind w:left="500"/>
              <w:spacing w:after="0"/>
              <w:rPr>
                <w:sz w:val="20"/>
                <w:szCs w:val="20"/>
                <w:color w:val="auto"/>
              </w:rPr>
            </w:pPr>
            <w:r>
              <w:rPr>
                <w:rFonts w:ascii="Arial" w:cs="Arial" w:eastAsia="Arial" w:hAnsi="Arial"/>
                <w:sz w:val="14"/>
                <w:szCs w:val="14"/>
                <w:b w:val="1"/>
                <w:bCs w:val="1"/>
                <w:color w:val="auto"/>
                <w:w w:val="99"/>
              </w:rPr>
              <w:t>Shareholders’ Equity of the Trust</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860" w:type="dxa"/>
            <w:vAlign w:val="bottom"/>
          </w:tcPr>
          <w:p>
            <w:pPr>
              <w:spacing w:after="0"/>
              <w:rPr>
                <w:sz w:val="13"/>
                <w:szCs w:val="13"/>
                <w:color w:val="auto"/>
              </w:rPr>
            </w:pPr>
          </w:p>
        </w:tc>
        <w:tc>
          <w:tcPr>
            <w:tcW w:w="1560" w:type="dxa"/>
            <w:vAlign w:val="bottom"/>
            <w:gridSpan w:val="4"/>
            <w:vMerge w:val="restart"/>
          </w:tcPr>
          <w:p>
            <w:pPr>
              <w:jc w:val="right"/>
              <w:ind w:right="179"/>
              <w:spacing w:after="0"/>
              <w:rPr>
                <w:sz w:val="20"/>
                <w:szCs w:val="20"/>
                <w:color w:val="auto"/>
              </w:rPr>
            </w:pPr>
            <w:r>
              <w:rPr>
                <w:rFonts w:ascii="Arial" w:cs="Arial" w:eastAsia="Arial" w:hAnsi="Arial"/>
                <w:sz w:val="14"/>
                <w:szCs w:val="14"/>
                <w:b w:val="1"/>
                <w:bCs w:val="1"/>
                <w:color w:val="auto"/>
              </w:rPr>
              <w:t>Preferred Shares</w:t>
            </w:r>
          </w:p>
        </w:tc>
        <w:tc>
          <w:tcPr>
            <w:tcW w:w="100" w:type="dxa"/>
            <w:vAlign w:val="bottom"/>
            <w:vMerge w:val="restart"/>
          </w:tcPr>
          <w:p>
            <w:pPr>
              <w:spacing w:after="0"/>
              <w:rPr>
                <w:sz w:val="13"/>
                <w:szCs w:val="13"/>
                <w:color w:val="auto"/>
              </w:rPr>
            </w:pPr>
          </w:p>
        </w:tc>
        <w:tc>
          <w:tcPr>
            <w:tcW w:w="1560" w:type="dxa"/>
            <w:vAlign w:val="bottom"/>
            <w:gridSpan w:val="4"/>
            <w:vMerge w:val="restart"/>
          </w:tcPr>
          <w:p>
            <w:pPr>
              <w:jc w:val="right"/>
              <w:ind w:right="139"/>
              <w:spacing w:after="0"/>
              <w:rPr>
                <w:sz w:val="20"/>
                <w:szCs w:val="20"/>
                <w:color w:val="auto"/>
              </w:rPr>
            </w:pPr>
            <w:r>
              <w:rPr>
                <w:rFonts w:ascii="Arial" w:cs="Arial" w:eastAsia="Arial" w:hAnsi="Arial"/>
                <w:sz w:val="14"/>
                <w:szCs w:val="14"/>
                <w:b w:val="1"/>
                <w:bCs w:val="1"/>
                <w:color w:val="auto"/>
              </w:rPr>
              <w:t>Common Shares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100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Accumulated</w:t>
            </w:r>
          </w:p>
        </w:tc>
        <w:tc>
          <w:tcPr>
            <w:tcW w:w="110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58"/>
        </w:trPr>
        <w:tc>
          <w:tcPr>
            <w:tcW w:w="2860" w:type="dxa"/>
            <w:vAlign w:val="bottom"/>
          </w:tcPr>
          <w:p>
            <w:pPr>
              <w:spacing w:after="0"/>
              <w:rPr>
                <w:sz w:val="13"/>
                <w:szCs w:val="13"/>
                <w:color w:val="auto"/>
              </w:rPr>
            </w:pPr>
          </w:p>
        </w:tc>
        <w:tc>
          <w:tcPr>
            <w:tcW w:w="1560" w:type="dxa"/>
            <w:vAlign w:val="bottom"/>
            <w:tcBorders>
              <w:bottom w:val="single" w:sz="8" w:color="auto"/>
            </w:tcBorders>
            <w:gridSpan w:val="4"/>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560" w:type="dxa"/>
            <w:vAlign w:val="bottom"/>
            <w:tcBorders>
              <w:bottom w:val="single" w:sz="8" w:color="auto"/>
            </w:tcBorders>
            <w:gridSpan w:val="4"/>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000" w:type="dxa"/>
            <w:vAlign w:val="bottom"/>
            <w:gridSpan w:val="3"/>
          </w:tcPr>
          <w:p>
            <w:pPr>
              <w:ind w:left="60"/>
              <w:spacing w:after="0" w:line="158" w:lineRule="exact"/>
              <w:rPr>
                <w:sz w:val="20"/>
                <w:szCs w:val="20"/>
                <w:color w:val="auto"/>
              </w:rPr>
            </w:pPr>
            <w:r>
              <w:rPr>
                <w:rFonts w:ascii="Arial" w:cs="Arial" w:eastAsia="Arial" w:hAnsi="Arial"/>
                <w:sz w:val="14"/>
                <w:szCs w:val="14"/>
                <w:b w:val="1"/>
                <w:bCs w:val="1"/>
                <w:color w:val="auto"/>
              </w:rPr>
              <w:t>Dividends in</w:t>
            </w:r>
          </w:p>
        </w:tc>
        <w:tc>
          <w:tcPr>
            <w:tcW w:w="200" w:type="dxa"/>
            <w:vAlign w:val="bottom"/>
          </w:tcPr>
          <w:p>
            <w:pPr>
              <w:spacing w:after="0"/>
              <w:rPr>
                <w:sz w:val="13"/>
                <w:szCs w:val="13"/>
                <w:color w:val="auto"/>
              </w:rPr>
            </w:pPr>
          </w:p>
        </w:tc>
        <w:tc>
          <w:tcPr>
            <w:tcW w:w="9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860" w:type="dxa"/>
            <w:vAlign w:val="bottom"/>
          </w:tcPr>
          <w:p>
            <w:pPr>
              <w:spacing w:after="0"/>
              <w:rPr>
                <w:sz w:val="10"/>
                <w:szCs w:val="10"/>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7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9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Paid-in</w:t>
            </w:r>
          </w:p>
        </w:tc>
        <w:tc>
          <w:tcPr>
            <w:tcW w:w="100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Excess of Net</w:t>
            </w:r>
          </w:p>
        </w:tc>
        <w:tc>
          <w:tcPr>
            <w:tcW w:w="1100" w:type="dxa"/>
            <w:vAlign w:val="bottom"/>
            <w:gridSpan w:val="3"/>
          </w:tcPr>
          <w:p>
            <w:pPr>
              <w:jc w:val="center"/>
              <w:ind w:right="10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0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Noncontrolling</w:t>
            </w: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Shareholders'</w:t>
            </w:r>
          </w:p>
        </w:tc>
        <w:tc>
          <w:tcPr>
            <w:tcW w:w="0" w:type="dxa"/>
            <w:vAlign w:val="bottom"/>
          </w:tcPr>
          <w:p>
            <w:pPr>
              <w:spacing w:after="0"/>
              <w:rPr>
                <w:sz w:val="1"/>
                <w:szCs w:val="1"/>
                <w:color w:val="auto"/>
              </w:rPr>
            </w:pPr>
          </w:p>
        </w:tc>
      </w:tr>
      <w:tr>
        <w:trPr>
          <w:trHeight w:val="192"/>
        </w:trPr>
        <w:tc>
          <w:tcPr>
            <w:tcW w:w="2860" w:type="dxa"/>
            <w:vAlign w:val="bottom"/>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780" w:type="dxa"/>
            <w:vAlign w:val="bottom"/>
            <w:tcBorders>
              <w:bottom w:val="single" w:sz="8" w:color="auto"/>
            </w:tcBorders>
            <w:gridSpan w:val="3"/>
            <w:vMerge w:val="continue"/>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58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Income</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2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60" w:type="dxa"/>
            <w:vAlign w:val="bottom"/>
            <w:gridSpan w:val="7"/>
          </w:tcPr>
          <w:p>
            <w:pPr>
              <w:spacing w:after="0"/>
              <w:rPr>
                <w:sz w:val="20"/>
                <w:szCs w:val="20"/>
                <w:color w:val="auto"/>
              </w:rPr>
            </w:pPr>
            <w:r>
              <w:rPr>
                <w:rFonts w:ascii="Arial" w:cs="Arial" w:eastAsia="Arial" w:hAnsi="Arial"/>
                <w:sz w:val="14"/>
                <w:szCs w:val="14"/>
                <w:b w:val="1"/>
                <w:bCs w:val="1"/>
                <w:color w:val="auto"/>
                <w:w w:val="96"/>
              </w:rPr>
              <w:t>(In thousands, except share data)</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2014</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399,896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9,997</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2"/>
              </w:rPr>
              <w:t>68,605,783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687</w:t>
            </w:r>
          </w:p>
        </w:tc>
        <w:tc>
          <w:tcPr>
            <w:tcW w:w="1040" w:type="dxa"/>
            <w:vAlign w:val="bottom"/>
            <w:tcBorders>
              <w:bottom w:val="single" w:sz="8" w:color="CCEEFF"/>
            </w:tcBorders>
            <w:gridSpan w:val="3"/>
            <w:shd w:val="clear" w:color="auto" w:fill="CCEEFF"/>
          </w:tcPr>
          <w:p>
            <w:pPr>
              <w:jc w:val="right"/>
              <w:ind w:right="23"/>
              <w:spacing w:after="0"/>
              <w:rPr>
                <w:sz w:val="20"/>
                <w:szCs w:val="20"/>
                <w:color w:val="auto"/>
              </w:rPr>
            </w:pPr>
            <w:r>
              <w:rPr>
                <w:rFonts w:ascii="Arial" w:cs="Arial" w:eastAsia="Arial" w:hAnsi="Arial"/>
                <w:sz w:val="16"/>
                <w:szCs w:val="16"/>
                <w:color w:val="auto"/>
              </w:rPr>
              <w:t>$2,281,223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(683,991)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(3,515)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88,155</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$ 1,692,556</w:t>
            </w:r>
          </w:p>
        </w:tc>
        <w:tc>
          <w:tcPr>
            <w:tcW w:w="0" w:type="dxa"/>
            <w:vAlign w:val="bottom"/>
          </w:tcPr>
          <w:p>
            <w:pPr>
              <w:spacing w:after="0"/>
              <w:rPr>
                <w:sz w:val="1"/>
                <w:szCs w:val="1"/>
                <w:color w:val="auto"/>
              </w:rPr>
            </w:pPr>
          </w:p>
        </w:tc>
      </w:tr>
      <w:tr>
        <w:trPr>
          <w:trHeight w:val="220"/>
        </w:trPr>
        <w:tc>
          <w:tcPr>
            <w:tcW w:w="2860" w:type="dxa"/>
            <w:vAlign w:val="bottom"/>
          </w:tcPr>
          <w:p>
            <w:pPr>
              <w:ind w:left="40"/>
              <w:spacing w:after="0"/>
              <w:rPr>
                <w:sz w:val="20"/>
                <w:szCs w:val="20"/>
                <w:color w:val="auto"/>
              </w:rPr>
            </w:pPr>
            <w:r>
              <w:rPr>
                <w:rFonts w:ascii="Arial" w:cs="Arial" w:eastAsia="Arial" w:hAnsi="Arial"/>
                <w:sz w:val="16"/>
                <w:szCs w:val="16"/>
                <w:color w:val="auto"/>
                <w:w w:val="95"/>
              </w:rPr>
              <w:t>Net income, excluding $1,758 attributable</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60" w:type="dxa"/>
            <w:vAlign w:val="bottom"/>
          </w:tcPr>
          <w:p>
            <w:pPr>
              <w:ind w:left="40"/>
              <w:spacing w:after="0"/>
              <w:rPr>
                <w:sz w:val="20"/>
                <w:szCs w:val="20"/>
                <w:color w:val="auto"/>
              </w:rPr>
            </w:pPr>
            <w:r>
              <w:rPr>
                <w:rFonts w:ascii="Arial" w:cs="Arial" w:eastAsia="Arial" w:hAnsi="Arial"/>
                <w:sz w:val="16"/>
                <w:szCs w:val="16"/>
                <w:color w:val="auto"/>
              </w:rPr>
              <w:t>to redeemable noncontrolling interests</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89,818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2,300</w:t>
            </w:r>
          </w:p>
        </w:tc>
        <w:tc>
          <w:tcPr>
            <w:tcW w:w="100" w:type="dxa"/>
            <w:vAlign w:val="bottom"/>
          </w:tcPr>
          <w:p>
            <w:pPr>
              <w:spacing w:after="0"/>
              <w:rPr>
                <w:sz w:val="17"/>
                <w:szCs w:val="17"/>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92,118</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comprehensive loss - change in</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value of interest rate swaps</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(1,394)</w:t>
            </w:r>
          </w:p>
        </w:tc>
        <w:tc>
          <w:tcPr>
            <w:tcW w:w="0" w:type="dxa"/>
            <w:vAlign w:val="bottom"/>
          </w:tcPr>
          <w:p>
            <w:pPr>
              <w:spacing w:after="0"/>
              <w:rPr>
                <w:sz w:val="1"/>
                <w:szCs w:val="1"/>
                <w:color w:val="auto"/>
              </w:rPr>
            </w:pPr>
          </w:p>
        </w:tc>
      </w:tr>
      <w:tr>
        <w:trPr>
          <w:trHeight w:val="220"/>
        </w:trPr>
        <w:tc>
          <w:tcPr>
            <w:tcW w:w="2860" w:type="dxa"/>
            <w:vAlign w:val="bottom"/>
          </w:tcPr>
          <w:p>
            <w:pPr>
              <w:ind w:left="40"/>
              <w:spacing w:after="0"/>
              <w:rPr>
                <w:sz w:val="20"/>
                <w:szCs w:val="20"/>
                <w:color w:val="auto"/>
              </w:rPr>
            </w:pPr>
            <w:r>
              <w:rPr>
                <w:rFonts w:ascii="Arial" w:cs="Arial" w:eastAsia="Arial" w:hAnsi="Arial"/>
                <w:sz w:val="16"/>
                <w:szCs w:val="16"/>
                <w:color w:val="auto"/>
              </w:rPr>
              <w:t>Dividends declared to common</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60" w:type="dxa"/>
            <w:vAlign w:val="bottom"/>
          </w:tcPr>
          <w:p>
            <w:pPr>
              <w:ind w:left="40"/>
              <w:spacing w:after="0"/>
              <w:rPr>
                <w:sz w:val="20"/>
                <w:szCs w:val="20"/>
                <w:color w:val="auto"/>
              </w:rPr>
            </w:pPr>
            <w:r>
              <w:rPr>
                <w:rFonts w:ascii="Arial" w:cs="Arial" w:eastAsia="Arial" w:hAnsi="Arial"/>
                <w:sz w:val="16"/>
                <w:szCs w:val="16"/>
                <w:color w:val="auto"/>
              </w:rPr>
              <w:t>shareholders</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99"/>
              </w:rPr>
              <w:t>(119,795)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(119,795)</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Dividends declared to preferred</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shareholders</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220"/>
        </w:trPr>
        <w:tc>
          <w:tcPr>
            <w:tcW w:w="2860" w:type="dxa"/>
            <w:vAlign w:val="bottom"/>
          </w:tcPr>
          <w:p>
            <w:pPr>
              <w:ind w:left="40"/>
              <w:spacing w:after="0"/>
              <w:rPr>
                <w:sz w:val="20"/>
                <w:szCs w:val="20"/>
                <w:color w:val="auto"/>
              </w:rPr>
            </w:pPr>
            <w:r>
              <w:rPr>
                <w:rFonts w:ascii="Arial" w:cs="Arial" w:eastAsia="Arial" w:hAnsi="Arial"/>
                <w:sz w:val="16"/>
                <w:szCs w:val="16"/>
                <w:color w:val="auto"/>
              </w:rPr>
              <w:t>Distributions declared to noncontrolling</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60" w:type="dxa"/>
            <w:vAlign w:val="bottom"/>
          </w:tcPr>
          <w:p>
            <w:pPr>
              <w:ind w:left="40"/>
              <w:spacing w:after="0"/>
              <w:rPr>
                <w:sz w:val="20"/>
                <w:szCs w:val="20"/>
                <w:color w:val="auto"/>
              </w:rPr>
            </w:pPr>
            <w:r>
              <w:rPr>
                <w:rFonts w:ascii="Arial" w:cs="Arial" w:eastAsia="Arial" w:hAnsi="Arial"/>
                <w:sz w:val="16"/>
                <w:szCs w:val="16"/>
                <w:color w:val="auto"/>
              </w:rPr>
              <w:t>interests</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(2,585)</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(2,585)</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Common shares issued</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427,194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40" w:type="dxa"/>
            <w:vAlign w:val="bottom"/>
            <w:tcBorders>
              <w:bottom w:val="single" w:sz="8" w:color="CCEEFF"/>
            </w:tcBorders>
            <w:gridSpan w:val="3"/>
            <w:shd w:val="clear" w:color="auto" w:fill="CCEEFF"/>
          </w:tcPr>
          <w:p>
            <w:pPr>
              <w:jc w:val="right"/>
              <w:ind w:right="23"/>
              <w:spacing w:after="0"/>
              <w:rPr>
                <w:sz w:val="20"/>
                <w:szCs w:val="20"/>
                <w:color w:val="auto"/>
              </w:rPr>
            </w:pPr>
            <w:r>
              <w:rPr>
                <w:rFonts w:ascii="Arial" w:cs="Arial" w:eastAsia="Arial" w:hAnsi="Arial"/>
                <w:sz w:val="16"/>
                <w:szCs w:val="16"/>
                <w:color w:val="auto"/>
              </w:rPr>
              <w:t>56,614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56,618</w:t>
            </w:r>
          </w:p>
        </w:tc>
        <w:tc>
          <w:tcPr>
            <w:tcW w:w="0" w:type="dxa"/>
            <w:vAlign w:val="bottom"/>
          </w:tcPr>
          <w:p>
            <w:pPr>
              <w:spacing w:after="0"/>
              <w:rPr>
                <w:sz w:val="1"/>
                <w:szCs w:val="1"/>
                <w:color w:val="auto"/>
              </w:rPr>
            </w:pPr>
          </w:p>
        </w:tc>
      </w:tr>
      <w:tr>
        <w:trPr>
          <w:trHeight w:val="237"/>
        </w:trPr>
        <w:tc>
          <w:tcPr>
            <w:tcW w:w="2860" w:type="dxa"/>
            <w:vAlign w:val="bottom"/>
          </w:tcPr>
          <w:p>
            <w:pPr>
              <w:ind w:left="40"/>
              <w:spacing w:after="0"/>
              <w:rPr>
                <w:sz w:val="20"/>
                <w:szCs w:val="20"/>
                <w:color w:val="auto"/>
              </w:rPr>
            </w:pPr>
            <w:r>
              <w:rPr>
                <w:rFonts w:ascii="Arial" w:cs="Arial" w:eastAsia="Arial" w:hAnsi="Arial"/>
                <w:sz w:val="16"/>
                <w:szCs w:val="16"/>
                <w:color w:val="auto"/>
              </w:rPr>
              <w:t>Exercise of stock options</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19,739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3"/>
          </w:tcPr>
          <w:p>
            <w:pPr>
              <w:jc w:val="right"/>
              <w:ind w:right="23"/>
              <w:spacing w:after="0"/>
              <w:rPr>
                <w:sz w:val="20"/>
                <w:szCs w:val="20"/>
                <w:color w:val="auto"/>
              </w:rPr>
            </w:pPr>
            <w:r>
              <w:rPr>
                <w:rFonts w:ascii="Arial" w:cs="Arial" w:eastAsia="Arial" w:hAnsi="Arial"/>
                <w:sz w:val="16"/>
                <w:szCs w:val="16"/>
                <w:color w:val="auto"/>
              </w:rPr>
              <w:t>1,207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1,207</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1"/>
              </w:rPr>
              <w:t>Shares issued under dividend reinvestment</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plan</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8,226</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3"/>
            <w:shd w:val="clear" w:color="auto" w:fill="CCEEFF"/>
          </w:tcPr>
          <w:p>
            <w:pPr>
              <w:jc w:val="right"/>
              <w:ind w:right="23"/>
              <w:spacing w:after="0"/>
              <w:rPr>
                <w:sz w:val="20"/>
                <w:szCs w:val="20"/>
                <w:color w:val="auto"/>
              </w:rPr>
            </w:pPr>
            <w:r>
              <w:rPr>
                <w:rFonts w:ascii="Arial" w:cs="Arial" w:eastAsia="Arial" w:hAnsi="Arial"/>
                <w:sz w:val="16"/>
                <w:szCs w:val="16"/>
                <w:color w:val="auto"/>
              </w:rPr>
              <w:t>1,165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1,165</w:t>
            </w:r>
          </w:p>
        </w:tc>
        <w:tc>
          <w:tcPr>
            <w:tcW w:w="0" w:type="dxa"/>
            <w:vAlign w:val="bottom"/>
          </w:tcPr>
          <w:p>
            <w:pPr>
              <w:spacing w:after="0"/>
              <w:rPr>
                <w:sz w:val="1"/>
                <w:szCs w:val="1"/>
                <w:color w:val="auto"/>
              </w:rPr>
            </w:pPr>
          </w:p>
        </w:tc>
      </w:tr>
      <w:tr>
        <w:trPr>
          <w:trHeight w:val="220"/>
        </w:trPr>
        <w:tc>
          <w:tcPr>
            <w:tcW w:w="2860" w:type="dxa"/>
            <w:vAlign w:val="bottom"/>
          </w:tcPr>
          <w:p>
            <w:pPr>
              <w:ind w:left="40"/>
              <w:spacing w:after="0"/>
              <w:rPr>
                <w:sz w:val="20"/>
                <w:szCs w:val="20"/>
                <w:color w:val="auto"/>
              </w:rPr>
            </w:pPr>
            <w:r>
              <w:rPr>
                <w:rFonts w:ascii="Arial" w:cs="Arial" w:eastAsia="Arial" w:hAnsi="Arial"/>
                <w:sz w:val="16"/>
                <w:szCs w:val="16"/>
                <w:color w:val="auto"/>
                <w:w w:val="90"/>
              </w:rPr>
              <w:t>Share-based compensation expense, net of</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60" w:type="dxa"/>
            <w:vAlign w:val="bottom"/>
          </w:tcPr>
          <w:p>
            <w:pPr>
              <w:ind w:left="40"/>
              <w:spacing w:after="0"/>
              <w:rPr>
                <w:sz w:val="20"/>
                <w:szCs w:val="20"/>
                <w:color w:val="auto"/>
              </w:rPr>
            </w:pPr>
            <w:r>
              <w:rPr>
                <w:rFonts w:ascii="Arial" w:cs="Arial" w:eastAsia="Arial" w:hAnsi="Arial"/>
                <w:sz w:val="16"/>
                <w:szCs w:val="16"/>
                <w:color w:val="auto"/>
              </w:rPr>
              <w:t>forfeitures</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55,407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w:t>
            </w:r>
          </w:p>
        </w:tc>
        <w:tc>
          <w:tcPr>
            <w:tcW w:w="1040" w:type="dxa"/>
            <w:vAlign w:val="bottom"/>
            <w:gridSpan w:val="3"/>
          </w:tcPr>
          <w:p>
            <w:pPr>
              <w:jc w:val="right"/>
              <w:ind w:right="23"/>
              <w:spacing w:after="0"/>
              <w:rPr>
                <w:sz w:val="20"/>
                <w:szCs w:val="20"/>
                <w:color w:val="auto"/>
              </w:rPr>
            </w:pPr>
            <w:r>
              <w:rPr>
                <w:rFonts w:ascii="Arial" w:cs="Arial" w:eastAsia="Arial" w:hAnsi="Arial"/>
                <w:sz w:val="16"/>
                <w:szCs w:val="16"/>
                <w:color w:val="auto"/>
              </w:rPr>
              <w:t>6,581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6,582</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 withheld for employee taxes</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(35,163)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(5,082)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(5,082)</w:t>
            </w:r>
          </w:p>
        </w:tc>
        <w:tc>
          <w:tcPr>
            <w:tcW w:w="0" w:type="dxa"/>
            <w:vAlign w:val="bottom"/>
          </w:tcPr>
          <w:p>
            <w:pPr>
              <w:spacing w:after="0"/>
              <w:rPr>
                <w:sz w:val="1"/>
                <w:szCs w:val="1"/>
                <w:color w:val="auto"/>
              </w:rPr>
            </w:pPr>
          </w:p>
        </w:tc>
      </w:tr>
      <w:tr>
        <w:trPr>
          <w:trHeight w:val="237"/>
        </w:trPr>
        <w:tc>
          <w:tcPr>
            <w:tcW w:w="2860" w:type="dxa"/>
            <w:vAlign w:val="bottom"/>
          </w:tcPr>
          <w:p>
            <w:pPr>
              <w:ind w:left="40"/>
              <w:spacing w:after="0"/>
              <w:rPr>
                <w:sz w:val="20"/>
                <w:szCs w:val="20"/>
                <w:color w:val="auto"/>
              </w:rPr>
            </w:pPr>
            <w:r>
              <w:rPr>
                <w:rFonts w:ascii="Arial" w:cs="Arial" w:eastAsia="Arial" w:hAnsi="Arial"/>
                <w:sz w:val="16"/>
                <w:szCs w:val="16"/>
                <w:color w:val="auto"/>
                <w:w w:val="99"/>
              </w:rPr>
              <w:t>Conversion and redemption of OP units</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39,611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3"/>
          </w:tcPr>
          <w:p>
            <w:pPr>
              <w:jc w:val="right"/>
              <w:ind w:right="23"/>
              <w:spacing w:after="0"/>
              <w:rPr>
                <w:sz w:val="20"/>
                <w:szCs w:val="20"/>
                <w:color w:val="auto"/>
              </w:rPr>
            </w:pPr>
            <w:r>
              <w:rPr>
                <w:rFonts w:ascii="Arial" w:cs="Arial" w:eastAsia="Arial" w:hAnsi="Arial"/>
                <w:sz w:val="16"/>
                <w:szCs w:val="16"/>
                <w:color w:val="auto"/>
              </w:rPr>
              <w:t>4,072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(4,223)</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Contributions from noncontrolling</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interests</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22,347</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22,347</w:t>
            </w:r>
          </w:p>
        </w:tc>
        <w:tc>
          <w:tcPr>
            <w:tcW w:w="0" w:type="dxa"/>
            <w:vAlign w:val="bottom"/>
          </w:tcPr>
          <w:p>
            <w:pPr>
              <w:spacing w:after="0"/>
              <w:rPr>
                <w:sz w:val="1"/>
                <w:szCs w:val="1"/>
                <w:color w:val="auto"/>
              </w:rPr>
            </w:pPr>
          </w:p>
        </w:tc>
      </w:tr>
      <w:tr>
        <w:trPr>
          <w:trHeight w:val="220"/>
        </w:trPr>
        <w:tc>
          <w:tcPr>
            <w:tcW w:w="2860" w:type="dxa"/>
            <w:vAlign w:val="bottom"/>
          </w:tcPr>
          <w:p>
            <w:pPr>
              <w:ind w:left="40"/>
              <w:spacing w:after="0"/>
              <w:rPr>
                <w:sz w:val="20"/>
                <w:szCs w:val="20"/>
                <w:color w:val="auto"/>
              </w:rPr>
            </w:pPr>
            <w:r>
              <w:rPr>
                <w:rFonts w:ascii="Arial" w:cs="Arial" w:eastAsia="Arial" w:hAnsi="Arial"/>
                <w:sz w:val="16"/>
                <w:szCs w:val="16"/>
                <w:color w:val="auto"/>
                <w:w w:val="96"/>
              </w:rPr>
              <w:t>Adjustment to redeemable noncontrolling</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60" w:type="dxa"/>
            <w:vAlign w:val="bottom"/>
          </w:tcPr>
          <w:p>
            <w:pPr>
              <w:ind w:left="40"/>
              <w:spacing w:after="0"/>
              <w:rPr>
                <w:sz w:val="20"/>
                <w:szCs w:val="20"/>
                <w:color w:val="auto"/>
              </w:rPr>
            </w:pPr>
            <w:r>
              <w:rPr>
                <w:rFonts w:ascii="Arial" w:cs="Arial" w:eastAsia="Arial" w:hAnsi="Arial"/>
                <w:sz w:val="16"/>
                <w:szCs w:val="16"/>
                <w:color w:val="auto"/>
              </w:rPr>
              <w:t>interests</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3"/>
          </w:tcPr>
          <w:p>
            <w:pPr>
              <w:jc w:val="right"/>
              <w:spacing w:after="0"/>
              <w:rPr>
                <w:sz w:val="20"/>
                <w:szCs w:val="20"/>
                <w:color w:val="auto"/>
              </w:rPr>
            </w:pPr>
            <w:r>
              <w:rPr>
                <w:rFonts w:ascii="Arial" w:cs="Arial" w:eastAsia="Arial" w:hAnsi="Arial"/>
                <w:sz w:val="16"/>
                <w:szCs w:val="16"/>
                <w:color w:val="auto"/>
              </w:rPr>
              <w:t>(1,749)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(1,749)</w:t>
            </w:r>
          </w:p>
        </w:tc>
        <w:tc>
          <w:tcPr>
            <w:tcW w:w="0" w:type="dxa"/>
            <w:vAlign w:val="bottom"/>
          </w:tcPr>
          <w:p>
            <w:pPr>
              <w:spacing w:after="0"/>
              <w:rPr>
                <w:sz w:val="1"/>
                <w:szCs w:val="1"/>
                <w:color w:val="auto"/>
              </w:rPr>
            </w:pPr>
          </w:p>
        </w:tc>
      </w:tr>
      <w:tr>
        <w:trPr>
          <w:trHeight w:val="33"/>
        </w:trPr>
        <w:tc>
          <w:tcPr>
            <w:tcW w:w="28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JUNE 30, 2015</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399,896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9,997</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2"/>
              </w:rPr>
              <w:t>69,120,797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692</w:t>
            </w:r>
          </w:p>
        </w:tc>
        <w:tc>
          <w:tcPr>
            <w:tcW w:w="1040" w:type="dxa"/>
            <w:vAlign w:val="bottom"/>
            <w:tcBorders>
              <w:bottom w:val="single" w:sz="8" w:color="CCEEFF"/>
            </w:tcBorders>
            <w:gridSpan w:val="3"/>
            <w:shd w:val="clear" w:color="auto" w:fill="CCEEFF"/>
          </w:tcPr>
          <w:p>
            <w:pPr>
              <w:jc w:val="right"/>
              <w:ind w:right="23"/>
              <w:spacing w:after="0"/>
              <w:rPr>
                <w:sz w:val="20"/>
                <w:szCs w:val="20"/>
                <w:color w:val="auto"/>
              </w:rPr>
            </w:pPr>
            <w:r>
              <w:rPr>
                <w:rFonts w:ascii="Arial" w:cs="Arial" w:eastAsia="Arial" w:hAnsi="Arial"/>
                <w:sz w:val="16"/>
                <w:szCs w:val="16"/>
                <w:color w:val="auto"/>
              </w:rPr>
              <w:t>$2,344,031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(714,239)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105,994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$ 1,741,566</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The accompanying notes are an integral part of these consolidated statements.</w:t>
      </w:r>
    </w:p>
    <w:p>
      <w:pPr>
        <w:spacing w:after="0" w:line="2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20"/>
          </w:cols>
          <w:pgMar w:left="240" w:top="126"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8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r>
      <w:tr>
        <w:trPr>
          <w:trHeight w:val="190"/>
        </w:trPr>
        <w:tc>
          <w:tcPr>
            <w:tcW w:w="8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6"/>
                <w:szCs w:val="16"/>
                <w:color w:val="auto"/>
              </w:rPr>
            </w:pPr>
          </w:p>
        </w:tc>
      </w:tr>
      <w:tr>
        <w:trPr>
          <w:trHeight w:val="255"/>
        </w:trPr>
        <w:tc>
          <w:tcPr>
            <w:tcW w:w="8580" w:type="dxa"/>
            <w:vAlign w:val="bottom"/>
          </w:tcPr>
          <w:p>
            <w:pPr>
              <w:ind w:left="4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93,876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85,961</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84,655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84,743</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Gain on sale of real estate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(11,509)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Early extinguishment of debt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19,072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Income from real estate partnerships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(463)</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2,348</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Changes in assets and liabilities, net of effects of acquisitions and dispositions: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Increase in accounts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(10,839)</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Decrease in prepaid expenses and other assets</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3,724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8,175</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(Decrease) increase in accounts payable and accrued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(12,620)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967</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Increase in security deposits and other liabilities</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3,016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1,177</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173,648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172,069</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of real estate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(108,919)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(4,352)</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Capital expenditures - development and redevelopment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(124,916)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(154,732)</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expenditures - other</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(20,745)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(20,280)</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Proceeds from sale of real estate</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45,821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 in real estate partnership</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(3,581)</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Distribution from real estate partnership in excess of earnings</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301</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Leasing costs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(8,118)</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Repayment of mortgage and other notes receivable, net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602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640</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(216,351)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(190,122)</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borrowings under revolving credit facility, net of costs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106,500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Issuance of senior notes, net of costs</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208,644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Redemption and retirement of senior notes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(219,228)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Repayment of mortgages, capital leases and notes and other payables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(13,337)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(26,097)</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Issuance of common shares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58,007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103,931</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Dividends paid to common and preferred shareholders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(118,721)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(103,856)</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Distributions to and redemptions of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(4,938)</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(3,540)</w:t>
            </w: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Net cash provided by (used in) financing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16,927</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(29,562)</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(25,776)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(47,615)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47,951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88,927</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22,175</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41,312</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6" w:right="2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2015</w:t>
      </w:r>
    </w:p>
    <w:p>
      <w:pPr>
        <w:spacing w:after="0" w:line="36"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1—BUSINESS AND ORGANIZATION</w:t>
      </w:r>
    </w:p>
    <w:p>
      <w:pPr>
        <w:spacing w:after="0" w:line="9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Federal Realty Investment Trust (the “Trust”) is an equity real estate investment trust (“REIT”) specializing in the ownership, management, and redevelopment of retail and mixed-use properties. Our properties are located primarily in densely populated and affluent communities in strategically selected metropolitan markets in the Mid-Atlantic and Northeast regions of the United States, and California. As of June 30, 2015, we owned or had a majority interest in community and neighborhood shopping centers and mixed-use properties which are operated as 90 predominantly retail real estate projects.</w:t>
      </w:r>
    </w:p>
    <w:p>
      <w:pPr>
        <w:spacing w:after="0" w:line="10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operate in a manner intended to enable us to qualify as a REIT for federal income tax purposes. A REIT that distributes at least 90% of its taxable income to its shareholders each year and meets certain other conditions is not taxed on that portion of its taxable income which is distributed to its shareholders. Therefore, federal income taxes on our taxable income have been and are generally expected to be immaterial. We are obligated to pay state taxes, generally consisting of franchise or gross receipts taxes in certain states. Such state taxes also have not been material.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94"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Our consolidated financial statements include the accounts of the Trust, its corporate subsidiaries, and all entities in which the Trust has a controlling interest or has been determined to be the primary beneficiary of a variable interest entity (“VIE”). The equity interests of other investors are reflected as noncontrolling interests or redeemable noncontrolling interests. All significant intercompany transactions and balances are eliminated in consolidation. We account for our interests in joint ventures, which we do not control, using the equity method of accounting.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9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current and expected events and economic conditions. Actual results could differ from these estimates.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February 2015, the FASB issued ASU 2015-02, "Amendments to the Consolidation Analysis." ASU 2015-02 modifies the evaluation of whether limited partnerships and similar legal entities are variable or voting interest entities, eliminates the presumption that the general partner should consolidate a limited partnership, modifies the consolidation analysis for reporting entities that are involved in variable interest entities, particularly those that have fee arrangements and related party relationships, and provides a scope exception from consolidation guidance for reporting entities with interests in legal entities that operate as registered money market funds. ASU 2015-02 is effective for us in the first quarter of 2016, and we are currently assessing the impact on our consolidated financial statements.</w:t>
      </w:r>
    </w:p>
    <w:p>
      <w:pPr>
        <w:spacing w:after="0" w:line="5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April 2015, the FASB issued ASU 2015-03, "Simplifying the Presentation of Debt Issuance Costs." ASU 2015-03 requires debt issuance costs related to a debt liability be presented in the balance sheet as a direct deduction from the carrying amount of the debt liability, rather than classified as an asset. Recognition and measurement of debt issuance costs are not affected. ASU 2015-03 is effective for us in the first quarter of 2016 and is not expected to have a significant impact on our consolidated financial statements.</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6" w:right="23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Flows—Supplemental Disclosures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supplemental disclosures related to the Consolidated Statements of Cash Flows:</w:t>
      </w:r>
    </w:p>
    <w:p>
      <w:pPr>
        <w:spacing w:after="0" w:line="200" w:lineRule="exact"/>
        <w:rPr>
          <w:sz w:val="20"/>
          <w:szCs w:val="20"/>
          <w:color w:val="auto"/>
        </w:rPr>
      </w:pPr>
    </w:p>
    <w:p>
      <w:pPr>
        <w:spacing w:after="0" w:line="219"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Six Months Ended</w:t>
      </w:r>
    </w:p>
    <w:p>
      <w:pPr>
        <w:spacing w:after="0" w:line="42"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23495</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5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8560" w:type="dxa"/>
            <w:vAlign w:val="bottom"/>
          </w:tcPr>
          <w:p>
            <w:pPr>
              <w:ind w:left="20"/>
              <w:spacing w:after="0"/>
              <w:rPr>
                <w:sz w:val="20"/>
                <w:szCs w:val="20"/>
                <w:color w:val="auto"/>
              </w:rPr>
            </w:pPr>
            <w:r>
              <w:rPr>
                <w:rFonts w:ascii="Arial" w:cs="Arial" w:eastAsia="Arial" w:hAnsi="Arial"/>
                <w:sz w:val="18"/>
                <w:szCs w:val="18"/>
                <w:color w:val="auto"/>
              </w:rPr>
              <w:t>SUPPLEMENTAL DISCLOSURES:</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interest costs incurred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57,156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57,364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60" w:type="dxa"/>
            <w:vAlign w:val="bottom"/>
          </w:tcPr>
          <w:p>
            <w:pPr>
              <w:ind w:left="360"/>
              <w:spacing w:after="0"/>
              <w:rPr>
                <w:sz w:val="20"/>
                <w:szCs w:val="20"/>
                <w:color w:val="auto"/>
              </w:rPr>
            </w:pPr>
            <w:r>
              <w:rPr>
                <w:rFonts w:ascii="Arial" w:cs="Arial" w:eastAsia="Arial" w:hAnsi="Arial"/>
                <w:sz w:val="18"/>
                <w:szCs w:val="18"/>
                <w:color w:val="auto"/>
              </w:rPr>
              <w:t>Interest capitalized</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(9,543)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2"/>
                <w:szCs w:val="22"/>
                <w:color w:val="auto"/>
              </w:rPr>
            </w:pPr>
          </w:p>
        </w:tc>
        <w:tc>
          <w:tcPr>
            <w:tcW w:w="85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47,613</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46,350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Cash paid for interest, net of amounts capitalized (1)</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8560" w:type="dxa"/>
            <w:vAlign w:val="bottom"/>
            <w:vMerge w:val="continue"/>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71,832</w:t>
            </w:r>
          </w:p>
        </w:tc>
        <w:tc>
          <w:tcPr>
            <w:tcW w:w="12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40,885</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56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1"/>
                <w:szCs w:val="21"/>
                <w:color w:val="auto"/>
              </w:rPr>
            </w:pPr>
          </w:p>
        </w:tc>
        <w:tc>
          <w:tcPr>
            <w:tcW w:w="8560" w:type="dxa"/>
            <w:vAlign w:val="bottom"/>
            <w:tcBorders>
              <w:bottom w:val="single" w:sz="8" w:color="CCEEFF"/>
            </w:tcBorders>
            <w:shd w:val="clear" w:color="auto" w:fill="CCEEFF"/>
          </w:tcPr>
          <w:p>
            <w:pPr>
              <w:ind w:left="360"/>
              <w:spacing w:after="0" w:line="196" w:lineRule="exact"/>
              <w:rPr>
                <w:sz w:val="20"/>
                <w:szCs w:val="20"/>
                <w:color w:val="auto"/>
              </w:rPr>
            </w:pPr>
            <w:r>
              <w:rPr>
                <w:rFonts w:ascii="Arial" w:cs="Arial" w:eastAsia="Arial" w:hAnsi="Arial"/>
                <w:sz w:val="18"/>
                <w:szCs w:val="18"/>
                <w:color w:val="auto"/>
              </w:rPr>
              <w:t>Cash paid for income taxes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NON-CASH INVESTING AND FINANCING TRANSACTIONS: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5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Mortgage loans assumed with acquisition</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18,666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68,282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60" w:type="dxa"/>
            <w:vAlign w:val="bottom"/>
          </w:tcPr>
          <w:p>
            <w:pPr>
              <w:ind w:left="360"/>
              <w:spacing w:after="0"/>
              <w:rPr>
                <w:sz w:val="20"/>
                <w:szCs w:val="20"/>
                <w:color w:val="auto"/>
              </w:rPr>
            </w:pPr>
            <w:r>
              <w:rPr>
                <w:rFonts w:ascii="Arial" w:cs="Arial" w:eastAsia="Arial" w:hAnsi="Arial"/>
                <w:sz w:val="18"/>
                <w:szCs w:val="18"/>
                <w:color w:val="auto"/>
              </w:rPr>
              <w:t>DownREIT operating partnership units issued with acquisition</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7,742</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65,348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Mortgage loan refinanced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60" w:type="dxa"/>
            <w:vAlign w:val="bottom"/>
          </w:tcPr>
          <w:p>
            <w:pPr>
              <w:ind w:left="360"/>
              <w:spacing w:after="0"/>
              <w:rPr>
                <w:sz w:val="20"/>
                <w:szCs w:val="20"/>
                <w:color w:val="auto"/>
              </w:rPr>
            </w:pPr>
            <w:r>
              <w:rPr>
                <w:rFonts w:ascii="Arial" w:cs="Arial" w:eastAsia="Arial" w:hAnsi="Arial"/>
                <w:sz w:val="18"/>
                <w:szCs w:val="18"/>
                <w:color w:val="auto"/>
              </w:rPr>
              <w:t>Repayment of note payable with public funding/related construction-in-progress offset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8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Shares issued under dividend reinvestment plan</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983</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 2015 includes $19.2 million related to early extinguishment of debt.</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8580" w:type="dxa"/>
            <w:vAlign w:val="bottom"/>
            <w:gridSpan w:val="2"/>
          </w:tcPr>
          <w:p>
            <w:pPr>
              <w:spacing w:after="0"/>
              <w:rPr>
                <w:sz w:val="20"/>
                <w:szCs w:val="20"/>
                <w:color w:val="auto"/>
              </w:rPr>
            </w:pPr>
            <w:r>
              <w:rPr>
                <w:rFonts w:ascii="Arial" w:cs="Arial" w:eastAsia="Arial" w:hAnsi="Arial"/>
                <w:sz w:val="18"/>
                <w:szCs w:val="18"/>
                <w:color w:val="auto"/>
              </w:rPr>
              <w:t>See Note 3 for additional disclosures relating to the San Antonio Center acquisition.</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3—REAL ESTATE</w:t>
      </w:r>
    </w:p>
    <w:p>
      <w:pPr>
        <w:spacing w:after="0" w:line="9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January 2015, we acquired a controlling interest in San Antonio Center, a 376,000 square foot shopping center in Mountain View, California based on a total value of $62.2 million. Our effective interest approximates 80% and was funded by the assumption of our share of $18.7 million of mortgage debt, 58,000 downREIT operating partnership units, and $27 million of cash. A portion of the land is controlled under a long-term ground lease. Approximately $8.1 million of assets acquired were allocated to lease intangibles and included within other assets. Approximately $19.1 million was allocated to lease intangibles primarily related to "below market leases," and is included within other liabilities. Additionally, $16.3 million was allocated to noncontrolling interests. We incurred $1.8 million of acquisition costs, of which $1.1 million were incurred in 2015 and included in "general and administrative expense" for the six months ended June 30, 2015.</w:t>
      </w:r>
    </w:p>
    <w:p>
      <w:pPr>
        <w:spacing w:after="0" w:line="54" w:lineRule="exact"/>
        <w:rPr>
          <w:sz w:val="20"/>
          <w:szCs w:val="20"/>
          <w:color w:val="auto"/>
        </w:rPr>
      </w:pPr>
    </w:p>
    <w:p>
      <w:pPr>
        <w:ind w:right="780"/>
        <w:spacing w:after="0" w:line="264" w:lineRule="auto"/>
        <w:rPr>
          <w:sz w:val="20"/>
          <w:szCs w:val="20"/>
          <w:color w:val="auto"/>
        </w:rPr>
      </w:pPr>
      <w:r>
        <w:rPr>
          <w:rFonts w:ascii="Arial" w:cs="Arial" w:eastAsia="Arial" w:hAnsi="Arial"/>
          <w:sz w:val="18"/>
          <w:szCs w:val="18"/>
          <w:color w:val="auto"/>
        </w:rPr>
        <w:t>On February 25, 2015, we acquired the interest of one of the noncontrolling interest holders in The Grove at Shrewsbury for $8.8 million. As this noncontrolling interest was mandatorily redeemable, it was classified as a liability and was included in "other liabilities and deferred credits" on the accompanying December 31, 2014 consolidated balance sheet.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On April 24, 2015, we sold our Houston Street property in San Antonio, Texas for a sales price of $46.1 million, resulting in a gain of $11.5 million.</w:t>
      </w:r>
    </w:p>
    <w:p>
      <w:pPr>
        <w:spacing w:after="0" w:line="10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May 4, 2015, we acquired CocoWalk, a 198,000 square foot retail property located in the Coconut Grove neighborhood of Miami, Florida for $87.5 million. The acquisition was completed through a newly formed entity ("CocoWalk LLC") for which we own a preferred interest and an 80% common interest. Net assets acquired were preliminarily allocated to operating real estate and other assets for "above market leases," and other liabilities for "below market leases." Additionally, approximately $6 million was preliminarily allocated to noncontrolling interests. The purchase price allocation will be finalized after our valuation studies are complete. We incurred approximately $0.7 million in acquisition costs which are included in "general and administrative expenses" for the six months ended June 30, 2015. CocoWalk LLC is a variable interest entity for which we are the primary beneficiary, and consequently, the entity is consolidated in our financial statements effective May 4, 2015. As of June 30, 2015 net real estate assets related to CocoWalk LLC included in our consolidated balance sheet are $87.4 million.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4—REAL ESTATE PARTNERSHIPS</w:t>
      </w:r>
    </w:p>
    <w:p>
      <w:pPr>
        <w:spacing w:after="0" w:line="9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a joint venture arrangement (the “Partnership”) with affiliates of a discretionary fund created and advised by ING Clarion Partners (“Clarion”). We own 30% of the equity in the Partnership and Clarion owns 70%. We hold a general partnership interest, however, Clarion also holds a general partnership interest and has substantive participating rights. We cannot make significant decisions without Clarion’s approval. Accordingly, we account for our interest in the Partnership using</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6" w:right="2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29"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the equity method. As of June 30, 2015, the Partnership owned six retail real estate properties. We are the manager of the Partnership and its properties, earning fees for acquisitions, dispositions, management, leasing, and financing. Intercompany profit generated from fees is eliminated in consolidation. We also have the opportunity to receive performance-based earnings through our Partnership interest. Accounting policies for the Partnership are similar to accounting policies followed by the Trust. The Partnership is subject to a buy-sell provision which is customary for real estate joint venture agreements and the industry. Either partner may initiate this provision at any time, which could result in either the sale of our interest or the use of available cash or borrowings to acquire Clarion’s interest.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summarized operating results and the financial position of the Partnership:</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2340" w:type="dxa"/>
            <w:vAlign w:val="bottom"/>
            <w:gridSpan w:val="4"/>
          </w:tcPr>
          <w:p>
            <w:pPr>
              <w:jc w:val="right"/>
              <w:ind w:right="154"/>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40" w:type="dxa"/>
            <w:vAlign w:val="bottom"/>
            <w:gridSpan w:val="4"/>
          </w:tcPr>
          <w:p>
            <w:pPr>
              <w:jc w:val="center"/>
              <w:ind w:right="293"/>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276"/>
        </w:trPr>
        <w:tc>
          <w:tcPr>
            <w:tcW w:w="56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ind w:right="554"/>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center"/>
              <w:ind w:left="675"/>
              <w:spacing w:after="0"/>
              <w:rPr>
                <w:sz w:val="20"/>
                <w:szCs w:val="20"/>
                <w:color w:val="auto"/>
              </w:rPr>
            </w:pPr>
            <w:r>
              <w:rPr>
                <w:rFonts w:ascii="Arial" w:cs="Arial" w:eastAsia="Arial" w:hAnsi="Arial"/>
                <w:sz w:val="14"/>
                <w:szCs w:val="14"/>
                <w:b w:val="1"/>
                <w:bCs w:val="1"/>
                <w:color w:val="auto"/>
                <w:w w:val="92"/>
              </w:rPr>
              <w:t>June 30,</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RESULTS</w:t>
            </w:r>
          </w:p>
        </w:tc>
        <w:tc>
          <w:tcPr>
            <w:tcW w:w="8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Revenue</w:t>
            </w:r>
          </w:p>
        </w:tc>
        <w:tc>
          <w:tcPr>
            <w:tcW w:w="860" w:type="dxa"/>
            <w:vAlign w:val="bottom"/>
          </w:tcPr>
          <w:p>
            <w:pPr>
              <w:jc w:val="right"/>
              <w:ind w:right="677"/>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2"/>
              <w:spacing w:after="0"/>
              <w:rPr>
                <w:sz w:val="20"/>
                <w:szCs w:val="20"/>
                <w:color w:val="auto"/>
              </w:rPr>
            </w:pPr>
            <w:r>
              <w:rPr>
                <w:rFonts w:ascii="Arial" w:cs="Arial" w:eastAsia="Arial" w:hAnsi="Arial"/>
                <w:sz w:val="18"/>
                <w:szCs w:val="18"/>
                <w:color w:val="auto"/>
                <w:w w:val="88"/>
              </w:rPr>
              <w:t>4,273</w:t>
            </w:r>
          </w:p>
        </w:tc>
        <w:tc>
          <w:tcPr>
            <w:tcW w:w="120" w:type="dxa"/>
            <w:vAlign w:val="bottom"/>
          </w:tcPr>
          <w:p>
            <w:pPr>
              <w:spacing w:after="0"/>
              <w:rPr>
                <w:sz w:val="21"/>
                <w:szCs w:val="21"/>
                <w:color w:val="auto"/>
              </w:rPr>
            </w:pPr>
          </w:p>
        </w:tc>
        <w:tc>
          <w:tcPr>
            <w:tcW w:w="840" w:type="dxa"/>
            <w:vAlign w:val="bottom"/>
          </w:tcPr>
          <w:p>
            <w:pPr>
              <w:jc w:val="right"/>
              <w:ind w:right="654"/>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32"/>
              <w:spacing w:after="0"/>
              <w:rPr>
                <w:sz w:val="20"/>
                <w:szCs w:val="20"/>
                <w:color w:val="auto"/>
              </w:rPr>
            </w:pPr>
            <w:r>
              <w:rPr>
                <w:rFonts w:ascii="Arial" w:cs="Arial" w:eastAsia="Arial" w:hAnsi="Arial"/>
                <w:sz w:val="18"/>
                <w:szCs w:val="18"/>
                <w:color w:val="auto"/>
                <w:w w:val="84"/>
              </w:rPr>
              <w:t>4,469</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9,017</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9,487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Other operating expenses</w:t>
            </w:r>
          </w:p>
        </w:tc>
        <w:tc>
          <w:tcPr>
            <w:tcW w:w="860" w:type="dxa"/>
            <w:vAlign w:val="bottom"/>
          </w:tcPr>
          <w:p>
            <w:pPr>
              <w:spacing w:after="0"/>
              <w:rPr>
                <w:sz w:val="21"/>
                <w:szCs w:val="21"/>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w w:val="88"/>
              </w:rPr>
              <w:t>1,242</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32"/>
              <w:spacing w:after="0"/>
              <w:rPr>
                <w:sz w:val="20"/>
                <w:szCs w:val="20"/>
                <w:color w:val="auto"/>
              </w:rPr>
            </w:pPr>
            <w:r>
              <w:rPr>
                <w:rFonts w:ascii="Arial" w:cs="Arial" w:eastAsia="Arial" w:hAnsi="Arial"/>
                <w:sz w:val="18"/>
                <w:szCs w:val="18"/>
                <w:color w:val="auto"/>
                <w:w w:val="84"/>
              </w:rPr>
              <w:t>1,390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3,371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8"/>
              </w:rPr>
              <w:t>1,237</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84"/>
              </w:rPr>
              <w:t>1,590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3,077</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860" w:type="dxa"/>
            <w:vAlign w:val="bottom"/>
          </w:tcPr>
          <w:p>
            <w:pPr>
              <w:spacing w:after="0"/>
              <w:rPr>
                <w:sz w:val="21"/>
                <w:szCs w:val="21"/>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32"/>
              <w:spacing w:after="0"/>
              <w:rPr>
                <w:sz w:val="20"/>
                <w:szCs w:val="20"/>
                <w:color w:val="auto"/>
              </w:rPr>
            </w:pPr>
            <w:r>
              <w:rPr>
                <w:rFonts w:ascii="Arial" w:cs="Arial" w:eastAsia="Arial" w:hAnsi="Arial"/>
                <w:sz w:val="18"/>
                <w:szCs w:val="18"/>
                <w:color w:val="auto"/>
              </w:rPr>
              <w:t>781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1,036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1,620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expenses</w:t>
            </w:r>
          </w:p>
        </w:tc>
        <w:tc>
          <w:tcPr>
            <w:tcW w:w="8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8"/>
              </w:rPr>
              <w:t>2,996</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84"/>
              </w:rPr>
              <w:t>3,761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6,866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8,197</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860" w:type="dxa"/>
            <w:vAlign w:val="bottom"/>
            <w:tcBorders>
              <w:top w:val="single" w:sz="8" w:color="auto"/>
            </w:tcBorders>
          </w:tcPr>
          <w:p>
            <w:pPr>
              <w:jc w:val="right"/>
              <w:ind w:right="677"/>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88"/>
              </w:rPr>
              <w:t>1,277</w:t>
            </w:r>
          </w:p>
        </w:tc>
        <w:tc>
          <w:tcPr>
            <w:tcW w:w="120" w:type="dxa"/>
            <w:vAlign w:val="bottom"/>
          </w:tcPr>
          <w:p>
            <w:pPr>
              <w:spacing w:after="0"/>
              <w:rPr>
                <w:sz w:val="20"/>
                <w:szCs w:val="20"/>
                <w:color w:val="auto"/>
              </w:rPr>
            </w:pPr>
          </w:p>
        </w:tc>
        <w:tc>
          <w:tcPr>
            <w:tcW w:w="8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2,151</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Our share of net income from real estate partnership</w:t>
            </w:r>
          </w:p>
        </w:tc>
        <w:tc>
          <w:tcPr>
            <w:tcW w:w="860" w:type="dxa"/>
            <w:vAlign w:val="bottom"/>
            <w:tcBorders>
              <w:bottom w:val="single" w:sz="8" w:color="CCEEFF"/>
            </w:tcBorders>
            <w:shd w:val="clear" w:color="auto" w:fill="CCEEFF"/>
          </w:tcPr>
          <w:p>
            <w:pPr>
              <w:jc w:val="right"/>
              <w:ind w:right="677"/>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423</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54"/>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0"/>
        </w:trPr>
        <w:tc>
          <w:tcPr>
            <w:tcW w:w="5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24"/>
                <w:szCs w:val="24"/>
                <w:color w:val="auto"/>
              </w:rPr>
            </w:pPr>
          </w:p>
        </w:tc>
        <w:tc>
          <w:tcPr>
            <w:tcW w:w="1120" w:type="dxa"/>
            <w:vAlign w:val="bottom"/>
          </w:tcPr>
          <w:p>
            <w:pPr>
              <w:jc w:val="right"/>
              <w:ind w:right="173"/>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76"/>
        </w:trPr>
        <w:tc>
          <w:tcPr>
            <w:tcW w:w="5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40" w:type="dxa"/>
            <w:vAlign w:val="bottom"/>
            <w:gridSpan w:val="4"/>
          </w:tcPr>
          <w:p>
            <w:pPr>
              <w:jc w:val="center"/>
              <w:ind w:right="293"/>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SHEETS</w:t>
            </w:r>
          </w:p>
        </w:tc>
        <w:tc>
          <w:tcPr>
            <w:tcW w:w="8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Real estate, net</w:t>
            </w: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147,514</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149,203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2,864</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5,709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5,346</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8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157,724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157,413</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Mortgages payable</w:t>
            </w:r>
          </w:p>
        </w:tc>
        <w:tc>
          <w:tcPr>
            <w:tcW w:w="8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vMerge w:val="continue"/>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34,385</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34,385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3,673</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Partners’ capital</w:t>
            </w: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120,138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119,355</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 and partners’ capital</w:t>
            </w:r>
          </w:p>
        </w:tc>
        <w:tc>
          <w:tcPr>
            <w:tcW w:w="8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157,724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157,413</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Our share of unconsolidated debt</w:t>
            </w:r>
          </w:p>
        </w:tc>
        <w:tc>
          <w:tcPr>
            <w:tcW w:w="8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vMerge w:val="continue"/>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10,316</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10,316</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860" w:type="dxa"/>
            <w:vAlign w:val="bottom"/>
            <w:tcBorders>
              <w:bottom w:val="single" w:sz="8" w:color="CCEEFF"/>
            </w:tcBorders>
          </w:tcPr>
          <w:p>
            <w:pPr>
              <w:spacing w:after="0"/>
              <w:rPr>
                <w:sz w:val="5"/>
                <w:szCs w:val="5"/>
                <w:color w:val="auto"/>
              </w:rPr>
            </w:pPr>
          </w:p>
        </w:tc>
        <w:tc>
          <w:tcPr>
            <w:tcW w:w="5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40" w:type="dxa"/>
            <w:vAlign w:val="bottom"/>
            <w:tcBorders>
              <w:bottom w:val="single" w:sz="8" w:color="CCEEFF"/>
            </w:tcBorders>
          </w:tcPr>
          <w:p>
            <w:pPr>
              <w:spacing w:after="0"/>
              <w:rPr>
                <w:sz w:val="5"/>
                <w:szCs w:val="5"/>
                <w:color w:val="auto"/>
              </w:rPr>
            </w:pPr>
          </w:p>
        </w:tc>
        <w:tc>
          <w:tcPr>
            <w:tcW w:w="5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Our investment in real estate partnership</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32,535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32,367</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5—DEBT</w:t>
      </w:r>
    </w:p>
    <w:p>
      <w:pPr>
        <w:spacing w:after="0" w:line="9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connection with the acquisition of San Antonio Center in January 2015, we assumed a mortgage loan with a face amount of $18.7 million and a fair value of $19.3 million. The mortgage loan bears interest at 5.27% and matures on January 1, 2016.</w:t>
      </w:r>
    </w:p>
    <w:p>
      <w:pPr>
        <w:spacing w:after="0" w:line="3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On March 16, 2015, we issued $200.0 million aggregate principal amount of 4.50% senior unsecured notes due December 1, 2044. The notes were offered at 105.38% of the principal amount with a yield to maturity of 4.18%. The notes have the same terms and are of the same series as the $250.0 million senior notes issued on November 14, 2014. Our net proceeds from the March note offering after issuance premium, underwriting fees and other costs were $208.6 million. The proceeds were used on April 11, 2015 to repay our $200.0 million 6.20% notes prior to the original maturity date of January 15, 2017. The redemption price of $222.2 million included a make-whole premium of $19.2 million and accrued but unpaid interest of $3.0 million. The make-whole premium is included in "early extinguishment of debt" in the three and six months ended June 30, 2015.</w:t>
      </w:r>
    </w:p>
    <w:p>
      <w:pPr>
        <w:spacing w:after="0" w:line="16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During 2015 the maximum amount of borrowings outstanding under our $600.0 million revolving credit facility was $173.5 million and the weighted average interest rate, before amortization of debt fees, was 1.1%. During the three and six months ended June 30, 2015, the weighted average borrowings outstanding were $118.5 million and $79.3 million, respectively. At</w:t>
      </w:r>
    </w:p>
    <w:p>
      <w:pPr>
        <w:sectPr>
          <w:pgSz w:w="11900" w:h="16838" w:orient="portrait"/>
          <w:cols w:equalWidth="0" w:num="1">
            <w:col w:w="11420"/>
          </w:cols>
          <w:pgMar w:left="240" w:top="126"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6" w:right="2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6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June 30, 2015, the outstanding balance was $106.5 million. Our revolving credit facility, term loan and certain notes require us to comply with various financial covenants, including the maintenance of minimum shareholders’ equity and debt coverage ratios and a maximum ratio of debt to net worth. As of June 30, 2015, we were in compliance with all debt covenants.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6—FAIR VALUE OF FINANCIAL INSTRUMENTS</w:t>
      </w:r>
    </w:p>
    <w:p>
      <w:pPr>
        <w:spacing w:after="0" w:line="9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Except as disclosed below, the carrying amount of our financial instruments approximates their fair value. The fair value of our mortgages payable, notes payable and senior notes and debentures is sensitive to fluctuations in interest rates. Quoted market prices (Level 1) were used to estimate the fair value of our marketable senior notes and debentures and discounted cash flow analysis (Level 2) is generally used to estimate the fair value of our mortgages and notes payable. Considerable judgment is necessary to estimate the fair value of financial instruments. The estimates of fair value presented herein are not necessarily indicative of the amounts that could be realized upon disposition of the financial instruments. A summary of the carrying amount and fair value of our mortgages payable, notes payable and senior notes and debentures is as follows: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919"/>
              <w:spacing w:after="0"/>
              <w:rPr>
                <w:sz w:val="20"/>
                <w:szCs w:val="20"/>
                <w:color w:val="auto"/>
              </w:rPr>
            </w:pPr>
            <w:r>
              <w:rPr>
                <w:rFonts w:ascii="Arial" w:cs="Arial" w:eastAsia="Arial" w:hAnsi="Arial"/>
                <w:sz w:val="14"/>
                <w:szCs w:val="14"/>
                <w:b w:val="1"/>
                <w:bCs w:val="1"/>
                <w:color w:val="auto"/>
              </w:rPr>
              <w:t>June 30, 2015</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736"/>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right"/>
              <w:ind w:right="341"/>
              <w:spacing w:after="0" w:line="153" w:lineRule="exact"/>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3"/>
                <w:szCs w:val="13"/>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400" w:type="dxa"/>
            <w:vAlign w:val="bottom"/>
          </w:tcPr>
          <w:p>
            <w:pPr>
              <w:spacing w:after="0"/>
              <w:rPr>
                <w:sz w:val="13"/>
                <w:szCs w:val="13"/>
                <w:color w:val="auto"/>
              </w:rPr>
            </w:pPr>
          </w:p>
        </w:tc>
        <w:tc>
          <w:tcPr>
            <w:tcW w:w="980" w:type="dxa"/>
            <w:vAlign w:val="bottom"/>
          </w:tcPr>
          <w:p>
            <w:pPr>
              <w:jc w:val="right"/>
              <w:ind w:right="341"/>
              <w:spacing w:after="0" w:line="153" w:lineRule="exact"/>
              <w:rPr>
                <w:sz w:val="20"/>
                <w:szCs w:val="20"/>
                <w:color w:val="auto"/>
              </w:rPr>
            </w:pPr>
            <w:r>
              <w:rPr>
                <w:rFonts w:ascii="Arial" w:cs="Arial" w:eastAsia="Arial" w:hAnsi="Arial"/>
                <w:sz w:val="14"/>
                <w:szCs w:val="14"/>
                <w:b w:val="1"/>
                <w:bCs w:val="1"/>
                <w:color w:val="auto"/>
                <w:w w:val="93"/>
              </w:rPr>
              <w:t>Carrying</w:t>
            </w:r>
          </w:p>
        </w:tc>
        <w:tc>
          <w:tcPr>
            <w:tcW w:w="340" w:type="dxa"/>
            <w:vAlign w:val="bottom"/>
          </w:tcPr>
          <w:p>
            <w:pPr>
              <w:spacing w:after="0"/>
              <w:rPr>
                <w:sz w:val="13"/>
                <w:szCs w:val="13"/>
                <w:color w:val="auto"/>
              </w:rPr>
            </w:pPr>
          </w:p>
        </w:tc>
        <w:tc>
          <w:tcPr>
            <w:tcW w:w="112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Value</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Value</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Mortgages and notes payable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973,357</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984,420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854,217</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880,866</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Senior notes and debentures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41"/>
              <w:spacing w:after="0"/>
              <w:rPr>
                <w:sz w:val="20"/>
                <w:szCs w:val="20"/>
                <w:color w:val="auto"/>
              </w:rPr>
            </w:pPr>
            <w:r>
              <w:rPr>
                <w:rFonts w:ascii="Arial" w:cs="Arial" w:eastAsia="Arial" w:hAnsi="Arial"/>
                <w:sz w:val="18"/>
                <w:szCs w:val="18"/>
                <w:color w:val="auto"/>
              </w:rPr>
              <w:t>1,494,515</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9"/>
              <w:spacing w:after="0"/>
              <w:rPr>
                <w:sz w:val="20"/>
                <w:szCs w:val="20"/>
                <w:color w:val="auto"/>
              </w:rPr>
            </w:pPr>
            <w:r>
              <w:rPr>
                <w:rFonts w:ascii="Arial" w:cs="Arial" w:eastAsia="Arial" w:hAnsi="Arial"/>
                <w:sz w:val="18"/>
                <w:szCs w:val="18"/>
                <w:color w:val="auto"/>
              </w:rPr>
              <w:t>1,503,677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41"/>
              <w:spacing w:after="0"/>
              <w:rPr>
                <w:sz w:val="20"/>
                <w:szCs w:val="20"/>
                <w:color w:val="auto"/>
              </w:rPr>
            </w:pPr>
            <w:r>
              <w:rPr>
                <w:rFonts w:ascii="Arial" w:cs="Arial" w:eastAsia="Arial" w:hAnsi="Arial"/>
                <w:sz w:val="18"/>
                <w:szCs w:val="18"/>
                <w:color w:val="auto"/>
              </w:rPr>
              <w:t>1,483,813</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1,579,868</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As of June 30, 2015, we have two interest rate swap agreements with a notional amount of $275.0 million that are measured at fair value on a recurring basis. The interest rate swap agreements fix the variable portion of our $275.0 million term loan at 1.72% through November 1, 2018, and effectively fix the rate of the term loan at 2.62%. We assess effectiveness of our cash flow hedges both at inception and on an ongoing basis. The effective portion of changes in fair value of the interest rate swaps associated with our cash flow hedges is recorded in accumulated other comprehensive loss and is subsequently reclassified into interest expense as interest is incurred on the related variable rate debt. Within the next 12 months, we expect to reclassify an estimated $3.7 million as an increase to interest expense. Our cash flow hedges become ineffective if critical terms of the hedging instrument and the debt instrument do not perfectly match such as notional amounts, settlement dates, reset dates, calculation period and LIBOR rate. In addition, we evaluate the default risk of the counterparty by monitoring the credit-worthiness of the counterparty. When ineffectiveness exists, the ineffective portion of changes in fair value of the interest rate swaps associated with our cash flow hedges is recognized in earnings in the period affected. Hedge ineffectiveness has not impacted earnings as of June 30, 2015, and we do not anticipate it will have a significant effect in the future.</w:t>
      </w:r>
    </w:p>
    <w:p>
      <w:pPr>
        <w:spacing w:after="0" w:line="205"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The fair values of the interest rate swap agreements are based on the estimated amounts we would receive or pay to terminate the contracts at the reporting date and are determined using interest rate pricing models and interest rate related observable inputs. The fair value of our swaps at June 30, 2015 was a liability of $4.9 million and is included in "accounts payable and accrued expenses" on our consolidated balance sheet. For the three and six months ended June 30, 2015, the change in valuation on our interest rate swaps resulted in a $1.1 million decrease in our derivative liability and a $1.4 million increase in our derivative liability, respectively, (including $1.1 million and $2.1 million, respectively, reclassified from other comprehensive loss to interest expense). The change in valuation on our interest rate swaps is included in "accumulated other comprehensive loss."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financial liabilities that are measured at fair value on a recurring basis, by level within the fair value hierarchy is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June 30, 2015</w:t>
            </w: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December 31, 2014</w:t>
            </w: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264"/>
        </w:trPr>
        <w:tc>
          <w:tcPr>
            <w:tcW w:w="33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3</w:t>
            </w: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Level 1</w:t>
            </w: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3</w:t>
            </w:r>
          </w:p>
        </w:tc>
        <w:tc>
          <w:tcPr>
            <w:tcW w:w="3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Total</w:t>
            </w:r>
          </w:p>
        </w:tc>
      </w:tr>
      <w:tr>
        <w:trPr>
          <w:trHeight w:val="250"/>
        </w:trPr>
        <w:tc>
          <w:tcPr>
            <w:tcW w:w="3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gridSpan w:val="4"/>
          </w:tcPr>
          <w:p>
            <w:pPr>
              <w:ind w:left="28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4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4,909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4,909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3,515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3,515</w:t>
            </w:r>
          </w:p>
        </w:tc>
      </w:tr>
      <w:tr>
        <w:trPr>
          <w:trHeight w:val="27"/>
        </w:trPr>
        <w:tc>
          <w:tcPr>
            <w:tcW w:w="33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7—COMMITMENTS AND CONTINGENCIES</w:t>
      </w:r>
    </w:p>
    <w:p>
      <w:pPr>
        <w:spacing w:after="0" w:line="94"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We are sometimes involved in lawsuits, warranty claims, and environmental matters arising in the ordinary course of business. Management makes assumptions and estimates concerning the likelihood and amount of any potential loss relating to these matters.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6" w:right="2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are currently a party to various legal proceedings. We accrue a liability for litigation if an unfavorable outcome is probable and the amount of loss can be reasonably estimated. If an unfavorable outcome is probable and a reasonable estimate of the loss is a range, we accrue the best estimate within the range; however, if no amount within the range is a better estimate than any other amount, the minimum within the range is accrued. Legal fees related to litigation are expensed as incurred. We do not believe that the ultimate outcome of these matters, either individually or in the aggregate, could have a material adverse effect on our financial position or overall trends in results of operations; however, litigation is subject to inherent uncertainties. Also under our leases, tenants are typically obligated to indemnify us from and against all liabilities, costs and expenses imposed upon or asserted against us (1) as owner of the properties due to certain matters relating to the operation of the properties by the tenant, and (2) where appropriate, due to certain matters relating to the ownership of the properties prior to their acquisition by us.</w:t>
      </w:r>
    </w:p>
    <w:p>
      <w:pPr>
        <w:spacing w:after="0" w:line="1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terms of certain partnership agreements, the partners have the right to exchange their operating partnership units for cash or the same number of our common shares, at our option. A total of 934,405 downREIT operating partnership units are outstanding which have a total fair value of $119.7 million, based on our closing stock price on June 30, 2015.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8—SHAREHOLDERS’ EQUITY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dividends declared and paid per share:</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8"/>
              </w:rPr>
              <w:t>Six Months Ended June 30,</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w w:val="89"/>
              </w:rPr>
              <w:t>2015</w:t>
            </w:r>
          </w:p>
        </w:tc>
        <w:tc>
          <w:tcPr>
            <w:tcW w:w="7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9"/>
              </w:rPr>
              <w:t>2014</w:t>
            </w:r>
          </w:p>
        </w:tc>
        <w:tc>
          <w:tcPr>
            <w:tcW w:w="700" w:type="dxa"/>
            <w:vAlign w:val="bottom"/>
            <w:tcBorders>
              <w:bottom w:val="single" w:sz="8" w:color="auto"/>
            </w:tcBorders>
          </w:tcPr>
          <w:p>
            <w:pPr>
              <w:spacing w:after="0"/>
              <w:rPr>
                <w:sz w:val="22"/>
                <w:szCs w:val="22"/>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4"/>
              </w:rPr>
              <w:t>Declared</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Paid</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4"/>
              </w:rPr>
              <w:t>Declared</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Paid</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shares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42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1.560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5.417% Series 1 Cumulative Convertible Preferred shares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0.677</w:t>
            </w:r>
          </w:p>
        </w:tc>
        <w:tc>
          <w:tcPr>
            <w:tcW w:w="420" w:type="dxa"/>
            <w:vAlign w:val="bottom"/>
            <w:gridSpan w:val="3"/>
          </w:tcPr>
          <w:p>
            <w:pPr>
              <w:jc w:val="right"/>
              <w:ind w:right="28"/>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6"/>
              <w:spacing w:after="0"/>
              <w:rPr>
                <w:sz w:val="20"/>
                <w:szCs w:val="20"/>
                <w:color w:val="auto"/>
              </w:rPr>
            </w:pPr>
            <w:r>
              <w:rPr>
                <w:rFonts w:ascii="Arial" w:cs="Arial" w:eastAsia="Arial" w:hAnsi="Arial"/>
                <w:sz w:val="18"/>
                <w:szCs w:val="18"/>
                <w:color w:val="auto"/>
              </w:rPr>
              <w:t>0.677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0.677</w:t>
            </w: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0.677</w:t>
            </w:r>
          </w:p>
        </w:tc>
      </w:tr>
    </w:tbl>
    <w:p>
      <w:pPr>
        <w:spacing w:after="0" w:line="22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On May 11, 2015, we replaced our existing at the market (“ATM”) equity program with a new ATM equity program in which we may from time to time offer and sell common shares having an aggregate offering price of up to $300.0 million. We intend to use the net proceeds to fund potential acquisition opportunities, fund our development and redevelopment pipeline, repay amounts outstanding under our revolving credit facility and/or for general corporate purposes. For the three and six months ended June 30, 2015, we issued 427,134 common shares at a weighted average price per share of $134.12 for net cash proceeds of $56.6 million and paid $0.6 million in commissions and $0.1 million in additional offering expenses related to the sales of these common shares. As of June 30, 2015, we had the capacity to issue up to $242.7 million in common shares under our ATM equity program.</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9—COMPONENTS OF RENTAL INCOME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principal components of rental income are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6"/>
                <w:szCs w:val="16"/>
                <w:color w:val="auto"/>
              </w:rPr>
            </w:pPr>
          </w:p>
        </w:tc>
      </w:tr>
      <w:tr>
        <w:trPr>
          <w:trHeight w:val="276"/>
        </w:trPr>
        <w:tc>
          <w:tcPr>
            <w:tcW w:w="56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24"/>
                <w:szCs w:val="24"/>
                <w:color w:val="auto"/>
              </w:rPr>
            </w:pPr>
          </w:p>
        </w:tc>
      </w:tr>
      <w:tr>
        <w:trPr>
          <w:trHeight w:val="264"/>
        </w:trPr>
        <w:tc>
          <w:tcPr>
            <w:tcW w:w="56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w w:val="89"/>
              </w:rPr>
              <w:t>2014</w:t>
            </w:r>
          </w:p>
        </w:tc>
      </w:tr>
      <w:tr>
        <w:trPr>
          <w:trHeight w:val="196"/>
        </w:trPr>
        <w:tc>
          <w:tcPr>
            <w:tcW w:w="5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rents</w:t>
            </w:r>
          </w:p>
        </w:tc>
        <w:tc>
          <w:tcPr>
            <w:tcW w:w="3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Retail and commercial</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125,688</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116,840</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250,001</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232,905</w:t>
            </w:r>
          </w:p>
        </w:tc>
      </w:tr>
      <w:tr>
        <w:trPr>
          <w:trHeight w:val="27"/>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Residential</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10,554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8,532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20,941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16,354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 reimbursement</w:t>
            </w:r>
          </w:p>
        </w:tc>
        <w:tc>
          <w:tcPr>
            <w:tcW w:w="36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33,535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32,158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74,422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69,617</w:t>
            </w:r>
          </w:p>
        </w:tc>
      </w:tr>
      <w:tr>
        <w:trPr>
          <w:trHeight w:val="27"/>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Percentage rent</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2,503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2,045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5,267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4,168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3,604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2,808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6,419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5,532</w:t>
            </w:r>
          </w:p>
        </w:tc>
      </w:tr>
      <w:tr>
        <w:trPr>
          <w:trHeight w:val="27"/>
        </w:trPr>
        <w:tc>
          <w:tcPr>
            <w:tcW w:w="5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rental income</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175,884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162,383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357,050</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328,576</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562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12</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Minimum rents include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2400" w:type="dxa"/>
            <w:vAlign w:val="bottom"/>
            <w:gridSpan w:val="3"/>
          </w:tcPr>
          <w:p>
            <w:pPr>
              <w:jc w:val="center"/>
              <w:ind w:left="397"/>
              <w:spacing w:after="0"/>
              <w:rPr>
                <w:sz w:val="20"/>
                <w:szCs w:val="20"/>
                <w:color w:val="auto"/>
              </w:rPr>
            </w:pPr>
            <w:r>
              <w:rPr>
                <w:rFonts w:ascii="Arial" w:cs="Arial" w:eastAsia="Arial" w:hAnsi="Arial"/>
                <w:sz w:val="14"/>
                <w:szCs w:val="14"/>
                <w:b w:val="1"/>
                <w:bCs w:val="1"/>
                <w:color w:val="auto"/>
                <w:w w:val="95"/>
              </w:rPr>
              <w:t>Three Months Ended</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6"/>
                <w:szCs w:val="16"/>
                <w:color w:val="auto"/>
              </w:rPr>
            </w:pPr>
          </w:p>
        </w:tc>
      </w:tr>
      <w:tr>
        <w:trPr>
          <w:trHeight w:val="276"/>
        </w:trPr>
        <w:tc>
          <w:tcPr>
            <w:tcW w:w="56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center"/>
              <w:ind w:right="354"/>
              <w:spacing w:after="0"/>
              <w:rPr>
                <w:sz w:val="20"/>
                <w:szCs w:val="20"/>
                <w:color w:val="auto"/>
              </w:rPr>
            </w:pPr>
            <w:r>
              <w:rPr>
                <w:rFonts w:ascii="Arial" w:cs="Arial" w:eastAsia="Arial" w:hAnsi="Arial"/>
                <w:sz w:val="14"/>
                <w:szCs w:val="14"/>
                <w:b w:val="1"/>
                <w:bCs w:val="1"/>
                <w:color w:val="auto"/>
                <w:w w:val="92"/>
              </w:rPr>
              <w:t>June 30,</w:t>
            </w: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24"/>
                <w:szCs w:val="24"/>
                <w:color w:val="auto"/>
              </w:rPr>
            </w:pPr>
          </w:p>
        </w:tc>
      </w:tr>
      <w:tr>
        <w:trPr>
          <w:trHeight w:val="264"/>
        </w:trPr>
        <w:tc>
          <w:tcPr>
            <w:tcW w:w="562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w w:val="89"/>
              </w:rPr>
              <w:t>2014</w:t>
            </w:r>
          </w:p>
        </w:tc>
      </w:tr>
      <w:tr>
        <w:trPr>
          <w:trHeight w:val="264"/>
        </w:trPr>
        <w:tc>
          <w:tcPr>
            <w:tcW w:w="5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80" w:type="dxa"/>
            <w:vAlign w:val="bottom"/>
            <w:gridSpan w:val="2"/>
          </w:tcPr>
          <w:p>
            <w:pPr>
              <w:jc w:val="center"/>
              <w:ind w:right="354"/>
              <w:spacing w:after="0"/>
              <w:rPr>
                <w:sz w:val="20"/>
                <w:szCs w:val="20"/>
                <w:color w:val="auto"/>
              </w:rPr>
            </w:pPr>
            <w:r>
              <w:rPr>
                <w:rFonts w:ascii="Arial" w:cs="Arial" w:eastAsia="Arial" w:hAnsi="Arial"/>
                <w:sz w:val="14"/>
                <w:szCs w:val="14"/>
                <w:b w:val="1"/>
                <w:bCs w:val="1"/>
                <w:color w:val="auto"/>
                <w:w w:val="96"/>
              </w:rPr>
              <w:t>(In millions)</w:t>
            </w: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Straight-line rents</w:t>
            </w:r>
          </w:p>
        </w:tc>
        <w:tc>
          <w:tcPr>
            <w:tcW w:w="920" w:type="dxa"/>
            <w:vAlign w:val="bottom"/>
            <w:tcBorders>
              <w:bottom w:val="single" w:sz="8" w:color="CCEEFF"/>
            </w:tcBorders>
            <w:shd w:val="clear" w:color="auto" w:fill="CCEEFF"/>
          </w:tcPr>
          <w:p>
            <w:pPr>
              <w:jc w:val="right"/>
              <w:ind w:right="737"/>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1.8</w:t>
            </w:r>
          </w:p>
        </w:tc>
        <w:tc>
          <w:tcPr>
            <w:tcW w:w="980" w:type="dxa"/>
            <w:vAlign w:val="bottom"/>
            <w:tcBorders>
              <w:bottom w:val="single" w:sz="8" w:color="CCEEFF"/>
            </w:tcBorders>
            <w:shd w:val="clear" w:color="auto" w:fill="CCEEFF"/>
          </w:tcPr>
          <w:p>
            <w:pPr>
              <w:jc w:val="right"/>
              <w:ind w:right="714"/>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Amortization of above market leases</w:t>
            </w:r>
          </w:p>
        </w:tc>
        <w:tc>
          <w:tcPr>
            <w:tcW w:w="920" w:type="dxa"/>
            <w:vAlign w:val="bottom"/>
          </w:tcPr>
          <w:p>
            <w:pPr>
              <w:jc w:val="right"/>
              <w:ind w:right="737"/>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980" w:type="dxa"/>
            <w:vAlign w:val="bottom"/>
          </w:tcPr>
          <w:p>
            <w:pPr>
              <w:jc w:val="right"/>
              <w:ind w:right="714"/>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5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below market leases</w:t>
            </w:r>
          </w:p>
        </w:tc>
        <w:tc>
          <w:tcPr>
            <w:tcW w:w="920" w:type="dxa"/>
            <w:vAlign w:val="bottom"/>
            <w:shd w:val="clear" w:color="auto" w:fill="CCEEFF"/>
          </w:tcPr>
          <w:p>
            <w:pPr>
              <w:jc w:val="right"/>
              <w:ind w:right="737"/>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1.6</w:t>
            </w:r>
          </w:p>
        </w:tc>
        <w:tc>
          <w:tcPr>
            <w:tcW w:w="980" w:type="dxa"/>
            <w:vAlign w:val="bottom"/>
            <w:shd w:val="clear" w:color="auto" w:fill="CCEEFF"/>
          </w:tcPr>
          <w:p>
            <w:pPr>
              <w:jc w:val="right"/>
              <w:ind w:right="714"/>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2.9</w:t>
            </w:r>
          </w:p>
        </w:tc>
      </w:tr>
      <w:tr>
        <w:trPr>
          <w:trHeight w:val="27"/>
        </w:trPr>
        <w:tc>
          <w:tcPr>
            <w:tcW w:w="56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10—SHARE-BASED COMPENSATION PLANS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 summary of share-based compensation expense included in net income is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2340" w:type="dxa"/>
            <w:vAlign w:val="bottom"/>
            <w:gridSpan w:val="4"/>
          </w:tcPr>
          <w:p>
            <w:pPr>
              <w:jc w:val="right"/>
              <w:ind w:right="156"/>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6"/>
                <w:szCs w:val="16"/>
                <w:color w:val="auto"/>
              </w:rPr>
            </w:pPr>
          </w:p>
        </w:tc>
      </w:tr>
      <w:tr>
        <w:trPr>
          <w:trHeight w:val="276"/>
        </w:trPr>
        <w:tc>
          <w:tcPr>
            <w:tcW w:w="56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ind w:right="556"/>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24"/>
                <w:szCs w:val="24"/>
                <w:color w:val="auto"/>
              </w:rPr>
            </w:pPr>
          </w:p>
        </w:tc>
      </w:tr>
      <w:tr>
        <w:trPr>
          <w:trHeight w:val="264"/>
        </w:trPr>
        <w:tc>
          <w:tcPr>
            <w:tcW w:w="562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w w:val="89"/>
              </w:rPr>
              <w:t>2014</w:t>
            </w:r>
          </w:p>
        </w:tc>
      </w:tr>
      <w:tr>
        <w:trPr>
          <w:trHeight w:val="196"/>
        </w:trPr>
        <w:tc>
          <w:tcPr>
            <w:tcW w:w="5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Grants of shares and options</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88"/>
              </w:rPr>
              <w:t>2,827</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84"/>
              </w:rPr>
              <w:t>3,070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6,581</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6,628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Capitalized share-based compensation</w:t>
            </w:r>
          </w:p>
        </w:tc>
        <w:tc>
          <w:tcPr>
            <w:tcW w:w="8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(585)</w:t>
            </w:r>
          </w:p>
        </w:tc>
      </w:tr>
      <w:tr>
        <w:trPr>
          <w:trHeight w:val="27"/>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88"/>
              </w:rPr>
              <w:t>2,596</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84"/>
              </w:rPr>
              <w:t>2,770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6,133</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6,043</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11—EARNINGS PER SHARE</w:t>
      </w:r>
    </w:p>
    <w:p>
      <w:pPr>
        <w:spacing w:after="0" w:line="94"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We have calculated earnings per share (“EPS”) under the two-class method. The two-class method is an earnings allocation methodology whereby EPS for each class of common stock and participating securities is calculated according to dividends declared and participation rights in undistributed earnings. For the three months ended June 30, 2015 and 2014, we had 0.2 million and 0.3 million weighted average unvested shares outstanding, respectively, which are considered participating securities. For the six months ended June 30, 2015 and 2014 we had 0.3 million weighted average unvested shares outstanding, which are considered participating securities. Therefore, we have allocated our earnings for basic and diluted EPS between common shares and unvested shares; the portion of earnings allocated to the unvested shares is reflected as “earnings allocated to unvested shares” in the reconciliation below.</w:t>
      </w:r>
    </w:p>
    <w:p>
      <w:pPr>
        <w:spacing w:after="0" w:line="11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the dilutive EPS calculation, dilutive stock options were calculated using the treasury stock method consistent with prior periods. There were no anti-dilutive stock options for the six months ended June 30, 2015 and 2014. The conversions of downREIT operating partnership units and 5.417% Series 1 Cumulative Convertible Preferred Shares are anti-dilutive for all periods presented and accordingly, have been excluded from the weighted average common shares used to compute diluted EPS.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6" w:right="2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5"/>
              </w:rPr>
              <w:t>Three Months Ended</w:t>
            </w:r>
          </w:p>
        </w:tc>
        <w:tc>
          <w:tcPr>
            <w:tcW w:w="280" w:type="dxa"/>
            <w:vAlign w:val="bottom"/>
          </w:tcPr>
          <w:p>
            <w:pPr>
              <w:spacing w:after="0"/>
              <w:rPr>
                <w:sz w:val="16"/>
                <w:szCs w:val="16"/>
                <w:color w:val="auto"/>
              </w:rPr>
            </w:pPr>
          </w:p>
        </w:tc>
        <w:tc>
          <w:tcPr>
            <w:tcW w:w="2100" w:type="dxa"/>
            <w:vAlign w:val="bottom"/>
            <w:gridSpan w:val="4"/>
          </w:tcPr>
          <w:p>
            <w:pPr>
              <w:jc w:val="right"/>
              <w:ind w:right="51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76"/>
        </w:trPr>
        <w:tc>
          <w:tcPr>
            <w:tcW w:w="65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center"/>
              <w:ind w:left="493"/>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5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6"/>
        </w:trPr>
        <w:tc>
          <w:tcPr>
            <w:tcW w:w="6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gridSpan w:val="6"/>
          </w:tcPr>
          <w:p>
            <w:pPr>
              <w:ind w:left="40"/>
              <w:spacing w:after="0"/>
              <w:rPr>
                <w:sz w:val="20"/>
                <w:szCs w:val="20"/>
                <w:color w:val="auto"/>
              </w:rPr>
            </w:pPr>
            <w:r>
              <w:rPr>
                <w:rFonts w:ascii="Arial" w:cs="Arial" w:eastAsia="Arial" w:hAnsi="Arial"/>
                <w:sz w:val="14"/>
                <w:szCs w:val="14"/>
                <w:b w:val="1"/>
                <w:bCs w:val="1"/>
                <w:color w:val="auto"/>
                <w:w w:val="97"/>
              </w:rPr>
              <w:t>(In thousands, except per share data)</w:t>
            </w: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34,164</w:t>
            </w:r>
          </w:p>
        </w:tc>
        <w:tc>
          <w:tcPr>
            <w:tcW w:w="100" w:type="dxa"/>
            <w:vAlign w:val="bottom"/>
          </w:tcPr>
          <w:p>
            <w:pPr>
              <w:spacing w:after="0"/>
              <w:rPr>
                <w:sz w:val="21"/>
                <w:szCs w:val="21"/>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45,416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82,367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85,961</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Preferred share dividends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Less: Net income attributable to noncontrolling interests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(3,663)</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Earnings allocated to unvested shares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Income from continuing operations available for common shareholders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31,781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43,173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77,621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81,552</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11,509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11,509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Net income available for common shareholders, basic and diluted</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43,290</w:t>
            </w:r>
          </w:p>
        </w:tc>
        <w:tc>
          <w:tcPr>
            <w:tcW w:w="100" w:type="dxa"/>
            <w:vAlign w:val="bottom"/>
          </w:tcPr>
          <w:p>
            <w:pPr>
              <w:spacing w:after="0"/>
              <w:rPr>
                <w:sz w:val="20"/>
                <w:szCs w:val="20"/>
                <w:color w:val="auto"/>
              </w:rPr>
            </w:pPr>
          </w:p>
        </w:tc>
        <w:tc>
          <w:tcPr>
            <w:tcW w:w="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43,173</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89,130</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81,552</w:t>
            </w:r>
          </w:p>
        </w:tc>
        <w:tc>
          <w:tcPr>
            <w:tcW w:w="0" w:type="dxa"/>
            <w:vAlign w:val="bottom"/>
          </w:tcPr>
          <w:p>
            <w:pPr>
              <w:spacing w:after="0"/>
              <w:rPr>
                <w:sz w:val="1"/>
                <w:szCs w:val="1"/>
                <w:color w:val="auto"/>
              </w:rPr>
            </w:pPr>
          </w:p>
        </w:tc>
      </w:tr>
      <w:tr>
        <w:trPr>
          <w:trHeight w:val="67"/>
        </w:trPr>
        <w:tc>
          <w:tcPr>
            <w:tcW w:w="65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5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DENOMINATOR</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outstanding—basic</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68,531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67,110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68,449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66,858</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dilutive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Stock options</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outstanding—diluted</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68,713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67,277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68,638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67,021</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BASIC</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Gain on sale of real estate</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0.63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DILUTED</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Gain on sale of real estate</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0.63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Income from continuing operations attributable to the Trust</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20" w:type="dxa"/>
            <w:vAlign w:val="bottom"/>
            <w:vMerge w:val="continue"/>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32,123</w:t>
            </w:r>
          </w:p>
        </w:tc>
        <w:tc>
          <w:tcPr>
            <w:tcW w:w="10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43,545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78,309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82,298</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12—SUBSEQUENT EVENTS</w:t>
      </w:r>
    </w:p>
    <w:p>
      <w:pPr>
        <w:spacing w:after="0" w:line="9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July 1, 2015, we acquired partial interests in seven buildings in the Coconut Grove neighborhood of Miami, Florida for $5.8 million. The acquisition was completed through our CocoWalk LLC entity.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On July 8, 2015 we acquired a parcel of land adjacent to our Pike 7 Plaza property for $5.0 million.</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On August 3, 2015 we repaid the following mortgage loans, which bear interest at a weighted average rate of 7.9%, at par prior to their maturity date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November 1, 2015:</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8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jc w:val="right"/>
              <w:ind w:right="192"/>
              <w:spacing w:after="0"/>
              <w:rPr>
                <w:sz w:val="20"/>
                <w:szCs w:val="20"/>
                <w:color w:val="auto"/>
              </w:rPr>
            </w:pPr>
            <w:r>
              <w:rPr>
                <w:rFonts w:ascii="Arial" w:cs="Arial" w:eastAsia="Arial" w:hAnsi="Arial"/>
                <w:sz w:val="16"/>
                <w:szCs w:val="16"/>
                <w:b w:val="1"/>
                <w:bCs w:val="1"/>
                <w:color w:val="auto"/>
                <w:w w:val="95"/>
              </w:rPr>
              <w:t>Principal Payoff Amount</w:t>
            </w:r>
          </w:p>
        </w:tc>
      </w:tr>
      <w:tr>
        <w:trPr>
          <w:trHeight w:val="33"/>
        </w:trPr>
        <w:tc>
          <w:tcPr>
            <w:tcW w:w="3380" w:type="dxa"/>
            <w:vAlign w:val="bottom"/>
          </w:tcPr>
          <w:p>
            <w:pPr>
              <w:spacing w:after="0"/>
              <w:rPr>
                <w:sz w:val="2"/>
                <w:szCs w:val="2"/>
                <w:color w:val="auto"/>
              </w:rPr>
            </w:pPr>
          </w:p>
        </w:tc>
        <w:tc>
          <w:tcPr>
            <w:tcW w:w="57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17"/>
        </w:trPr>
        <w:tc>
          <w:tcPr>
            <w:tcW w:w="338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jc w:val="right"/>
              <w:ind w:right="632"/>
              <w:spacing w:after="0"/>
              <w:rPr>
                <w:sz w:val="20"/>
                <w:szCs w:val="20"/>
                <w:color w:val="auto"/>
              </w:rPr>
            </w:pPr>
            <w:r>
              <w:rPr>
                <w:rFonts w:ascii="Arial" w:cs="Arial" w:eastAsia="Arial" w:hAnsi="Arial"/>
                <w:sz w:val="16"/>
                <w:szCs w:val="16"/>
                <w:b w:val="1"/>
                <w:bCs w:val="1"/>
                <w:color w:val="auto"/>
              </w:rPr>
              <w:t>(In millions)</w:t>
            </w:r>
          </w:p>
        </w:tc>
      </w:tr>
      <w:tr>
        <w:trPr>
          <w:trHeight w:val="33"/>
        </w:trPr>
        <w:tc>
          <w:tcPr>
            <w:tcW w:w="3380" w:type="dxa"/>
            <w:vAlign w:val="bottom"/>
          </w:tcPr>
          <w:p>
            <w:pPr>
              <w:spacing w:after="0"/>
              <w:rPr>
                <w:sz w:val="2"/>
                <w:szCs w:val="2"/>
                <w:color w:val="auto"/>
              </w:rPr>
            </w:pPr>
          </w:p>
        </w:tc>
        <w:tc>
          <w:tcPr>
            <w:tcW w:w="5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Barracks Road</w:t>
            </w:r>
          </w:p>
        </w:tc>
        <w:tc>
          <w:tcPr>
            <w:tcW w:w="5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35.3</w:t>
            </w: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Brick Plaza</w:t>
            </w:r>
          </w:p>
        </w:tc>
        <w:tc>
          <w:tcPr>
            <w:tcW w:w="5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tcPr>
          <w:p>
            <w:pPr>
              <w:jc w:val="right"/>
              <w:ind w:right="12"/>
              <w:spacing w:after="0"/>
              <w:rPr>
                <w:sz w:val="20"/>
                <w:szCs w:val="20"/>
                <w:color w:val="auto"/>
              </w:rPr>
            </w:pPr>
            <w:r>
              <w:rPr>
                <w:rFonts w:ascii="Arial" w:cs="Arial" w:eastAsia="Arial" w:hAnsi="Arial"/>
                <w:sz w:val="18"/>
                <w:szCs w:val="18"/>
                <w:color w:val="auto"/>
              </w:rPr>
              <w:t>25.9</w:t>
            </w:r>
          </w:p>
        </w:tc>
      </w:tr>
      <w:tr>
        <w:trPr>
          <w:trHeight w:val="27"/>
        </w:trPr>
        <w:tc>
          <w:tcPr>
            <w:tcW w:w="3380" w:type="dxa"/>
            <w:vAlign w:val="bottom"/>
          </w:tcPr>
          <w:p>
            <w:pPr>
              <w:spacing w:after="0"/>
              <w:rPr>
                <w:sz w:val="2"/>
                <w:szCs w:val="2"/>
                <w:color w:val="auto"/>
              </w:rPr>
            </w:pPr>
          </w:p>
        </w:tc>
        <w:tc>
          <w:tcPr>
            <w:tcW w:w="5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Wynnewood</w:t>
            </w:r>
          </w:p>
        </w:tc>
        <w:tc>
          <w:tcPr>
            <w:tcW w:w="57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25.5</w:t>
            </w: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Lawrence Park</w:t>
            </w:r>
          </w:p>
        </w:tc>
        <w:tc>
          <w:tcPr>
            <w:tcW w:w="5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tcPr>
          <w:p>
            <w:pPr>
              <w:jc w:val="right"/>
              <w:ind w:right="12"/>
              <w:spacing w:after="0"/>
              <w:rPr>
                <w:sz w:val="20"/>
                <w:szCs w:val="20"/>
                <w:color w:val="auto"/>
              </w:rPr>
            </w:pPr>
            <w:r>
              <w:rPr>
                <w:rFonts w:ascii="Arial" w:cs="Arial" w:eastAsia="Arial" w:hAnsi="Arial"/>
                <w:sz w:val="18"/>
                <w:szCs w:val="18"/>
                <w:color w:val="auto"/>
              </w:rPr>
              <w:t>25.0</w:t>
            </w:r>
          </w:p>
        </w:tc>
      </w:tr>
      <w:tr>
        <w:trPr>
          <w:trHeight w:val="27"/>
        </w:trPr>
        <w:tc>
          <w:tcPr>
            <w:tcW w:w="3380" w:type="dxa"/>
            <w:vAlign w:val="bottom"/>
          </w:tcPr>
          <w:p>
            <w:pPr>
              <w:spacing w:after="0"/>
              <w:rPr>
                <w:sz w:val="2"/>
                <w:szCs w:val="2"/>
                <w:color w:val="auto"/>
              </w:rPr>
            </w:pPr>
          </w:p>
        </w:tc>
        <w:tc>
          <w:tcPr>
            <w:tcW w:w="5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Wildwood</w:t>
            </w:r>
          </w:p>
        </w:tc>
        <w:tc>
          <w:tcPr>
            <w:tcW w:w="57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w:t>
            </w: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Hauppauge</w:t>
            </w:r>
          </w:p>
        </w:tc>
        <w:tc>
          <w:tcPr>
            <w:tcW w:w="5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tcPr>
          <w:p>
            <w:pPr>
              <w:jc w:val="right"/>
              <w:ind w:right="12"/>
              <w:spacing w:after="0"/>
              <w:rPr>
                <w:sz w:val="20"/>
                <w:szCs w:val="20"/>
                <w:color w:val="auto"/>
              </w:rPr>
            </w:pPr>
            <w:r>
              <w:rPr>
                <w:rFonts w:ascii="Arial" w:cs="Arial" w:eastAsia="Arial" w:hAnsi="Arial"/>
                <w:sz w:val="18"/>
                <w:szCs w:val="18"/>
                <w:color w:val="auto"/>
              </w:rPr>
              <w:t>13.3</w:t>
            </w:r>
          </w:p>
        </w:tc>
      </w:tr>
      <w:tr>
        <w:trPr>
          <w:trHeight w:val="27"/>
        </w:trPr>
        <w:tc>
          <w:tcPr>
            <w:tcW w:w="3380" w:type="dxa"/>
            <w:vAlign w:val="bottom"/>
            <w:tcBorders>
              <w:bottom w:val="single" w:sz="8" w:color="CCEEFF"/>
            </w:tcBorders>
          </w:tcPr>
          <w:p>
            <w:pPr>
              <w:spacing w:after="0"/>
              <w:rPr>
                <w:sz w:val="2"/>
                <w:szCs w:val="2"/>
                <w:color w:val="auto"/>
              </w:rPr>
            </w:pPr>
          </w:p>
        </w:tc>
        <w:tc>
          <w:tcPr>
            <w:tcW w:w="57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44"/>
        </w:trPr>
        <w:tc>
          <w:tcPr>
            <w:tcW w:w="3380" w:type="dxa"/>
            <w:vAlign w:val="bottom"/>
            <w:tcBorders>
              <w:bottom w:val="single" w:sz="8" w:color="CCEEFF"/>
            </w:tcBorders>
            <w:shd w:val="clear" w:color="auto" w:fill="CCEEFF"/>
          </w:tcPr>
          <w:p>
            <w:pPr>
              <w:spacing w:after="0"/>
              <w:rPr>
                <w:sz w:val="21"/>
                <w:szCs w:val="21"/>
                <w:color w:val="auto"/>
              </w:rPr>
            </w:pPr>
          </w:p>
        </w:tc>
        <w:tc>
          <w:tcPr>
            <w:tcW w:w="5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147.0</w:t>
            </w:r>
          </w:p>
        </w:tc>
      </w:tr>
      <w:tr>
        <w:trPr>
          <w:trHeight w:val="756"/>
        </w:trPr>
        <w:tc>
          <w:tcPr>
            <w:tcW w:w="3380" w:type="dxa"/>
            <w:vAlign w:val="bottom"/>
          </w:tcPr>
          <w:p>
            <w:pPr>
              <w:spacing w:after="0"/>
              <w:rPr>
                <w:sz w:val="24"/>
                <w:szCs w:val="24"/>
                <w:color w:val="auto"/>
              </w:rPr>
            </w:pPr>
          </w:p>
        </w:tc>
        <w:tc>
          <w:tcPr>
            <w:tcW w:w="5760" w:type="dxa"/>
            <w:vAlign w:val="bottom"/>
          </w:tcPr>
          <w:p>
            <w:pPr>
              <w:jc w:val="right"/>
              <w:ind w:right="3250"/>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24"/>
                <w:szCs w:val="24"/>
                <w:color w:val="auto"/>
              </w:rPr>
            </w:pPr>
          </w:p>
        </w:tc>
        <w:tc>
          <w:tcPr>
            <w:tcW w:w="2080" w:type="dxa"/>
            <w:vAlign w:val="bottom"/>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following discussion should be read in conjunction with the consolidated interim financial statements and notes thereto appearing in Item 1 of this report and the more detailed information contained in our Annual Report on Form 10-K for the year ended December 31, 2014 filed with the Securities and Exchange Commission (the “SEC”) on February 10, 2015.</w:t>
      </w:r>
    </w:p>
    <w:p>
      <w:pPr>
        <w:spacing w:after="0" w:line="12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This Form 10-Q contains forward-looking statements within the meaning of Section 27A of the Securities Act of 1933, Section 21E of the Securities Exchange Act of 1934 and the Private Securities Litigation Reform Act of 1995. When we refer to forward-looking statements or information, sometimes we use words such as “may,” “will,” “could,” “should,” “plans,” “intends,” “expects,” “believes,” “estimates,” “anticipates” and “continues.” Forward-looking statements are not historical facts or guarantees of future performance and involve certain known and unknown risks, uncertainties, and other factors, many of which are outside our control, that could cause actual results to differ materially from those we describe.</w:t>
      </w:r>
    </w:p>
    <w:p>
      <w:pPr>
        <w:spacing w:after="0" w:line="3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Given these uncertainties, readers are cautioned not to place undue reliance on any forward-looking statements that we make, including those in this Quarterly Report on Form 10-Q. Except as may be required by law, we make no promise to update any of the forward-looking statements as a result of new information, future events or otherwise. You should carefully review the risks and the risk factors included in our Annual Report on Form 10-K for the year ended December 31, 2014 and under Part II, Item 1A in this Quarterly Report on Form 10-Q, before making any investments in us.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are an equity real estate investment trust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and California. As of June 30, 2015, we owned or had a majority interest in community and neighborhood shopping centers and mixed-use properties which are operated as 90 predominantly retail real estate projects comprising 20.8 million square feet (excludes unconsolidated joint venture properties). In total, the real estate projects were 95.7% leased and 94.9% occupied at June 30, 2015. A joint venture in which we own a 30% interest owned six retail real estate projects totaling 0.8 million square feet as of June 30, 2015. In total, the joint venture properties in which we own a 30% interest were 92.6% leased and 85.8% occupied at June 30, 2015.</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Significant Property Acquisitions and Disposition</w:t>
      </w:r>
    </w:p>
    <w:p>
      <w:pPr>
        <w:spacing w:after="0" w:line="94"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January 2015, we acquired a controlling interest in San Antonio Center, a 376,000 square foot shopping center in Mountain View, California based on a total value of $62.2 million. Our effective interest approximates 80% and was funded by the assumption of our share of $18.7 million of mortgage debt, 58,000 downREIT operating partnership units, and $27 million of cash. A portion of the land is controlled under a long-term ground lease. Approximately $8.1 million of assets acquired were allocated to lease intangibles and included within other assets. Approximately $19.1 million was allocated to lease intangibles primarily related to "below market leases," and is included within other liabilities. Additionally, $16.3 million was allocated to noncontrolling interests. We incurred $1.8 million of acquisition costs, of which $1.1 million were incurred in 2015 and included in "general and administrative expense" for the six months ended June 30, 2015 on the consolidated statements of comprehensive income.</w:t>
      </w:r>
    </w:p>
    <w:p>
      <w:pPr>
        <w:spacing w:after="0" w:line="124" w:lineRule="exact"/>
        <w:rPr>
          <w:sz w:val="20"/>
          <w:szCs w:val="20"/>
          <w:color w:val="auto"/>
        </w:rPr>
      </w:pPr>
    </w:p>
    <w:p>
      <w:pPr>
        <w:ind w:right="780"/>
        <w:spacing w:after="0" w:line="264" w:lineRule="auto"/>
        <w:rPr>
          <w:sz w:val="20"/>
          <w:szCs w:val="20"/>
          <w:color w:val="auto"/>
        </w:rPr>
      </w:pPr>
      <w:r>
        <w:rPr>
          <w:rFonts w:ascii="Arial" w:cs="Arial" w:eastAsia="Arial" w:hAnsi="Arial"/>
          <w:sz w:val="18"/>
          <w:szCs w:val="18"/>
          <w:color w:val="auto"/>
        </w:rPr>
        <w:t>On February 25, 2015, we acquired the interest of one of the noncontrolling interest holders in The Grove at Shrewsbury for $8.8 million. As this noncontrolling interest was mandatorily redeemable, it was classified as a liability and was included in "other liabilities and deferred credits" on the December 31, 2014 consolidated balance sheet.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On April 24, 2015, we sold our Houston Street property in San Antonio, Texas for a sales price of $46.1 million, resulting in a gain of $11.5 million.</w:t>
      </w:r>
    </w:p>
    <w:p>
      <w:pPr>
        <w:spacing w:after="0" w:line="102"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On May 4, 2015, we acquired CocoWalk, a 198,000 square foot retail property located in the Coconut Grove neighborhood of Miami, Florida for $87.5 million. The acquisition was completed through a newly formed entity ("CocoWalk LLC") for which we own a preferred interest and an 80% common interest. Net assets acquired were preliminarily allocated to operating real estate and other assets for "above market leases," and other liabilities for "below market leases." Additionally, approximately $6 million was preliminarily allocated to noncontrolling interests. The purchase price allocation will be finalized after our valuation studies are complete. We incurred approximately $0.7 million in acquisition costs which are included in "general and administrative expenses" for the six months ended June 30, 2015. CocoWalk is a variable interest entity for which we are the primary beneficiary. As of June 30, 2015 net real estate assets related to CocoWalk included in our consolidated balance sheet are $87.4 million.</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6" w:right="2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July 1, 2015, we acquired partial interests in seven buildings in the Coconut Grove neighborhood of Miami, Florida for $5.8 million. The acquisition was completed through our CocoWalk LLC entity.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On July 8, 2015 we acquired a parcel of land adjacent to our Pike 7 Plaza property for $5.0 million.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Significant Debt and Equity Transactions</w:t>
      </w:r>
    </w:p>
    <w:p>
      <w:pPr>
        <w:spacing w:after="0" w:line="9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connection with the acquisition of San Antonio Center in January 2015, we assumed a mortgage loan with a face amount of $18.7 million and a fair value of $19.3 million. The mortgage loan bears interest at 5.27% and matures on January 1, 2016.</w:t>
      </w:r>
    </w:p>
    <w:p>
      <w:pPr>
        <w:spacing w:after="0" w:line="35"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On March 16, 2015, we issued $200.0 million aggregate principal amount of 4.50% senior unsecured notes due December 1, 2044. The notes were offered at 105.38% of the principal amount with a yield to maturity of 4.18%. The notes have the same terms and are of the same series as the $250.0 million senior notes issued on November 14, 2014. Our net proceeds from the March note offering after issuance premium, underwriting fees and other costs were $208.6 million. The proceeds were used on April 11, 2015 to repay our $200.0 million 6.20% notes prior to the original maturity date of January 15, 2017. The redemption price of $222.2 million included a make-whole premium of $19.2 million and accrued but unpaid interest of $3.0 million.</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On August 3, 2015 we repaid the following mortgage loans, which bear interest at a weighted average rate of 7.9%, at par prior to their maturity date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November 1, 2015:</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jc w:val="right"/>
              <w:ind w:right="192"/>
              <w:spacing w:after="0"/>
              <w:rPr>
                <w:sz w:val="20"/>
                <w:szCs w:val="20"/>
                <w:color w:val="auto"/>
              </w:rPr>
            </w:pPr>
            <w:r>
              <w:rPr>
                <w:rFonts w:ascii="Arial" w:cs="Arial" w:eastAsia="Arial" w:hAnsi="Arial"/>
                <w:sz w:val="16"/>
                <w:szCs w:val="16"/>
                <w:b w:val="1"/>
                <w:bCs w:val="1"/>
                <w:color w:val="auto"/>
                <w:w w:val="95"/>
              </w:rPr>
              <w:t>Principal Payoff Amount</w:t>
            </w:r>
          </w:p>
        </w:tc>
      </w:tr>
      <w:tr>
        <w:trPr>
          <w:trHeight w:val="33"/>
        </w:trPr>
        <w:tc>
          <w:tcPr>
            <w:tcW w:w="9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17"/>
        </w:trPr>
        <w:tc>
          <w:tcPr>
            <w:tcW w:w="9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jc w:val="right"/>
              <w:ind w:right="632"/>
              <w:spacing w:after="0"/>
              <w:rPr>
                <w:sz w:val="20"/>
                <w:szCs w:val="20"/>
                <w:color w:val="auto"/>
              </w:rPr>
            </w:pPr>
            <w:r>
              <w:rPr>
                <w:rFonts w:ascii="Arial" w:cs="Arial" w:eastAsia="Arial" w:hAnsi="Arial"/>
                <w:sz w:val="16"/>
                <w:szCs w:val="16"/>
                <w:b w:val="1"/>
                <w:bCs w:val="1"/>
                <w:color w:val="auto"/>
              </w:rPr>
              <w:t>(In millions)</w:t>
            </w:r>
          </w:p>
        </w:tc>
      </w:tr>
      <w:tr>
        <w:trPr>
          <w:trHeight w:val="33"/>
        </w:trPr>
        <w:tc>
          <w:tcPr>
            <w:tcW w:w="9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Barracks Road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35.3</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Brick Plaza</w:t>
            </w:r>
          </w:p>
        </w:tc>
        <w:tc>
          <w:tcPr>
            <w:tcW w:w="200" w:type="dxa"/>
            <w:vAlign w:val="bottom"/>
          </w:tcPr>
          <w:p>
            <w:pPr>
              <w:spacing w:after="0"/>
              <w:rPr>
                <w:sz w:val="21"/>
                <w:szCs w:val="21"/>
                <w:color w:val="auto"/>
              </w:rPr>
            </w:pPr>
          </w:p>
        </w:tc>
        <w:tc>
          <w:tcPr>
            <w:tcW w:w="2080" w:type="dxa"/>
            <w:vAlign w:val="bottom"/>
          </w:tcPr>
          <w:p>
            <w:pPr>
              <w:jc w:val="right"/>
              <w:ind w:right="12"/>
              <w:spacing w:after="0"/>
              <w:rPr>
                <w:sz w:val="20"/>
                <w:szCs w:val="20"/>
                <w:color w:val="auto"/>
              </w:rPr>
            </w:pPr>
            <w:r>
              <w:rPr>
                <w:rFonts w:ascii="Arial" w:cs="Arial" w:eastAsia="Arial" w:hAnsi="Arial"/>
                <w:sz w:val="18"/>
                <w:szCs w:val="18"/>
                <w:color w:val="auto"/>
              </w:rPr>
              <w:t>25.9</w:t>
            </w:r>
          </w:p>
        </w:tc>
      </w:tr>
      <w:tr>
        <w:trPr>
          <w:trHeight w:val="27"/>
        </w:trPr>
        <w:tc>
          <w:tcPr>
            <w:tcW w:w="9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Wynnewood</w:t>
            </w: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25.5</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Lawrence Park</w:t>
            </w:r>
          </w:p>
        </w:tc>
        <w:tc>
          <w:tcPr>
            <w:tcW w:w="200" w:type="dxa"/>
            <w:vAlign w:val="bottom"/>
          </w:tcPr>
          <w:p>
            <w:pPr>
              <w:spacing w:after="0"/>
              <w:rPr>
                <w:sz w:val="21"/>
                <w:szCs w:val="21"/>
                <w:color w:val="auto"/>
              </w:rPr>
            </w:pPr>
          </w:p>
        </w:tc>
        <w:tc>
          <w:tcPr>
            <w:tcW w:w="2080" w:type="dxa"/>
            <w:vAlign w:val="bottom"/>
          </w:tcPr>
          <w:p>
            <w:pPr>
              <w:jc w:val="right"/>
              <w:ind w:right="12"/>
              <w:spacing w:after="0"/>
              <w:rPr>
                <w:sz w:val="20"/>
                <w:szCs w:val="20"/>
                <w:color w:val="auto"/>
              </w:rPr>
            </w:pPr>
            <w:r>
              <w:rPr>
                <w:rFonts w:ascii="Arial" w:cs="Arial" w:eastAsia="Arial" w:hAnsi="Arial"/>
                <w:sz w:val="18"/>
                <w:szCs w:val="18"/>
                <w:color w:val="auto"/>
              </w:rPr>
              <w:t>25.0</w:t>
            </w:r>
          </w:p>
        </w:tc>
      </w:tr>
      <w:tr>
        <w:trPr>
          <w:trHeight w:val="27"/>
        </w:trPr>
        <w:tc>
          <w:tcPr>
            <w:tcW w:w="9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Wildwood</w:t>
            </w: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Hauppauge</w:t>
            </w:r>
          </w:p>
        </w:tc>
        <w:tc>
          <w:tcPr>
            <w:tcW w:w="200" w:type="dxa"/>
            <w:vAlign w:val="bottom"/>
          </w:tcPr>
          <w:p>
            <w:pPr>
              <w:spacing w:after="0"/>
              <w:rPr>
                <w:sz w:val="21"/>
                <w:szCs w:val="21"/>
                <w:color w:val="auto"/>
              </w:rPr>
            </w:pPr>
          </w:p>
        </w:tc>
        <w:tc>
          <w:tcPr>
            <w:tcW w:w="2080" w:type="dxa"/>
            <w:vAlign w:val="bottom"/>
          </w:tcPr>
          <w:p>
            <w:pPr>
              <w:jc w:val="right"/>
              <w:ind w:right="12"/>
              <w:spacing w:after="0"/>
              <w:rPr>
                <w:sz w:val="20"/>
                <w:szCs w:val="20"/>
                <w:color w:val="auto"/>
              </w:rPr>
            </w:pPr>
            <w:r>
              <w:rPr>
                <w:rFonts w:ascii="Arial" w:cs="Arial" w:eastAsia="Arial" w:hAnsi="Arial"/>
                <w:sz w:val="18"/>
                <w:szCs w:val="18"/>
                <w:color w:val="auto"/>
              </w:rPr>
              <w:t>13.3</w:t>
            </w:r>
          </w:p>
        </w:tc>
      </w:tr>
      <w:tr>
        <w:trPr>
          <w:trHeight w:val="27"/>
        </w:trPr>
        <w:tc>
          <w:tcPr>
            <w:tcW w:w="9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37"/>
        </w:trPr>
        <w:tc>
          <w:tcPr>
            <w:tcW w:w="914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147.0</w:t>
            </w:r>
          </w:p>
        </w:tc>
      </w:tr>
      <w:tr>
        <w:trPr>
          <w:trHeight w:val="27"/>
        </w:trPr>
        <w:tc>
          <w:tcPr>
            <w:tcW w:w="9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On May 11, 2015, we replaced our existing at the market (“ATM”) equity program with a new ATM equity program in which we may from time to time offer and sell common shares having an aggregate offering price of up to $300.0 million. We intend to use the net proceeds to fund potential acquisition opportunities, fund our development and redevelopment pipeline, repay amounts outstanding under our revolving credit facility and/or for general corporate purposes. For the three and six months ended June 30, 2015, we issued 427,134 common shares at a weighted average price per share of $134.12 for net cash proceeds of $56.6 million and paid $0.6 million in commissions and $0.1 million in additional offering expenses related to the sales of these common shares. As of June 30, 2015, we had the capacity to issue up to $242.7 million in common shares under our ATM equity program.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Costs</w:t>
      </w:r>
    </w:p>
    <w:p>
      <w:pPr>
        <w:spacing w:after="0" w:line="94"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Certain external and internal costs directly related to the development, redevelopment and leasing of real estate, including pre-construction costs, real estate taxes, insurance, construction costs and salaries and related costs of personnel directly involved, are capitalized. We capitalized external and internal costs related to both development and redevelopment activities of $125 million and $3 million, respectively, for the six months ended June 30, 2015 and $147 million and $3 million, respectively, for the six months ended June 30, 2014. We capitalized external and internal costs related to other property improvements of $15 million and $1 million, respectively, for the six months ended June 30, 2015 and $19 million and $1 million, respectively, for the six months ended June 30, 2014. We capitalized external and internal costs related to leasing activities of $5 million and $2 million, respectively, for the six months ended June 30, 2015 and $8 million and $3 million, respectively, for the six months ended June 30, 2014. The amount of capitalized internal costs for salaries and related benefits for development and redevelopment activities, other property improvements, and leasing activities were $3 million, $1 million, and $2 million, respectively, for the six months ended June 30, 2015 and $3 million, $1 million, and $3 million, respectively, for the six months ended June 30, 2014. Total capitalized costs were $152 million and $181 million for the six months ended June 30, 2015 and 2014,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6" w:right="23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seek growth in earnings, funds from operations, and cash flows primarily through a combination of the following:</w:t>
      </w:r>
    </w:p>
    <w:p>
      <w:pPr>
        <w:spacing w:after="0" w:line="63" w:lineRule="exact"/>
        <w:rPr>
          <w:sz w:val="20"/>
          <w:szCs w:val="20"/>
          <w:color w:val="auto"/>
        </w:rPr>
      </w:pPr>
    </w:p>
    <w:p>
      <w:pPr>
        <w:ind w:left="1700" w:hanging="801"/>
        <w:spacing w:after="0"/>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growth in our same-center portfolio,</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growth in our portfolio from property development and redevelopments,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expansion of our portfolio through property acquisitions.</w:t>
      </w:r>
    </w:p>
    <w:p>
      <w:pPr>
        <w:spacing w:after="0" w:line="17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same-center growth is primarily driven by increases in rental rates on new leases and lease renewals and changes in portfolio occupancy. Over the long-term, the infill nature and strong demographics of our properties provide a strategic advantage allowing us to maintain relatively high occupancy and increase rental rates. We have generally continued to see an encouraging operating environment for many of our tenants as well as strong levels of interest from prospective tenants for our retail spaces. While there can be no assurance that these conditions will continue, we remain optimistic given the trends we have seen over the past few years. We believe the locations of our centers and diverse tenant base partially mitigates any negative change in the economic environment; however, any significant reduction in our tenants' abilities to pay base rent, percentage rent or other charges will adversely affect our financial condition and results of operations. We seek to maintain a mix of strong national, regional, and local retailers. At June 30, 2015, no single tenant accounted for more than 3.0% of annualized base rent.</w:t>
      </w:r>
    </w:p>
    <w:p>
      <w:pPr>
        <w:spacing w:after="0" w:line="13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properties are located primarily in densely populated and/or affluent areas with high barriers to entry which allow us to take advantage of redevelopment opportunities that enhance our operating performance through renovation, expansion, reconfiguration, and/or retenanting. We evaluate our properties on an ongoing basis to identify these types of opportunities. In 2015, we expect to have redevelopment projects stabilizing with projected costs of approximately $69 million.</w:t>
      </w:r>
    </w:p>
    <w:p>
      <w:pPr>
        <w:spacing w:after="0" w:line="13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continue our ongoing redevelopment efforts at Santana Row, and are currently proceeding with our next phase of redevelopment which is a six story building including approximately 225,500 square feet of office space, 1,500 square feet of retail space, and 670 parking spaces. The building is expected to cost between $110 and $120 million and stabilize in 2017. After current phases, we have approximately 9 acres remaining for further redevelopment and entitlements in place for an additional 348 residential units and 69,000 square feet of commercial space. We are currently in the process of seeking additional entitlements and control an additional 12 acres of land adjacent to Santana Row.</w:t>
      </w:r>
    </w:p>
    <w:p>
      <w:pPr>
        <w:spacing w:after="0" w:line="13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continue to invest in the development at Assembly Row which is a long-term development project we expect to be involved in over the coming years. The carrying value of the development portion of this project at June 30, 2015 is approximately $379 million. The project currently has zoning entitlements to build 3.4 million square feet of commercial-use buildings, 1,843 residential units, and a 170 room hotel. The first phase consists of approximately 331,000 square feet of retail space and 98,000 square feet of office space (both owned by the Trust) and 445 residential units owned by AvalonBay Communities. The Massachusetts Bay Transit Authority (MBTA) constructed the new orange line T-Stop at the property, which opened in September 2014. Minimal amounts of construction remain to be completed in the first phase. The retail space in Phase I opened during 2014 and currently is 97.3% leased; the office space will open throughout 2015. Phase I is expected to stabilize in 2015/2016. Total expected costs for Phase I of Assembly Row, net of reimbursements expected, range from $190 million to $200 million, of which $187 million has been incurred to date.</w:t>
      </w:r>
    </w:p>
    <w:p>
      <w:pPr>
        <w:spacing w:after="0" w:line="1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also proceeding with development of Phase II of Assembly Row which will include 167,000 square feet of retail space, a 155 room boutique hotel and 447 residential units. The hotel will be owned and operated by a joint venture in which we will be a partner. Total expected costs will range from $270 million to $285 million and stabilization is expected in 2018/2019. Construction commenced on Phase II in July 2015. Phase II is also expected to include 117 for-sale condominium units with an expected total cost of $62 to $67 million. Additionally, as part of the second phase, we entered into a ground lease agreement with Partners HealthCare to bring more than 700,000 square feet of office space to Assembly Row. The ground lease agreement includes a purchase option. Partners HealthCare commenced construction on this new building in September 2014 and plans to relocate over 4,500 employees to Assembly Row starting in 2016.</w:t>
      </w:r>
    </w:p>
    <w:p>
      <w:pPr>
        <w:spacing w:after="0" w:line="13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Including costs incurred in the first six months of 2015, we expect to invest between $20 million and $30 million in Assembly Row in 2015, net of expected public funding.</w:t>
      </w:r>
    </w:p>
    <w:p>
      <w:pPr>
        <w:spacing w:after="0" w:line="116"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Our Pike &amp; Rose project in North Bethesda, MD, a long-term multi-phased mixed-use project, currently has zoning entitlements to build 1.6 million square feet of commercial-use buildings and 1,605 residential units. Phase I of Pike &amp; Rose includes 493 residential units, 157,000 square feet of retail space and 79,000 square feet of office space. In late June 2014, our 174 unit residential building opened, and is 94.8% leased as of June 30, 2015. As of June 30, 2015, 137,000 square feet of the retail space and 40,000 square feet of the office space in Phase I is open, and in July the first tenants moved into our 319 unit residential building. We expect the remaining retail, office, and residential units in the 319 unit building to open in the</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6" w:right="25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remainder of 2015 into early 2016, and Phase I to stabilize in 2015/2016. Total expected costs for Phase I of Pike &amp; Rose range from $255 million to $265 million of which $247 million has been incurred to date.</w:t>
      </w:r>
    </w:p>
    <w:p>
      <w:pPr>
        <w:spacing w:after="0" w:line="11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Additionally, we are proceeding with development of Phase II of Pike &amp; Rose and building construction has commenced. Phase II will include approximately 185,000 square feet of retail space, a 177 room select-service hotel and 264 residential units. Total expected costs range from $195 million to $200 million and stabilization is expected in 2018/2019. The hotel will be owned and operated by a joint venture in which we will be a partner. Phase II is also expected to include 104 for-sale condominium units with an expected cost of $53 million to $58 million. Including costs incurred in the first six months of 2015, we expect to invest between $90 million and $110 million in Pike &amp; Rose in 2015.</w:t>
      </w:r>
    </w:p>
    <w:p>
      <w:pPr>
        <w:spacing w:after="0" w:line="13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development of future phases of Assembly Row, Pike &amp; Rose and Santana Row will be pursued opportunistically based on, among other things, market conditions, tenant demand, and our evaluation of whether those phases will generate an appropriate financial return.</w:t>
      </w:r>
    </w:p>
    <w:p>
      <w:pPr>
        <w:spacing w:after="0" w:line="11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continue to review acquisition opportunities in our primary markets that complement our portfolio and provide long-term growth opportunities. Initially, some of our acquisitions do not contribute significantly to earnings growth; however, we believe they provide long-term re-leasing growth, redevelopment opportunities, and other strategic opportunities. Any growth from acquisitions is contingent on our ability to find properties that meet our qualitative standards at prices that meet our financial hurdles. Changes in interest rates may affect our success in achieving earnings growth through acquisitions by affecting both the price that must be paid to acquire a property, as well as our ability to economically finance the property acquisition. Generally, our acquisitions are initially financed by available cash and/or borrowings under our revolving credit facility which may be repaid later with funds raised through the issuance of new equity or new long-term debt. We may also finance our acquisitions through the issuance of common shares, preferred shares, or downREIT units as well as through new or assumed mortgages.</w:t>
      </w:r>
    </w:p>
    <w:p>
      <w:pPr>
        <w:spacing w:after="0" w:line="1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At June 30, 2015, the leasable square feet in our properties was 94.9% occupied and 95.7% leased. The leased rate is higher than the occupied rate due to leased spaces that are being redeveloped or improved or that are awaiting permits and, therefore, are not yet ready to be occupied. Our occupancy and leased rates are subject to variability over time due to factors including acquisitions, the timing of the start and stabilization of our redevelopment projects, lease expirations and tenant bankruptcies.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Rollovers</w:t>
      </w:r>
    </w:p>
    <w:p>
      <w:pPr>
        <w:spacing w:after="0" w:line="94"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For the second quarter of 2015, we signed leases for a total of 314,000 square feet of retail space including 297,000 square feet of comparable space leases (leases for which there was a prior tenant) at an average rental increase of 15% on a cash basis and 25% on a straight-line basis. New leases for comparable spaces were signed for 147,000 square feet at an average rental increase of 15% on a cash basis and 29% on a straight-line basis. Renewals for comparable spaces were signed for 150,000 square feet at an average rental increase of 16% on a cash basis and 21% on a straight-line basis. Tenant improvements and incentives for comparable spaces were $46.31 per square foot for new leases and $13.13 per square foot for renewals for the three months ended June 30, 2015.</w:t>
      </w:r>
    </w:p>
    <w:p>
      <w:pPr>
        <w:spacing w:after="0" w:line="13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For the six months ended June 30, 2015, we signed leases for a total of 593,000 square feet of retail space including 546,000 square feet of comparable space leases (leases for which there was a prior tenant) at an average rental increase of 13% on a cash basis and 23% on a straight-line basis. New leases for comparable spaces were signed for 248,000 square feet at an average rental increase of 15% on a cash basis and 27% on a straight-line basis. Renewals for comparable spaces were signed for 298,000 square feet at an average rental increase of 12% on a cash basis and 21% on a straight-line basis. Tenant improvements and incentives for comparable spaces were $49.89 per square foot for new leases and $7.13 per square foot for renewals for the six months ended June 30, 2015.</w:t>
      </w:r>
    </w:p>
    <w:p>
      <w:pPr>
        <w:spacing w:after="0" w:line="13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rental increases associated with comparable spaces generally include all leases signed in arms-length transactions reflecting market leverage between landlords and tenants during the period. The comparison between average rent for expiring leases and new leases is determined by including minimum rent and percentage rent paid on the expiring lease and minimum rent and in some instances, projections of first lease year percentage rent, to be paid on the new lease. In atypical circumstances, management may exercise judgment as to how to most effectively reflect the comparability of spaces reported in this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 Tenant improvements and incentives include the total dollars committed for the improvement (fit-out) of a space as it relates to a specific lease and, except for redevelopments, may also include base building costs (i.e. expansion, escalators or new entrances) which are required to make the space leasable. Incentives include amounts paid to tenants as an inducement to sign a lease that do not represent building improvements.</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126" w:right="27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leases signed in 2015 generally become effective over the following two years though some may not become effective until 2018 and beyond. Further, there is risk that some new tenants will not ultimately take possession of their space and that tenants for both new and renewal leases may not pay all of their contractual rent due to operating, financing or other matters. However, these increases do provide information about the tenant/landlord relationship and the potential increase we may achieve in rental income over time.</w:t>
      </w:r>
    </w:p>
    <w:p>
      <w:pPr>
        <w:spacing w:after="0" w:line="13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Historically, we have executed comparable space leases for 1.2 to 1.5 million square feet of retail space each year, and expect that volume for 2015 will be in line with our historical averages with overall positive increases in rental income. However, changes in rental income associated with individual signed leases on comparable spaces may be positive or negative, and we can provide no assurance that the rents on new leases will continue to increase at the above disclosed levels, if at all.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Same-Center</w:t>
      </w:r>
    </w:p>
    <w:p>
      <w:pPr>
        <w:spacing w:after="0" w:line="9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Throughout this section, we have provided certain information on a “same-center” basis. Information provided on a same-center basis includes the results of properties that we owned and operated for the entirety of both periods being compared except for properties for which significant redevelopment or expansion occurred during either of the periods being compared. For the three and six months ended June 30, 2015, all or a portion of 79 properties were considered same-center and thirteen were considered redevelopment or expansion. When compared to the designations as of December 31, 2014, three properties were moved from acquisition to same-center, two properties were moved from same-center to redevelopment, one property was moved from redevelopment to same-center, and one property was removed from same-center as it was sold in April 2015. While there is judgment surrounding changes in designations, we typically move redevelopment properties to same-center once they have stabilized, which is typically considered 95% occupancy or when the growth expected from the redevelopment has been included in the comparable periods. We typically remove properties from same center when the redevelopment has or is expected to have a significant impact to property operating income within the calendar year. Acquisitions are moved to same-center once we have owned the property for the entirety of comparable periods and the property is not under significant redevelopment or expansion.</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6" w:right="25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 THREE MONTHS ENDED JUNE 30, 2015 AND 2014</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800"/>
              <w:spacing w:after="0"/>
              <w:rPr>
                <w:sz w:val="20"/>
                <w:szCs w:val="20"/>
                <w:color w:val="auto"/>
              </w:rPr>
            </w:pPr>
            <w:r>
              <w:rPr>
                <w:rFonts w:ascii="Arial" w:cs="Arial" w:eastAsia="Arial" w:hAnsi="Arial"/>
                <w:sz w:val="14"/>
                <w:szCs w:val="14"/>
                <w:b w:val="1"/>
                <w:bCs w:val="1"/>
                <w:color w:val="auto"/>
              </w:rPr>
              <w:t>Change</w:t>
            </w:r>
          </w:p>
        </w:tc>
        <w:tc>
          <w:tcPr>
            <w:tcW w:w="860" w:type="dxa"/>
            <w:vAlign w:val="bottom"/>
            <w:tcBorders>
              <w:bottom w:val="single" w:sz="8" w:color="auto"/>
            </w:tcBorders>
          </w:tcPr>
          <w:p>
            <w:pPr>
              <w:spacing w:after="0"/>
              <w:rPr>
                <w:sz w:val="16"/>
                <w:szCs w:val="16"/>
                <w:color w:val="auto"/>
              </w:rPr>
            </w:pPr>
          </w:p>
        </w:tc>
      </w:tr>
      <w:tr>
        <w:trPr>
          <w:trHeight w:val="264"/>
        </w:trPr>
        <w:tc>
          <w:tcPr>
            <w:tcW w:w="58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Dollars</w:t>
            </w:r>
          </w:p>
        </w:tc>
        <w:tc>
          <w:tcPr>
            <w:tcW w:w="8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w:t>
            </w:r>
          </w:p>
        </w:tc>
      </w:tr>
      <w:tr>
        <w:trPr>
          <w:trHeight w:val="196"/>
        </w:trPr>
        <w:tc>
          <w:tcPr>
            <w:tcW w:w="5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80" w:type="dxa"/>
            <w:vAlign w:val="bottom"/>
            <w:gridSpan w:val="5"/>
          </w:tcPr>
          <w:p>
            <w:pPr>
              <w:ind w:left="140"/>
              <w:spacing w:after="0"/>
              <w:rPr>
                <w:sz w:val="20"/>
                <w:szCs w:val="20"/>
                <w:color w:val="auto"/>
              </w:rPr>
            </w:pPr>
            <w:r>
              <w:rPr>
                <w:rFonts w:ascii="Arial" w:cs="Arial" w:eastAsia="Arial" w:hAnsi="Arial"/>
                <w:sz w:val="14"/>
                <w:szCs w:val="14"/>
                <w:b w:val="1"/>
                <w:bCs w:val="1"/>
                <w:color w:val="auto"/>
              </w:rPr>
              <w:t>(Dollar amounts in thousands)</w:t>
            </w:r>
          </w:p>
        </w:tc>
        <w:tc>
          <w:tcPr>
            <w:tcW w:w="860" w:type="dxa"/>
            <w:vAlign w:val="bottom"/>
          </w:tcPr>
          <w:p>
            <w:pPr>
              <w:spacing w:after="0"/>
              <w:rPr>
                <w:sz w:val="17"/>
                <w:szCs w:val="17"/>
                <w:color w:val="auto"/>
              </w:rPr>
            </w:pPr>
          </w:p>
        </w:tc>
      </w:tr>
      <w:tr>
        <w:trPr>
          <w:trHeight w:val="256"/>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175,884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162,383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13,501</w:t>
            </w: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Other property income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4,420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4,325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95</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interest income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1,239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37"/>
        </w:trPr>
        <w:tc>
          <w:tcPr>
            <w:tcW w:w="5860" w:type="dxa"/>
            <w:vAlign w:val="bottom"/>
          </w:tcPr>
          <w:p>
            <w:pPr>
              <w:ind w:left="380"/>
              <w:spacing w:after="0"/>
              <w:rPr>
                <w:sz w:val="20"/>
                <w:szCs w:val="20"/>
                <w:color w:val="auto"/>
              </w:rPr>
            </w:pPr>
            <w:r>
              <w:rPr>
                <w:rFonts w:ascii="Arial" w:cs="Arial" w:eastAsia="Arial" w:hAnsi="Arial"/>
                <w:sz w:val="18"/>
                <w:szCs w:val="18"/>
                <w:color w:val="auto"/>
              </w:rPr>
              <w:t>Total property revenue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181,461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167,947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13,514</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32,623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31,405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1,218</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Real estate taxes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20,667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19,164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1,503</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6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property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53,290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50,569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2,721</w:t>
            </w: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5.4 %</w:t>
            </w: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Property operating income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128,171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117,378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10,793</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311.1 %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Income from real estate partnerships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156</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62.4 %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Early extinguishment of debt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(19,072)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(19,072)</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(42,671)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(40,893)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(1,778)</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6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net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(94,007)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(71,962)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(22,045)</w:t>
            </w: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30.6 %</w:t>
            </w: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34,164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45,416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(11,252)</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(24.8)%</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11,509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11,509</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37"/>
        </w:trPr>
        <w:tc>
          <w:tcPr>
            <w:tcW w:w="586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45,673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45,416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257</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0.6 %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9.1 %</w:t>
            </w:r>
          </w:p>
        </w:tc>
      </w:tr>
      <w:tr>
        <w:trPr>
          <w:trHeight w:val="257"/>
        </w:trPr>
        <w:tc>
          <w:tcPr>
            <w:tcW w:w="5860" w:type="dxa"/>
            <w:vAlign w:val="bottom"/>
          </w:tcPr>
          <w:p>
            <w:pPr>
              <w:ind w:left="40"/>
              <w:spacing w:after="0"/>
              <w:rPr>
                <w:sz w:val="20"/>
                <w:szCs w:val="20"/>
                <w:color w:val="auto"/>
              </w:rPr>
            </w:pPr>
            <w:r>
              <w:rPr>
                <w:rFonts w:ascii="Arial" w:cs="Arial" w:eastAsia="Arial" w:hAnsi="Arial"/>
                <w:sz w:val="18"/>
                <w:szCs w:val="18"/>
                <w:color w:val="auto"/>
              </w:rPr>
              <w:t>Net income attributable to the Trust</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43,632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43,545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87</w:t>
            </w:r>
          </w:p>
        </w:tc>
        <w:tc>
          <w:tcPr>
            <w:tcW w:w="4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0.2 %</w:t>
            </w:r>
          </w:p>
        </w:tc>
      </w:tr>
      <w:tr>
        <w:trPr>
          <w:trHeight w:val="20"/>
        </w:trPr>
        <w:tc>
          <w:tcPr>
            <w:tcW w:w="5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9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Total property revenue increased $13.5 million, or 8.0%, to $181.5 million in the three months ended June 30, 2015 compared to $167.9 million in the three months ended June 30, 2014. The percentage occupied at our shopping centers increased to 94.9% at June 30, 2015 compared to 94.3% at June 30, 2014. Changes in the components of property revenue are discussed below.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90" w:lineRule="exact"/>
        <w:rPr>
          <w:sz w:val="20"/>
          <w:szCs w:val="20"/>
          <w:color w:val="auto"/>
        </w:rPr>
      </w:pPr>
    </w:p>
    <w:p>
      <w:pPr>
        <w:ind w:right="40"/>
        <w:spacing w:after="0" w:line="317" w:lineRule="auto"/>
        <w:rPr>
          <w:sz w:val="20"/>
          <w:szCs w:val="20"/>
          <w:color w:val="auto"/>
        </w:rPr>
      </w:pPr>
      <w:r>
        <w:rPr>
          <w:rFonts w:ascii="Arial" w:cs="Arial" w:eastAsia="Arial" w:hAnsi="Arial"/>
          <w:sz w:val="16"/>
          <w:szCs w:val="16"/>
          <w:color w:val="auto"/>
        </w:rPr>
        <w:t>Rental income consists primarily of minimum rent, cost reimbursements from tenants and percentage rent. Rental income increased $13.5 million, or 8.3%, to $175.9 million in the three months ended June 30, 2015 compared to $162.4 million in the three months ended June 30, 2014 due primarily to the following:</w:t>
      </w:r>
    </w:p>
    <w:p>
      <w:pPr>
        <w:ind w:left="1700" w:right="360" w:hanging="801"/>
        <w:spacing w:after="0" w:line="277" w:lineRule="auto"/>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increase of $6.3 million from Assembly Row and Pike &amp; Rose as portions of both projects opened beginning in second quarter 2014,</w:t>
      </w:r>
    </w:p>
    <w:p>
      <w:pPr>
        <w:spacing w:after="0" w:line="8" w:lineRule="exact"/>
        <w:rPr>
          <w:rFonts w:ascii="Arial" w:cs="Arial" w:eastAsia="Arial" w:hAnsi="Arial"/>
          <w:sz w:val="18"/>
          <w:szCs w:val="18"/>
          <w:color w:val="auto"/>
        </w:rPr>
      </w:pPr>
    </w:p>
    <w:p>
      <w:pPr>
        <w:ind w:left="1700" w:hanging="801"/>
        <w:spacing w:after="0"/>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increase of $3.1 million attributable to properties acquired in 2015 and 2014,</w:t>
      </w:r>
    </w:p>
    <w:p>
      <w:pPr>
        <w:spacing w:after="0" w:line="63" w:lineRule="exact"/>
        <w:rPr>
          <w:rFonts w:ascii="Arial" w:cs="Arial" w:eastAsia="Arial" w:hAnsi="Arial"/>
          <w:sz w:val="18"/>
          <w:szCs w:val="18"/>
          <w:color w:val="auto"/>
        </w:rPr>
      </w:pPr>
    </w:p>
    <w:p>
      <w:pPr>
        <w:ind w:left="1700" w:right="540" w:hanging="801"/>
        <w:spacing w:after="0" w:line="277" w:lineRule="auto"/>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increase of $2.8 million at redevelopment properties due primarily to the lease-up of our new 212 unit residential building at Santana Row and the lease up of our retail redevelopment in Hollywood, CA, and</w:t>
      </w:r>
    </w:p>
    <w:p>
      <w:pPr>
        <w:spacing w:after="0" w:line="8" w:lineRule="exact"/>
        <w:rPr>
          <w:rFonts w:ascii="Arial" w:cs="Arial" w:eastAsia="Arial" w:hAnsi="Arial"/>
          <w:sz w:val="18"/>
          <w:szCs w:val="18"/>
          <w:color w:val="auto"/>
        </w:rPr>
      </w:pPr>
    </w:p>
    <w:p>
      <w:pPr>
        <w:ind w:left="1700" w:right="20" w:hanging="801"/>
        <w:spacing w:after="0" w:line="277" w:lineRule="auto"/>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increase of $2.2 million at same-center properties due primarily to higher rental rates of approximately $1.7 million, and occupancy impacts of approximately $0.7 million,</w:t>
      </w:r>
    </w:p>
    <w:p>
      <w:pPr>
        <w:spacing w:after="0" w:line="8"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700" w:hanging="801"/>
        <w:spacing w:after="0"/>
        <w:tabs>
          <w:tab w:leader="none" w:pos="1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decrease of $0.8 million due to the sale of our Houston Street property in April 2015.</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92"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20</w:t>
      </w:r>
    </w:p>
    <w:p>
      <w:pPr>
        <w:sectPr>
          <w:pgSz w:w="11900" w:h="16838" w:orient="portrait"/>
          <w:cols w:equalWidth="0" w:num="1">
            <w:col w:w="11420"/>
          </w:cols>
          <w:pgMar w:left="240" w:top="126" w:right="2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9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Total property expenses increased $2.7 million, or 5.4%, to $53.3 million in the three months ended June 30, 2015 compared to $50.6 million in the three months ended June 30, 2014. Changes in the components of property expenses are discussed below.</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9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Rental expenses increased $1.2 million, or 3.9%, to $32.6 million in the three months ended June 30, 2015 compared to $31.4 million in the three months ended June 30, 2014. This increase is primarily due to the following:</w:t>
      </w:r>
    </w:p>
    <w:p>
      <w:pPr>
        <w:spacing w:after="0" w:line="8" w:lineRule="exact"/>
        <w:rPr>
          <w:sz w:val="20"/>
          <w:szCs w:val="20"/>
          <w:color w:val="auto"/>
        </w:rPr>
      </w:pPr>
    </w:p>
    <w:p>
      <w:pPr>
        <w:ind w:left="1700" w:hanging="801"/>
        <w:spacing w:after="0"/>
        <w:tabs>
          <w:tab w:leader="none" w:pos="1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increase of $1.1 million related to properties acquired in 2015 and 2014, and</w:t>
      </w:r>
    </w:p>
    <w:p>
      <w:pPr>
        <w:spacing w:after="0" w:line="63" w:lineRule="exact"/>
        <w:rPr>
          <w:rFonts w:ascii="Arial" w:cs="Arial" w:eastAsia="Arial" w:hAnsi="Arial"/>
          <w:sz w:val="18"/>
          <w:szCs w:val="18"/>
          <w:color w:val="auto"/>
        </w:rPr>
      </w:pPr>
    </w:p>
    <w:p>
      <w:pPr>
        <w:ind w:left="1700" w:right="400" w:hanging="801"/>
        <w:spacing w:after="0" w:line="277" w:lineRule="auto"/>
        <w:tabs>
          <w:tab w:leader="none" w:pos="1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increase of $1.0 million related to Assembly Row and Pike &amp; Rose, as portions of these projects opened beginning in second quarter 2014,</w:t>
      </w:r>
    </w:p>
    <w:p>
      <w:pPr>
        <w:spacing w:after="0" w:line="8"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700" w:hanging="801"/>
        <w:spacing w:after="0"/>
        <w:tabs>
          <w:tab w:leader="none" w:pos="1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decrease of $0.4 million at same-center properties primarily due to lower utility expenses,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decrease of $0.3 million due to the sale of our Houston Street property in April 2015.</w:t>
      </w:r>
    </w:p>
    <w:p>
      <w:pPr>
        <w:spacing w:after="0" w:line="171"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As a result of the changes in rental income and rental expenses as discussed above, rental expenses as a percentage of rental income plus other property income decreased to 18.1% in the three months ended June 30, 2015 from 18.8% in the three months ended June 30, 2014.</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9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Real estate tax expense increased $1.5 million, or 7.8%, to $20.7 million in the three months ended June 30, 2015 compared to $19.2 million in the three months ended June 30, 2014 due primarily to Assembly Row and Pike &amp; Rose and properties acquired during 2015.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94"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Property operating income increased $10.8 million, or 9.2%, to $128.2 million in the three months ended June 30, 2015 compared to $117.4 million in the three months ended June 30, 2014. This increase is primarily due to Assembly Row and Pike &amp; Rose opening beginning in the second quarter 2014 and through 2015 and growth in earnings at same-center and redevelopment properties, partially offset by the sale of our Houston Street property.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Interest expense increased $0.2 million, or 1.0%, to $23.4 million in the three months ended June 30, 2015 compared to $23.2 million in the three months ended June 30, 2014. This increase is due primarily to the following:</w:t>
      </w:r>
    </w:p>
    <w:p>
      <w:pPr>
        <w:spacing w:after="0" w:line="8" w:lineRule="exact"/>
        <w:rPr>
          <w:sz w:val="20"/>
          <w:szCs w:val="20"/>
          <w:color w:val="auto"/>
        </w:rPr>
      </w:pPr>
    </w:p>
    <w:p>
      <w:pPr>
        <w:ind w:left="1700" w:hanging="801"/>
        <w:spacing w:after="0"/>
        <w:tabs>
          <w:tab w:leader="none" w:pos="1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of $2.3 million due to higher borrowings,</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8"/>
        </w:numPr>
        <w:rPr>
          <w:rFonts w:ascii="Arial" w:cs="Arial" w:eastAsia="Arial" w:hAnsi="Arial"/>
          <w:sz w:val="17"/>
          <w:szCs w:val="17"/>
          <w:color w:val="auto"/>
        </w:rPr>
      </w:pPr>
      <w:r>
        <w:rPr>
          <w:rFonts w:ascii="Arial" w:cs="Arial" w:eastAsia="Arial" w:hAnsi="Arial"/>
          <w:sz w:val="17"/>
          <w:szCs w:val="17"/>
          <w:color w:val="auto"/>
        </w:rPr>
        <w:t>a decrease of $0.6 million in capitalized interest due primarily to the majority of Phase I of Assembly Row opening during 2014,</w:t>
      </w:r>
    </w:p>
    <w:p>
      <w:pPr>
        <w:spacing w:after="0" w:line="74" w:lineRule="exact"/>
        <w:rPr>
          <w:rFonts w:ascii="Arial" w:cs="Arial" w:eastAsia="Arial" w:hAnsi="Arial"/>
          <w:sz w:val="17"/>
          <w:szCs w:val="17"/>
          <w:color w:val="auto"/>
        </w:rPr>
      </w:pPr>
    </w:p>
    <w:p>
      <w:pPr>
        <w:ind w:left="60"/>
        <w:spacing w:after="0"/>
        <w:rPr>
          <w:rFonts w:ascii="Arial" w:cs="Arial" w:eastAsia="Arial" w:hAnsi="Arial"/>
          <w:sz w:val="17"/>
          <w:szCs w:val="17"/>
          <w:color w:val="auto"/>
        </w:rPr>
      </w:pPr>
      <w:r>
        <w:rPr>
          <w:rFonts w:ascii="Arial" w:cs="Arial" w:eastAsia="Arial" w:hAnsi="Arial"/>
          <w:sz w:val="18"/>
          <w:szCs w:val="18"/>
          <w:color w:val="auto"/>
        </w:rPr>
        <w:t>partially offset by</w:t>
      </w:r>
    </w:p>
    <w:p>
      <w:pPr>
        <w:spacing w:after="0" w:line="63" w:lineRule="exact"/>
        <w:rPr>
          <w:rFonts w:ascii="Arial" w:cs="Arial" w:eastAsia="Arial" w:hAnsi="Arial"/>
          <w:sz w:val="17"/>
          <w:szCs w:val="17"/>
          <w:color w:val="auto"/>
        </w:rPr>
      </w:pPr>
    </w:p>
    <w:p>
      <w:pPr>
        <w:ind w:left="1700" w:hanging="801"/>
        <w:spacing w:after="0"/>
        <w:tabs>
          <w:tab w:leader="none" w:pos="1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decrease of $2.6 million due to a lower overall weighted average borrowing rate.</w:t>
      </w:r>
    </w:p>
    <w:p>
      <w:pPr>
        <w:spacing w:after="0" w:line="17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Gross interest costs were $28.3 million and $28.7 million in the three months ended June 30, 2015 and 2014, respectively. Capitalized interest was $4.8 million and $5.5 million in the three months ended June 30, 2015 and 2014,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Early Extinguishment of Debt</w:t>
      </w:r>
    </w:p>
    <w:p>
      <w:pPr>
        <w:spacing w:after="0" w:line="9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$19.1 million of early extinguishment of debt in the three months ended June 30, 2015 relates to the make-whole premium paid as part of the early redemption of our 6.20% senior notes, partially offset by the related net write-off of unamortized premium and debt fees.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General and administrative expenses increased $1.2 million, or 14.5%, to $9.3 million for the three months ended June 30, 2015, compared to $8.1 million in the three months ended June 30, 2014. The increase is due to higher personnel related costs and higher transaction costs.</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20"/>
          </w:cols>
          <w:pgMar w:left="240" w:top="126"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Depreciation and amortization expense increased $1.8 million, or 4.3%, to $42.7 million in the three months ended June 30, 2015 from $40.9 million in the three months ended June 30, 2014. This increase is due primarily to depreciation on Assembly Row and Pike &amp; Rose, and properties acquired in 2015, partially offset by accelerated depreciation in 2014 due to the change in use of a redevelopment property.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Real Estate</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The $11.5 million gain on sale of real estate for the three months ended June 30, 2015 is due to the sale of our Houston Street property in April 2015.</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 SIX MONTHS ENDED JUNE 30, 2015 AND 2014</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800"/>
              <w:spacing w:after="0"/>
              <w:rPr>
                <w:sz w:val="20"/>
                <w:szCs w:val="20"/>
                <w:color w:val="auto"/>
              </w:rPr>
            </w:pPr>
            <w:r>
              <w:rPr>
                <w:rFonts w:ascii="Arial" w:cs="Arial" w:eastAsia="Arial" w:hAnsi="Arial"/>
                <w:sz w:val="14"/>
                <w:szCs w:val="14"/>
                <w:b w:val="1"/>
                <w:bCs w:val="1"/>
                <w:color w:val="auto"/>
              </w:rPr>
              <w:t>Change</w:t>
            </w:r>
          </w:p>
        </w:tc>
        <w:tc>
          <w:tcPr>
            <w:tcW w:w="860" w:type="dxa"/>
            <w:vAlign w:val="bottom"/>
            <w:tcBorders>
              <w:bottom w:val="single" w:sz="8" w:color="auto"/>
            </w:tcBorders>
          </w:tcPr>
          <w:p>
            <w:pPr>
              <w:spacing w:after="0"/>
              <w:rPr>
                <w:sz w:val="16"/>
                <w:szCs w:val="16"/>
                <w:color w:val="auto"/>
              </w:rPr>
            </w:pPr>
          </w:p>
        </w:tc>
      </w:tr>
      <w:tr>
        <w:trPr>
          <w:trHeight w:val="264"/>
        </w:trPr>
        <w:tc>
          <w:tcPr>
            <w:tcW w:w="58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Dollars</w:t>
            </w:r>
          </w:p>
        </w:tc>
        <w:tc>
          <w:tcPr>
            <w:tcW w:w="8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w:t>
            </w:r>
          </w:p>
        </w:tc>
      </w:tr>
      <w:tr>
        <w:trPr>
          <w:trHeight w:val="196"/>
        </w:trPr>
        <w:tc>
          <w:tcPr>
            <w:tcW w:w="5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80" w:type="dxa"/>
            <w:vAlign w:val="bottom"/>
            <w:gridSpan w:val="5"/>
          </w:tcPr>
          <w:p>
            <w:pPr>
              <w:ind w:left="140"/>
              <w:spacing w:after="0"/>
              <w:rPr>
                <w:sz w:val="20"/>
                <w:szCs w:val="20"/>
                <w:color w:val="auto"/>
              </w:rPr>
            </w:pPr>
            <w:r>
              <w:rPr>
                <w:rFonts w:ascii="Arial" w:cs="Arial" w:eastAsia="Arial" w:hAnsi="Arial"/>
                <w:sz w:val="14"/>
                <w:szCs w:val="14"/>
                <w:b w:val="1"/>
                <w:bCs w:val="1"/>
                <w:color w:val="auto"/>
              </w:rPr>
              <w:t>(Dollar amounts in thousands)</w:t>
            </w:r>
          </w:p>
        </w:tc>
        <w:tc>
          <w:tcPr>
            <w:tcW w:w="860" w:type="dxa"/>
            <w:vAlign w:val="bottom"/>
          </w:tcPr>
          <w:p>
            <w:pPr>
              <w:spacing w:after="0"/>
              <w:rPr>
                <w:sz w:val="17"/>
                <w:szCs w:val="17"/>
                <w:color w:val="auto"/>
              </w:rPr>
            </w:pPr>
          </w:p>
        </w:tc>
      </w:tr>
      <w:tr>
        <w:trPr>
          <w:trHeight w:val="256"/>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357,050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328,576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28,474</w:t>
            </w: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Other property income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6,885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7,725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(840)</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interest income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2,474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37"/>
        </w:trPr>
        <w:tc>
          <w:tcPr>
            <w:tcW w:w="5860" w:type="dxa"/>
            <w:vAlign w:val="bottom"/>
          </w:tcPr>
          <w:p>
            <w:pPr>
              <w:ind w:left="380"/>
              <w:spacing w:after="0"/>
              <w:rPr>
                <w:sz w:val="20"/>
                <w:szCs w:val="20"/>
                <w:color w:val="auto"/>
              </w:rPr>
            </w:pPr>
            <w:r>
              <w:rPr>
                <w:rFonts w:ascii="Arial" w:cs="Arial" w:eastAsia="Arial" w:hAnsi="Arial"/>
                <w:sz w:val="18"/>
                <w:szCs w:val="18"/>
                <w:color w:val="auto"/>
              </w:rPr>
              <w:t>Total property revenue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366,253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338,775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27,478</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74,062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68,535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5,527</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Real estate taxes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41,061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37,864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3,197</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6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property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115,123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106,399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8,724</w:t>
            </w: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8.2 %</w:t>
            </w: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Property operating income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251,130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232,376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18,754</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139.5 %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Income from real estate partnerships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163</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35.2 %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Early extinguishment of debt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(19,072)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(19,072)</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(2,324)</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(84,655)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(84,743)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88</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6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net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(168,763)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(146,415)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(22,348)</w:t>
            </w: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15.3 %</w:t>
            </w: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82,367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85,961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(3,594)</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11,509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11,509</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37"/>
        </w:trPr>
        <w:tc>
          <w:tcPr>
            <w:tcW w:w="586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93,876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85,961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7,915</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10.8 %</w:t>
            </w:r>
          </w:p>
        </w:tc>
      </w:tr>
      <w:tr>
        <w:trPr>
          <w:trHeight w:val="257"/>
        </w:trPr>
        <w:tc>
          <w:tcPr>
            <w:tcW w:w="5860" w:type="dxa"/>
            <w:vAlign w:val="bottom"/>
          </w:tcPr>
          <w:p>
            <w:pPr>
              <w:ind w:left="40"/>
              <w:spacing w:after="0"/>
              <w:rPr>
                <w:sz w:val="20"/>
                <w:szCs w:val="20"/>
                <w:color w:val="auto"/>
              </w:rPr>
            </w:pPr>
            <w:r>
              <w:rPr>
                <w:rFonts w:ascii="Arial" w:cs="Arial" w:eastAsia="Arial" w:hAnsi="Arial"/>
                <w:sz w:val="18"/>
                <w:szCs w:val="18"/>
                <w:color w:val="auto"/>
              </w:rPr>
              <w:t>Net income attributable to the Trust</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89,818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82,298</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7,520</w:t>
            </w:r>
          </w:p>
        </w:tc>
        <w:tc>
          <w:tcPr>
            <w:tcW w:w="4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9.1 %</w:t>
            </w:r>
          </w:p>
        </w:tc>
      </w:tr>
      <w:tr>
        <w:trPr>
          <w:trHeight w:val="20"/>
        </w:trPr>
        <w:tc>
          <w:tcPr>
            <w:tcW w:w="5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94"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Total property revenue increased $27.5 million, or 8.1%, to $366.3 million in the six months ended June 30, 2015 compared to $338.8 million in the six months ended June 30, 2014. The percentage occupied at our shopping centers increased to 94.9% at June 30, 2015 compared to 94.3% at June 30, 2014. Changes in the components of property revenue are discussed below.</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90" w:lineRule="exact"/>
        <w:rPr>
          <w:sz w:val="20"/>
          <w:szCs w:val="20"/>
          <w:color w:val="auto"/>
        </w:rPr>
      </w:pPr>
    </w:p>
    <w:p>
      <w:pPr>
        <w:ind w:right="40"/>
        <w:spacing w:after="0" w:line="334" w:lineRule="auto"/>
        <w:rPr>
          <w:sz w:val="20"/>
          <w:szCs w:val="20"/>
          <w:color w:val="auto"/>
        </w:rPr>
      </w:pPr>
      <w:r>
        <w:rPr>
          <w:rFonts w:ascii="Arial" w:cs="Arial" w:eastAsia="Arial" w:hAnsi="Arial"/>
          <w:sz w:val="16"/>
          <w:szCs w:val="16"/>
          <w:color w:val="auto"/>
        </w:rPr>
        <w:t>Rental income consists primarily of minimum rent, cost reimbursements from tenants and percentage rent. Rental income increased $28.5 million, or 8.7%, to $357.1 million in the six months ended June 30, 2015 compared to $328.6 million in the six months ended June 30, 2014 due primarily to the following:</w:t>
      </w:r>
    </w:p>
    <w:p>
      <w:pPr>
        <w:spacing w:after="0" w:line="1" w:lineRule="exact"/>
        <w:rPr>
          <w:sz w:val="20"/>
          <w:szCs w:val="20"/>
          <w:color w:val="auto"/>
        </w:rPr>
      </w:pPr>
    </w:p>
    <w:p>
      <w:pPr>
        <w:ind w:left="1700" w:right="280" w:hanging="801"/>
        <w:spacing w:after="0" w:line="277" w:lineRule="auto"/>
        <w:tabs>
          <w:tab w:leader="none" w:pos="1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of $12.3 million from Assembly Row and Pike &amp; Rose as portions of both projects opened beginning in second quarter 2014,</w:t>
      </w:r>
    </w:p>
    <w:p>
      <w:pPr>
        <w:spacing w:after="0" w:line="35" w:lineRule="exact"/>
        <w:rPr>
          <w:rFonts w:ascii="Arial" w:cs="Arial" w:eastAsia="Arial" w:hAnsi="Arial"/>
          <w:sz w:val="18"/>
          <w:szCs w:val="18"/>
          <w:color w:val="auto"/>
        </w:rPr>
      </w:pPr>
    </w:p>
    <w:p>
      <w:pPr>
        <w:jc w:val="both"/>
        <w:ind w:left="1700" w:right="320" w:hanging="801"/>
        <w:spacing w:after="0" w:line="264" w:lineRule="auto"/>
        <w:tabs>
          <w:tab w:leader="none" w:pos="1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of $7.8 million at same-center properties due primarily to higher rental rates of approximately $4.3 million, occupancy impacts of approximately $1.5 million, and a $1.1 million increase in recovery income (primarily the result of reimbursements for higher snow removal costs),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6" w:right="2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02" w:lineRule="exact"/>
        <w:rPr>
          <w:sz w:val="20"/>
          <w:szCs w:val="20"/>
          <w:color w:val="auto"/>
        </w:rPr>
      </w:pPr>
    </w:p>
    <w:p>
      <w:pPr>
        <w:ind w:left="1700" w:hanging="801"/>
        <w:spacing w:after="0"/>
        <w:tabs>
          <w:tab w:leader="none" w:pos="1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of $4.7 million attributable to properties acquired in 2015 and 2014, and</w:t>
      </w:r>
    </w:p>
    <w:p>
      <w:pPr>
        <w:spacing w:after="0" w:line="63" w:lineRule="exact"/>
        <w:rPr>
          <w:rFonts w:ascii="Arial" w:cs="Arial" w:eastAsia="Arial" w:hAnsi="Arial"/>
          <w:sz w:val="18"/>
          <w:szCs w:val="18"/>
          <w:color w:val="auto"/>
        </w:rPr>
      </w:pPr>
    </w:p>
    <w:p>
      <w:pPr>
        <w:ind w:left="1700" w:right="460" w:hanging="801"/>
        <w:spacing w:after="0" w:line="277" w:lineRule="auto"/>
        <w:tabs>
          <w:tab w:leader="none" w:pos="1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of $4.4 million at redevelopment properties due primarily to the lease-up of our new 212 unit residential building at Santana Row and the lease up of our retail redevelopment in Hollywood, CA,</w:t>
      </w:r>
    </w:p>
    <w:p>
      <w:pPr>
        <w:spacing w:after="0" w:line="8"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700" w:hanging="801"/>
        <w:spacing w:after="0"/>
        <w:tabs>
          <w:tab w:leader="none" w:pos="1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decrease of $0.7 million due to the sale of our Houston Street property in April 2015.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Property Income</w:t>
      </w:r>
    </w:p>
    <w:p>
      <w:pPr>
        <w:spacing w:after="0" w:line="63" w:lineRule="exact"/>
        <w:rPr>
          <w:sz w:val="20"/>
          <w:szCs w:val="20"/>
          <w:color w:val="auto"/>
        </w:rPr>
      </w:pPr>
    </w:p>
    <w:p>
      <w:pPr>
        <w:ind w:left="60" w:right="100"/>
        <w:spacing w:after="0" w:line="312" w:lineRule="auto"/>
        <w:rPr>
          <w:sz w:val="20"/>
          <w:szCs w:val="20"/>
          <w:color w:val="auto"/>
        </w:rPr>
      </w:pPr>
      <w:r>
        <w:rPr>
          <w:rFonts w:ascii="Arial" w:cs="Arial" w:eastAsia="Arial" w:hAnsi="Arial"/>
          <w:sz w:val="16"/>
          <w:szCs w:val="16"/>
          <w:color w:val="auto"/>
        </w:rPr>
        <w:t>Other property income decreased $0.8 million, or 10.9%, to $6.9 million in the six months ended June 30, 2015 compared to $7.7 million in the six months ended June 30, 2014. Included in other property income are items which, although recurring, inherently tend to fluctuate more than rental income from period to period, such as lease termination fees. This decrease is primarily due to lower lease termination fees at our redevelopment properties.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9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Total property expenses increased $8.7 million, or 8.2%, to $115.1 million in the six months ended June 30, 2015 compared to $106.4 million in the six months ended June 30, 2014. Changes in the components of property expenses are discussed below.</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Rental expenses increased $5.5 million, or 8.1%, to $74.1 million in the six months ended June 30, 2015 compared to $68.5 million in the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2014. This increase is primarily due to the following:</w:t>
      </w:r>
    </w:p>
    <w:p>
      <w:pPr>
        <w:spacing w:after="0" w:line="49" w:lineRule="exact"/>
        <w:rPr>
          <w:sz w:val="20"/>
          <w:szCs w:val="20"/>
          <w:color w:val="auto"/>
        </w:rPr>
      </w:pPr>
    </w:p>
    <w:p>
      <w:pPr>
        <w:ind w:left="1700" w:right="420" w:hanging="801"/>
        <w:spacing w:after="0" w:line="277" w:lineRule="auto"/>
        <w:tabs>
          <w:tab w:leader="none" w:pos="1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$3.3 million related to Assembly Row and Pike &amp; Rose, as portions of these projects opened beginning in second quarter 2014,</w:t>
      </w:r>
    </w:p>
    <w:p>
      <w:pPr>
        <w:spacing w:after="0" w:line="8" w:lineRule="exact"/>
        <w:rPr>
          <w:rFonts w:ascii="Arial" w:cs="Arial" w:eastAsia="Arial" w:hAnsi="Arial"/>
          <w:sz w:val="18"/>
          <w:szCs w:val="18"/>
          <w:color w:val="auto"/>
        </w:rPr>
      </w:pPr>
    </w:p>
    <w:p>
      <w:pPr>
        <w:ind w:left="1700" w:hanging="801"/>
        <w:spacing w:after="0"/>
        <w:tabs>
          <w:tab w:leader="none" w:pos="1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$1.6 million related to properties acquired in 2015 and 2014,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$0.9 million at same-center properties primarily due to higher snow removal costs.</w:t>
      </w:r>
    </w:p>
    <w:p>
      <w:pPr>
        <w:spacing w:after="0" w:line="171" w:lineRule="exact"/>
        <w:rPr>
          <w:sz w:val="20"/>
          <w:szCs w:val="20"/>
          <w:color w:val="auto"/>
        </w:rPr>
      </w:pPr>
    </w:p>
    <w:p>
      <w:pPr>
        <w:ind w:right="980"/>
        <w:spacing w:after="0" w:line="391" w:lineRule="auto"/>
        <w:rPr>
          <w:sz w:val="20"/>
          <w:szCs w:val="20"/>
          <w:color w:val="auto"/>
        </w:rPr>
      </w:pPr>
      <w:r>
        <w:rPr>
          <w:rFonts w:ascii="Arial" w:cs="Arial" w:eastAsia="Arial" w:hAnsi="Arial"/>
          <w:sz w:val="18"/>
          <w:szCs w:val="18"/>
          <w:color w:val="auto"/>
        </w:rPr>
        <w:t xml:space="preserve">Rental expenses as a percentage of rental income plus other property income were 20.4% in both the six months ended June 30, 2015 and 2014. </w:t>
      </w:r>
      <w:r>
        <w:rPr>
          <w:rFonts w:ascii="Arial" w:cs="Arial" w:eastAsia="Arial" w:hAnsi="Arial"/>
          <w:sz w:val="18"/>
          <w:szCs w:val="18"/>
          <w:i w:val="1"/>
          <w:iCs w:val="1"/>
          <w:color w:val="auto"/>
        </w:rPr>
        <w:t>Real Estate Taxes</w:t>
      </w:r>
    </w:p>
    <w:p>
      <w:pPr>
        <w:spacing w:after="0" w:line="1"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Real estate tax expense increased $3.2 million, or 8.4%, to $41.1 million in the six months ended June 30, 2015 compared to $37.9 million in the six months ended June 30, 2014 due primarily to Assembly Row and Pike &amp; Rose and higher assessments at our redevelopment and same-center properties.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9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Property operating income increased $18.8 million, or 8.1%, to $251.1 million in the six months ended June 30, 2015 compared to $232.4 million in the six months ended June 30, 2014. This increase is primarily due to portions of Assembly Row and Pike &amp; Rose opening beginning in the second quarter 2014, growth in earnings at same-center and redevelopment properties, and the properties acquired in 2015, partially offset by the sale of our Houston Street property.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increased $1.3 million, or 2.7%, to $47.6 million in the six months ended June 30, 2015 compared to $46.4 million in the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2014. This increase is due primarily to the following:</w:t>
      </w:r>
    </w:p>
    <w:p>
      <w:pPr>
        <w:spacing w:after="0" w:line="49" w:lineRule="exact"/>
        <w:rPr>
          <w:sz w:val="20"/>
          <w:szCs w:val="20"/>
          <w:color w:val="auto"/>
        </w:rPr>
      </w:pPr>
    </w:p>
    <w:p>
      <w:pPr>
        <w:ind w:left="1700" w:hanging="801"/>
        <w:spacing w:after="0"/>
        <w:tabs>
          <w:tab w:leader="none" w:pos="1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$3.6 million due to higher borrowings,</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 decrease of $1.5 million in capitalized interest due primarily to the majority of Phase I of Assembly Row opening during 2014,</w:t>
      </w:r>
    </w:p>
    <w:p>
      <w:pPr>
        <w:spacing w:after="0" w:line="74" w:lineRule="exact"/>
        <w:rPr>
          <w:rFonts w:ascii="Arial" w:cs="Arial" w:eastAsia="Arial" w:hAnsi="Arial"/>
          <w:sz w:val="17"/>
          <w:szCs w:val="17"/>
          <w:color w:val="auto"/>
        </w:rPr>
      </w:pPr>
    </w:p>
    <w:p>
      <w:pPr>
        <w:ind w:left="60"/>
        <w:spacing w:after="0"/>
        <w:rPr>
          <w:rFonts w:ascii="Arial" w:cs="Arial" w:eastAsia="Arial" w:hAnsi="Arial"/>
          <w:sz w:val="17"/>
          <w:szCs w:val="17"/>
          <w:color w:val="auto"/>
        </w:rPr>
      </w:pPr>
      <w:r>
        <w:rPr>
          <w:rFonts w:ascii="Arial" w:cs="Arial" w:eastAsia="Arial" w:hAnsi="Arial"/>
          <w:sz w:val="18"/>
          <w:szCs w:val="18"/>
          <w:color w:val="auto"/>
        </w:rPr>
        <w:t>partially offset by</w:t>
      </w:r>
    </w:p>
    <w:p>
      <w:pPr>
        <w:spacing w:after="0" w:line="63" w:lineRule="exact"/>
        <w:rPr>
          <w:rFonts w:ascii="Arial" w:cs="Arial" w:eastAsia="Arial" w:hAnsi="Arial"/>
          <w:sz w:val="17"/>
          <w:szCs w:val="17"/>
          <w:color w:val="auto"/>
        </w:rPr>
      </w:pPr>
    </w:p>
    <w:p>
      <w:pPr>
        <w:ind w:left="1700" w:hanging="801"/>
        <w:spacing w:after="0"/>
        <w:tabs>
          <w:tab w:leader="none" w:pos="1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decrease of $3.8 million due to a lower overall weighted average borrowing rate.</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Gross interest costs were $57.2 million and $57.4 million in the six months ended June 30, 2015 and 2014, respectively. Capitalized interest was $9.5 million and $11.0 million in the six months ended June 30, 2015 and 2014, respectively.</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40"/>
          </w:cols>
          <w:pgMar w:left="240" w:top="126" w:right="31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Early Extinguishment of Debt</w:t>
      </w:r>
    </w:p>
    <w:p>
      <w:pPr>
        <w:spacing w:after="0" w:line="90"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color w:val="auto"/>
        </w:rPr>
        <w:t>The $19.1 million of early extinguishment of debt in the six months ended June 30, 2015 relates to the make-whole premium paid as part of the early redemption of our 6.20% senior notes, partially offset by the related net write-off of unamortized premium and debt fees.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9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General and administrative expenses increased $2.3 million, or 14.7%, to $18.2 million for the six months ended June 30, 2015, compared to $15.8 million in the six months ended June 30, 2014. The increase is due to higher personnel related costs and higher transaction costs.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Real Estate</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The $11.5 million gain on sale of real estate for the six months ended June 30, 2015 is due to the sale of our Houston Street property in April 2015.</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Due to the nature of our business and strategy, we typically generate significant amounts of cash from operations. The cash generated from operations is primarily paid to our common and preferred shareholders in the form of dividends. As a REIT, we must generally make annual distributions to shareholders of at least 90% of our taxable income.</w:t>
      </w:r>
    </w:p>
    <w:p>
      <w:pPr>
        <w:spacing w:after="0" w:line="127"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Our short-term liquidity requirements consist primarily of normal recurring operating expenses, obligations under our capital and operating leases, regular debt service requirements (including debt service relating to additional or replacement debt, as well as scheduled debt maturities), recurring expenditures, non-recurring expenditures (such as tenant improvements and redevelopments) and dividends to common and preferred shareholders. Our long-term capital requirements consist primarily of maturities under our long-term debt agreements, development and redevelopment costs and potential acquisitions.</w:t>
      </w:r>
    </w:p>
    <w:p>
      <w:pPr>
        <w:spacing w:after="0" w:line="100"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We intend to operate with and maintain a conservative capital structure that will allow us to maintain strong debt service coverage and fixed-charge coverage ratios as part of our commitment to investment-grade debt ratings. In the short and long term, we may seek to obtain funds through the issuance of additional equity, unsecured and/or secured debt financings, joint venture relationships relating to existing properties or new acquisitions, and property dispositions that are consistent with this conservative structure.</w:t>
      </w:r>
    </w:p>
    <w:p>
      <w:pPr>
        <w:spacing w:after="0" w:line="13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Cash and cash equivalents were $22.2 million at June 30, 2015. Additionally, we have a $600.0 million unsecured revolving credit facility which matures on April 21, 2017, subject to a one-year extension at our option, which had $106.5 million outstanding at June 30, 2015. In addition, we have an option (subject to bank approval) to increase the credit facility through an accordion feature to $1.0 billion. Our $275.0 million unsecured term loan, which matures on November 21, 2018, subject to a one-year extension at our option, also has an option (subject to bank approval) to increase the term loan through an accordion feature to $350.0 million. As of June 30, 2015, we had the capacity to issue up to $242.7 million in common shares under our ATM equity program.</w:t>
      </w:r>
    </w:p>
    <w:p>
      <w:pPr>
        <w:spacing w:after="0" w:line="5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For the six months ended June 30, 2015, the maximum amount of borrowings outstanding under our revolving credit facility was $173.5 million, the weighted average amount of borrowings outstanding was $79.3 million and the weighted average interest rate, before amortization of debt fees, was 1.1%. On April 11, 2015, we redeemed our $200.0 million 6.20% senior notes prior to the original maturity date of January 15, 2017 using the funds raised from our March 2015 senior note issuance. On August 3, 2015 we repaid $147 million of mortgage debt that had a weighted average stated interest rate of 7.9%. We have no additional debt maturing in 2015 and only $27 million maturing in 2016. We currently believe that cash flows from operations, cash on hand, our ATM equity program, our revolving credit facility and our general ability to access the capital markets will be sufficient to finance our operations and fund our debt service requirements (including maturities) and capital expenditures.</w:t>
      </w:r>
    </w:p>
    <w:p>
      <w:pPr>
        <w:spacing w:after="0" w:line="12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overall capital requirements for the remainder of 2015 will depend upon acquisition opportunities, the level of improvements and redevelopments on existing properties and the timing and cost of development of Assembly Row, Pike &amp; Rose and future phases of Santana Row. While the amount of future expenditures will depend on numerous factors, we expect to continue to see higher levels of capital investments in our properties under development and redevelopment in 2015 which is the result of the continued development at both Assembly Row and Pike &amp; Rose with openings of portions of both projects in the remainder of 2015, the commencement of construction on Phase II of Assembly Row and Pike &amp; Rose, and the current phase of Santana Row. With respect to other capital investments related to our existing properties, we expect to incur levels consistent with prior years. Our capital investments will be funded on a short-term basis with cash flow from operations, cash on hand and/or our revolving credit facility, and on a long-term basis with long-term debt or equity including shares issued under our ATM equity program. If necessary, we may access the debt or equity capital markets to finance significant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6" w:right="23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acquisitions. Given our past ability to access the capital markets, we expect debt or equity to be available to us. Although there is no intent at this time, if market conditions deteriorate, we may also delay the timing of certain development and redevelopment projects as well as limit future acquisitions, reduce our operating expenditures, or re-evaluate our dividend policy.</w:t>
      </w:r>
    </w:p>
    <w:p>
      <w:pPr>
        <w:spacing w:after="0" w:line="127"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In addition to conditions in the capital markets which could affect our ability to access those markets, the following factors could affect our ability to meet our liquidity requirements:</w:t>
      </w:r>
    </w:p>
    <w:p>
      <w:pPr>
        <w:spacing w:after="0" w:line="1" w:lineRule="exact"/>
        <w:rPr>
          <w:sz w:val="20"/>
          <w:szCs w:val="20"/>
          <w:color w:val="auto"/>
        </w:rPr>
      </w:pPr>
    </w:p>
    <w:p>
      <w:pPr>
        <w:ind w:left="1700" w:right="40" w:hanging="801"/>
        <w:spacing w:after="0" w:line="250" w:lineRule="auto"/>
        <w:tabs>
          <w:tab w:leader="none" w:pos="1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restrictions in our debt instruments or preferred shares may limit us from incurring debt or issuing equity at all, or on acceptable terms under then-prevailing market conditions; and</w:t>
      </w:r>
    </w:p>
    <w:p>
      <w:pPr>
        <w:ind w:left="1700" w:hanging="801"/>
        <w:spacing w:after="0"/>
        <w:tabs>
          <w:tab w:leader="none" w:pos="17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may be unable to service additional or replacement debt due to increases in interest rates or a decline in our operating performance.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Cash Flows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473"/>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8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r>
      <w:tr>
        <w:trPr>
          <w:trHeight w:val="196"/>
        </w:trPr>
        <w:tc>
          <w:tcPr>
            <w:tcW w:w="8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7"/>
                <w:szCs w:val="17"/>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operating activities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173,648</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172,069</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used in investing activities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(216,351)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(190,122)</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(used in) financing activities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16,927</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(29,562)</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Decrease in cash and cash equivalents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(25,776)</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(47,615)</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year</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47,951</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88,927</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22,175</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41,312</w:t>
            </w:r>
          </w:p>
        </w:tc>
      </w:tr>
      <w:tr>
        <w:trPr>
          <w:trHeight w:val="27"/>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Net cash provided by operating activities increased $1.6 million to $173.6 million during the six months ended June 30, 2015 from $172.1 million during the six months ended June 30, 2014. The increase was primarily attributable to higher net income before certain non-cash items offset by lower accounts payable and accrued expense balances primarily due to timing of interest payments on our senior notes.</w:t>
      </w:r>
    </w:p>
    <w:p>
      <w:pPr>
        <w:spacing w:after="0" w:line="12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Net cash used in investing activities increased $26.2 million to $216.4 million during the six months ended June 30, 2015 from $190.1 million during the six months ended June 30, 2014. The increase was primarily attributable to:</w:t>
      </w:r>
    </w:p>
    <w:p>
      <w:pPr>
        <w:spacing w:after="0" w:line="8" w:lineRule="exact"/>
        <w:rPr>
          <w:sz w:val="20"/>
          <w:szCs w:val="20"/>
          <w:color w:val="auto"/>
        </w:rPr>
      </w:pPr>
    </w:p>
    <w:p>
      <w:pPr>
        <w:ind w:left="1700" w:hanging="801"/>
        <w:spacing w:after="0"/>
        <w:tabs>
          <w:tab w:leader="none" w:pos="1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$104.6 million increase in acquisitions of real estate,</w:t>
      </w:r>
    </w:p>
    <w:p>
      <w:pPr>
        <w:spacing w:after="0" w:line="63"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partially offset by</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$45.8 million in proceeds from the sale of our Houston Street property in April 2015,</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$29.4 million decrease in capital investments and leasing costs,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$3.4 million decrease in contributions to our real estate partnership.</w:t>
      </w:r>
    </w:p>
    <w:p>
      <w:pPr>
        <w:spacing w:after="0" w:line="17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Net cash provided by financing activities increased $46.5 million to $16.9 million provided during the six months ended June 30, 2015 from $29.6 million used during the six months ended June 30, 2014. The increase was primarily attributable to:</w:t>
      </w:r>
    </w:p>
    <w:p>
      <w:pPr>
        <w:spacing w:after="0" w:line="8" w:lineRule="exact"/>
        <w:rPr>
          <w:sz w:val="20"/>
          <w:szCs w:val="20"/>
          <w:color w:val="auto"/>
        </w:rPr>
      </w:pPr>
    </w:p>
    <w:p>
      <w:pPr>
        <w:ind w:left="1700" w:hanging="801"/>
        <w:spacing w:after="0"/>
        <w:tabs>
          <w:tab w:leader="none" w:pos="1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$208.6 million in net proceeds from the re-opening of the 4.50% senior notes in March 2015,</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$106.5 million increase in net borrowings on our revolving credit facility, and</w:t>
      </w:r>
    </w:p>
    <w:p>
      <w:pPr>
        <w:spacing w:after="0" w:line="63" w:lineRule="exact"/>
        <w:rPr>
          <w:rFonts w:ascii="Arial" w:cs="Arial" w:eastAsia="Arial" w:hAnsi="Arial"/>
          <w:sz w:val="18"/>
          <w:szCs w:val="18"/>
          <w:color w:val="auto"/>
        </w:rPr>
      </w:pPr>
    </w:p>
    <w:p>
      <w:pPr>
        <w:ind w:left="1700" w:right="160" w:hanging="801"/>
        <w:spacing w:after="0" w:line="264" w:lineRule="auto"/>
        <w:tabs>
          <w:tab w:leader="none" w:pos="1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$12.8 million decrease in repayment of mortgages, capital leases, and notes payable primarily due to the acquisition of one of the noncontrolling interest holder's interest in The Grove at Shrewsbury for $8.8 million, which was classified as a liability, compared to the payoff of one of our mortgages for $20.3 million in 2014,</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700" w:right="160" w:hanging="801"/>
        <w:spacing w:after="0" w:line="277" w:lineRule="auto"/>
        <w:tabs>
          <w:tab w:leader="none" w:pos="1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$219.2 million decrease due to the redemption of $200 million of senior notes with a make-whole premium of $19.2 million in April 2015,</w:t>
      </w:r>
    </w:p>
    <w:p>
      <w:pPr>
        <w:spacing w:after="0" w:line="8" w:lineRule="exact"/>
        <w:rPr>
          <w:rFonts w:ascii="Arial" w:cs="Arial" w:eastAsia="Arial" w:hAnsi="Arial"/>
          <w:sz w:val="18"/>
          <w:szCs w:val="18"/>
          <w:color w:val="auto"/>
        </w:rPr>
      </w:pPr>
    </w:p>
    <w:p>
      <w:pPr>
        <w:ind w:left="1700" w:right="20" w:hanging="801"/>
        <w:spacing w:after="0" w:line="264" w:lineRule="auto"/>
        <w:tabs>
          <w:tab w:leader="none" w:pos="1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$45.9 million decrease in net proceeds from the issuance of common shares due primarily to the sale of 0.4 million common shares under our ATM equity program at a weighted average price of $134.12 in the six months ended June 30, 2015 compared to 0.9 million shares at a weighted average price of $115.44 in the six months ended June 30, 2014, and</w:t>
      </w:r>
    </w:p>
    <w:p>
      <w:pPr>
        <w:spacing w:after="0" w:line="19" w:lineRule="exact"/>
        <w:rPr>
          <w:rFonts w:ascii="Arial" w:cs="Arial" w:eastAsia="Arial" w:hAnsi="Arial"/>
          <w:sz w:val="18"/>
          <w:szCs w:val="18"/>
          <w:color w:val="auto"/>
        </w:rPr>
      </w:pPr>
    </w:p>
    <w:p>
      <w:pPr>
        <w:ind w:left="1700" w:right="580" w:hanging="801"/>
        <w:spacing w:after="0" w:line="277" w:lineRule="auto"/>
        <w:tabs>
          <w:tab w:leader="none" w:pos="1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$14.9 million increase in dividends paid to shareholders due to an increase in the dividend rate and increased number of shares outstanding.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6" w:right="2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have a joint venture arrangement (the “Partnership”) with affiliates of a discretionary fund created and advised by ING Clarion Partners (“Clarion”). We own 30% of the equity in the Partnership and Clarion owns 70%. We hold a general partnership interest, however, Clarion also holds a general partnership interest and has substantive participating rights. We cannot make significant decisions without Clarion’s approval. Accordingly, we account for our interest in the Partnership using the equity method. As of June 30, 2015, the Partnership owned six retail real estate properties. We are the manager of the Partnership and its properties, earning fees for acquisitions, management, leasing and financing. We also have the opportunity to receive performance-based earnings through our Partnership interest. The Partnership is subject to a buy-sell provision which is customary in real estate joint venture agreements and the industry. Either partner may initiate this provision at any time, which could result in either the sale of our interest or the use of available cash or borrowings to acquire Clarion’s interest. Accounting policies for the Partnership are similar to accounting policies followed by the Trust. At June 30, 2015, our investment in the Partnership was $32.5 million and the Partnership had $34.4 million of mortgages payable outstanding.</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126" w:right="29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Financing Arrangements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total debt outstanding as of June 30, 2015:</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480" w:type="dxa"/>
            <w:vAlign w:val="bottom"/>
          </w:tcPr>
          <w:p>
            <w:pPr>
              <w:jc w:val="center"/>
              <w:ind w:right="40"/>
              <w:spacing w:after="0"/>
              <w:rPr>
                <w:sz w:val="20"/>
                <w:szCs w:val="20"/>
                <w:color w:val="auto"/>
              </w:rPr>
            </w:pPr>
            <w:r>
              <w:rPr>
                <w:rFonts w:ascii="Arial" w:cs="Arial" w:eastAsia="Arial" w:hAnsi="Arial"/>
                <w:sz w:val="14"/>
                <w:szCs w:val="14"/>
                <w:b w:val="1"/>
                <w:bCs w:val="1"/>
                <w:color w:val="auto"/>
                <w:w w:val="98"/>
              </w:rPr>
              <w:t>Original</w:t>
            </w:r>
          </w:p>
        </w:tc>
        <w:tc>
          <w:tcPr>
            <w:tcW w:w="120" w:type="dxa"/>
            <w:vAlign w:val="bottom"/>
          </w:tcPr>
          <w:p>
            <w:pPr>
              <w:spacing w:after="0"/>
              <w:rPr>
                <w:sz w:val="14"/>
                <w:szCs w:val="14"/>
                <w:color w:val="auto"/>
              </w:rPr>
            </w:pPr>
          </w:p>
        </w:tc>
        <w:tc>
          <w:tcPr>
            <w:tcW w:w="156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w w:val="91"/>
              </w:rPr>
              <w:t>Principal Balance as of</w:t>
            </w:r>
          </w:p>
        </w:tc>
        <w:tc>
          <w:tcPr>
            <w:tcW w:w="120" w:type="dxa"/>
            <w:vAlign w:val="bottom"/>
          </w:tcPr>
          <w:p>
            <w:pPr>
              <w:spacing w:after="0"/>
              <w:rPr>
                <w:sz w:val="14"/>
                <w:szCs w:val="14"/>
                <w:color w:val="auto"/>
              </w:rPr>
            </w:pPr>
          </w:p>
        </w:tc>
        <w:tc>
          <w:tcPr>
            <w:tcW w:w="18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Stated Interest Rate as of</w:t>
            </w: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 of Debt</w:t>
            </w:r>
          </w:p>
        </w:tc>
        <w:tc>
          <w:tcPr>
            <w:tcW w:w="148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6"/>
              </w:rPr>
              <w:t>Debt</w:t>
            </w:r>
          </w:p>
        </w:tc>
        <w:tc>
          <w:tcPr>
            <w:tcW w:w="12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2160" w:type="dxa"/>
            <w:vAlign w:val="bottom"/>
            <w:vMerge w:val="restart"/>
          </w:tcPr>
          <w:p>
            <w:pPr>
              <w:jc w:val="right"/>
              <w:ind w:right="559"/>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92"/>
        </w:trPr>
        <w:tc>
          <w:tcPr>
            <w:tcW w:w="4120" w:type="dxa"/>
            <w:vAlign w:val="bottom"/>
            <w:vMerge w:val="continue"/>
          </w:tcPr>
          <w:p>
            <w:pPr>
              <w:spacing w:after="0"/>
              <w:rPr>
                <w:sz w:val="16"/>
                <w:szCs w:val="16"/>
                <w:color w:val="auto"/>
              </w:rPr>
            </w:pPr>
          </w:p>
        </w:tc>
        <w:tc>
          <w:tcPr>
            <w:tcW w:w="1480" w:type="dxa"/>
            <w:vAlign w:val="bottom"/>
          </w:tcPr>
          <w:p>
            <w:pPr>
              <w:jc w:val="center"/>
              <w:ind w:right="20"/>
              <w:spacing w:after="0"/>
              <w:rPr>
                <w:sz w:val="20"/>
                <w:szCs w:val="20"/>
                <w:color w:val="auto"/>
              </w:rPr>
            </w:pPr>
            <w:r>
              <w:rPr>
                <w:rFonts w:ascii="Arial" w:cs="Arial" w:eastAsia="Arial" w:hAnsi="Arial"/>
                <w:sz w:val="14"/>
                <w:szCs w:val="14"/>
                <w:b w:val="1"/>
                <w:bCs w:val="1"/>
                <w:color w:val="auto"/>
                <w:w w:val="85"/>
              </w:rPr>
              <w:t>Issued</w:t>
            </w:r>
          </w:p>
        </w:tc>
        <w:tc>
          <w:tcPr>
            <w:tcW w:w="120" w:type="dxa"/>
            <w:vAlign w:val="bottom"/>
          </w:tcPr>
          <w:p>
            <w:pPr>
              <w:spacing w:after="0"/>
              <w:rPr>
                <w:sz w:val="16"/>
                <w:szCs w:val="16"/>
                <w:color w:val="auto"/>
              </w:rPr>
            </w:pPr>
          </w:p>
        </w:tc>
        <w:tc>
          <w:tcPr>
            <w:tcW w:w="1560" w:type="dxa"/>
            <w:vAlign w:val="bottom"/>
          </w:tcPr>
          <w:p>
            <w:pPr>
              <w:jc w:val="right"/>
              <w:ind w:right="339"/>
              <w:spacing w:after="0"/>
              <w:rPr>
                <w:sz w:val="20"/>
                <w:szCs w:val="20"/>
                <w:color w:val="auto"/>
              </w:rPr>
            </w:pPr>
            <w:r>
              <w:rPr>
                <w:rFonts w:ascii="Arial" w:cs="Arial" w:eastAsia="Arial" w:hAnsi="Arial"/>
                <w:sz w:val="14"/>
                <w:szCs w:val="14"/>
                <w:b w:val="1"/>
                <w:bCs w:val="1"/>
                <w:color w:val="auto"/>
              </w:rPr>
              <w:t>June 30, 2015</w:t>
            </w:r>
          </w:p>
        </w:tc>
        <w:tc>
          <w:tcPr>
            <w:tcW w:w="120" w:type="dxa"/>
            <w:vAlign w:val="bottom"/>
          </w:tcPr>
          <w:p>
            <w:pPr>
              <w:spacing w:after="0"/>
              <w:rPr>
                <w:sz w:val="16"/>
                <w:szCs w:val="16"/>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June 30, 2015</w:t>
            </w:r>
          </w:p>
        </w:tc>
        <w:tc>
          <w:tcPr>
            <w:tcW w:w="2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3160" w:type="dxa"/>
            <w:vAlign w:val="bottom"/>
            <w:tcBorders>
              <w:top w:val="single" w:sz="8" w:color="auto"/>
            </w:tcBorders>
            <w:gridSpan w:val="3"/>
          </w:tcPr>
          <w:p>
            <w:pPr>
              <w:jc w:val="right"/>
              <w:ind w:right="799"/>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21"/>
                <w:szCs w:val="21"/>
                <w:color w:val="auto"/>
              </w:rPr>
            </w:pPr>
          </w:p>
        </w:tc>
        <w:tc>
          <w:tcPr>
            <w:tcW w:w="17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Mortgages payable (1)</w:t>
            </w: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120" w:type="dxa"/>
            <w:vAlign w:val="bottom"/>
          </w:tcPr>
          <w:p>
            <w:pPr>
              <w:ind w:left="180"/>
              <w:spacing w:after="0"/>
              <w:rPr>
                <w:sz w:val="20"/>
                <w:szCs w:val="20"/>
                <w:color w:val="auto"/>
              </w:rPr>
            </w:pPr>
            <w:r>
              <w:rPr>
                <w:rFonts w:ascii="Arial" w:cs="Arial" w:eastAsia="Arial" w:hAnsi="Arial"/>
                <w:sz w:val="16"/>
                <w:szCs w:val="16"/>
                <w:i w:val="1"/>
                <w:iCs w:val="1"/>
                <w:color w:val="auto"/>
              </w:rPr>
              <w:t>Secured fixed rate</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1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Barracks Road (2)</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44,300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35,411</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November 1, 2015</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Hauppauge (2)</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16,700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13,349</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November 1, 2015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Lawrence Park (2)</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31,400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25,099</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November 1, 2015</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Wildwood (2)</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27,600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22,062</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November 1, 2015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Wynnewood (2)</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32,000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25,579</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November 1, 2015</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Brick Plaza (2)</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33,000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25,971</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7.42%</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November 1, 2015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San Antonio Center</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18,353</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5.27%</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 2016</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Plaza El Segundo</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175,000</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6.33%</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August 5, 2017</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The Grove at Shrewsbury (East)</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44,045</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5.82%</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October 1, 2017</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The Grove at Shrewsbury (West)</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11,135</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6.38%</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March 1, 2018</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Rollingwood Apartments</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24,050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21,924</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May 1, 2019</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29th Place</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4,848</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5.91%</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January 31, 2021</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The AVENUE at White Marsh</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52,705</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52,705</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 2022</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Montrose Crossing</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80,000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75,106</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4.20%</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January 10, 2022</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Brook 35</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11,500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11,500</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July 1, 2029</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Chelsea</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6,971</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5.36%</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January 15, 2031</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Subtotal</w:t>
            </w:r>
          </w:p>
        </w:tc>
        <w:tc>
          <w:tcPr>
            <w:tcW w:w="1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569,058</w:t>
            </w:r>
          </w:p>
        </w:tc>
        <w:tc>
          <w:tcPr>
            <w:tcW w:w="1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920"/>
              <w:spacing w:after="0"/>
              <w:rPr>
                <w:sz w:val="20"/>
                <w:szCs w:val="20"/>
                <w:color w:val="auto"/>
              </w:rPr>
            </w:pPr>
            <w:r>
              <w:rPr>
                <w:rFonts w:ascii="Arial" w:cs="Arial" w:eastAsia="Arial" w:hAnsi="Arial"/>
                <w:sz w:val="16"/>
                <w:szCs w:val="16"/>
                <w:color w:val="auto"/>
              </w:rPr>
              <w:t>Net unamortized premium</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7,388</w:t>
            </w: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mortgages payable</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576,446</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Notes payable</w:t>
            </w:r>
          </w:p>
        </w:tc>
        <w:tc>
          <w:tcPr>
            <w:tcW w:w="14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12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i w:val="1"/>
                <w:iCs w:val="1"/>
                <w:color w:val="auto"/>
              </w:rPr>
              <w:t>Unsecured fixed rate</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Term loan (3)</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275,000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275,000</w:t>
            </w:r>
          </w:p>
        </w:tc>
        <w:tc>
          <w:tcPr>
            <w:tcW w:w="120" w:type="dxa"/>
            <w:vAlign w:val="bottom"/>
          </w:tcPr>
          <w:p>
            <w:pPr>
              <w:spacing w:after="0"/>
              <w:rPr>
                <w:sz w:val="20"/>
                <w:szCs w:val="20"/>
                <w:color w:val="auto"/>
              </w:rPr>
            </w:pPr>
          </w:p>
        </w:tc>
        <w:tc>
          <w:tcPr>
            <w:tcW w:w="1860" w:type="dxa"/>
            <w:vAlign w:val="bottom"/>
            <w:gridSpan w:val="2"/>
          </w:tcPr>
          <w:p>
            <w:pPr>
              <w:jc w:val="right"/>
              <w:ind w:right="280"/>
              <w:spacing w:after="0"/>
              <w:rPr>
                <w:sz w:val="20"/>
                <w:szCs w:val="20"/>
                <w:color w:val="auto"/>
              </w:rPr>
            </w:pPr>
            <w:r>
              <w:rPr>
                <w:rFonts w:ascii="Arial" w:cs="Arial" w:eastAsia="Arial" w:hAnsi="Arial"/>
                <w:sz w:val="16"/>
                <w:szCs w:val="16"/>
                <w:color w:val="auto"/>
              </w:rPr>
              <w:t>LIBOR + 0.90%</w:t>
            </w:r>
          </w:p>
        </w:tc>
        <w:tc>
          <w:tcPr>
            <w:tcW w:w="2160" w:type="dxa"/>
            <w:vAlign w:val="bottom"/>
          </w:tcPr>
          <w:p>
            <w:pPr>
              <w:jc w:val="right"/>
              <w:spacing w:after="0"/>
              <w:rPr>
                <w:sz w:val="20"/>
                <w:szCs w:val="20"/>
                <w:color w:val="auto"/>
              </w:rPr>
            </w:pPr>
            <w:r>
              <w:rPr>
                <w:rFonts w:ascii="Arial" w:cs="Arial" w:eastAsia="Arial" w:hAnsi="Arial"/>
                <w:sz w:val="16"/>
                <w:szCs w:val="16"/>
                <w:color w:val="auto"/>
              </w:rPr>
              <w:t>November 21, 2018</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Various</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7,239</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6,011</w:t>
            </w:r>
          </w:p>
        </w:tc>
        <w:tc>
          <w:tcPr>
            <w:tcW w:w="1880" w:type="dxa"/>
            <w:vAlign w:val="bottom"/>
            <w:tcBorders>
              <w:bottom w:val="single" w:sz="8" w:color="CCEEFF"/>
            </w:tcBorders>
            <w:gridSpan w:val="2"/>
            <w:shd w:val="clear" w:color="auto" w:fill="CCEEFF"/>
          </w:tcPr>
          <w:p>
            <w:pPr>
              <w:jc w:val="right"/>
              <w:ind w:right="103"/>
              <w:spacing w:after="0"/>
              <w:rPr>
                <w:sz w:val="20"/>
                <w:szCs w:val="20"/>
                <w:color w:val="auto"/>
              </w:rPr>
            </w:pPr>
            <w:r>
              <w:rPr>
                <w:rFonts w:ascii="Arial" w:cs="Arial" w:eastAsia="Arial" w:hAnsi="Arial"/>
                <w:sz w:val="16"/>
                <w:szCs w:val="16"/>
                <w:color w:val="auto"/>
              </w:rPr>
              <w:t>11.31%</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Various through 2028</w:t>
            </w:r>
          </w:p>
        </w:tc>
        <w:tc>
          <w:tcPr>
            <w:tcW w:w="0" w:type="dxa"/>
            <w:vAlign w:val="bottom"/>
          </w:tcPr>
          <w:p>
            <w:pPr>
              <w:spacing w:after="0"/>
              <w:rPr>
                <w:sz w:val="1"/>
                <w:szCs w:val="1"/>
                <w:color w:val="auto"/>
              </w:rPr>
            </w:pPr>
          </w:p>
        </w:tc>
      </w:tr>
      <w:tr>
        <w:trPr>
          <w:trHeight w:val="224"/>
        </w:trPr>
        <w:tc>
          <w:tcPr>
            <w:tcW w:w="4120" w:type="dxa"/>
            <w:vAlign w:val="bottom"/>
          </w:tcPr>
          <w:p>
            <w:pPr>
              <w:ind w:left="180"/>
              <w:spacing w:after="0"/>
              <w:rPr>
                <w:sz w:val="20"/>
                <w:szCs w:val="20"/>
                <w:color w:val="auto"/>
              </w:rPr>
            </w:pPr>
            <w:r>
              <w:rPr>
                <w:rFonts w:ascii="Arial" w:cs="Arial" w:eastAsia="Arial" w:hAnsi="Arial"/>
                <w:sz w:val="16"/>
                <w:szCs w:val="16"/>
                <w:i w:val="1"/>
                <w:iCs w:val="1"/>
                <w:color w:val="auto"/>
              </w:rPr>
              <w:t>Unsecured variable rate</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1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Escondido (municipal bonds) (4)</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9,400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9,400</w:t>
            </w:r>
          </w:p>
        </w:tc>
        <w:tc>
          <w:tcPr>
            <w:tcW w:w="1880" w:type="dxa"/>
            <w:vAlign w:val="bottom"/>
            <w:tcBorders>
              <w:bottom w:val="single" w:sz="8" w:color="CCEEFF"/>
            </w:tcBorders>
            <w:gridSpan w:val="2"/>
            <w:shd w:val="clear" w:color="auto" w:fill="CCEEFF"/>
          </w:tcPr>
          <w:p>
            <w:pPr>
              <w:jc w:val="right"/>
              <w:ind w:right="103"/>
              <w:spacing w:after="0"/>
              <w:rPr>
                <w:sz w:val="20"/>
                <w:szCs w:val="20"/>
                <w:color w:val="auto"/>
              </w:rPr>
            </w:pPr>
            <w:r>
              <w:rPr>
                <w:rFonts w:ascii="Arial" w:cs="Arial" w:eastAsia="Arial" w:hAnsi="Arial"/>
                <w:sz w:val="16"/>
                <w:szCs w:val="16"/>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October 1, 2016</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Revolving credit facility (5)</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600,000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106,500</w:t>
            </w:r>
          </w:p>
        </w:tc>
        <w:tc>
          <w:tcPr>
            <w:tcW w:w="120" w:type="dxa"/>
            <w:vAlign w:val="bottom"/>
          </w:tcPr>
          <w:p>
            <w:pPr>
              <w:spacing w:after="0"/>
              <w:rPr>
                <w:sz w:val="20"/>
                <w:szCs w:val="20"/>
                <w:color w:val="auto"/>
              </w:rPr>
            </w:pPr>
          </w:p>
        </w:tc>
        <w:tc>
          <w:tcPr>
            <w:tcW w:w="1860" w:type="dxa"/>
            <w:vAlign w:val="bottom"/>
            <w:gridSpan w:val="2"/>
          </w:tcPr>
          <w:p>
            <w:pPr>
              <w:jc w:val="right"/>
              <w:ind w:right="280"/>
              <w:spacing w:after="0"/>
              <w:rPr>
                <w:sz w:val="20"/>
                <w:szCs w:val="20"/>
                <w:color w:val="auto"/>
              </w:rPr>
            </w:pPr>
            <w:r>
              <w:rPr>
                <w:rFonts w:ascii="Arial" w:cs="Arial" w:eastAsia="Arial" w:hAnsi="Arial"/>
                <w:sz w:val="16"/>
                <w:szCs w:val="16"/>
                <w:color w:val="auto"/>
              </w:rPr>
              <w:t>LIBOR + 0.90%</w:t>
            </w:r>
          </w:p>
        </w:tc>
        <w:tc>
          <w:tcPr>
            <w:tcW w:w="2160" w:type="dxa"/>
            <w:vAlign w:val="bottom"/>
          </w:tcPr>
          <w:p>
            <w:pPr>
              <w:jc w:val="right"/>
              <w:spacing w:after="0"/>
              <w:rPr>
                <w:sz w:val="20"/>
                <w:szCs w:val="20"/>
                <w:color w:val="auto"/>
              </w:rPr>
            </w:pPr>
            <w:r>
              <w:rPr>
                <w:rFonts w:ascii="Arial" w:cs="Arial" w:eastAsia="Arial" w:hAnsi="Arial"/>
                <w:sz w:val="16"/>
                <w:szCs w:val="16"/>
                <w:color w:val="auto"/>
              </w:rPr>
              <w:t>April 21, 2017</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notes payable</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396,911</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Senior notes and debentures</w:t>
            </w:r>
          </w:p>
        </w:tc>
        <w:tc>
          <w:tcPr>
            <w:tcW w:w="14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12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i w:val="1"/>
                <w:iCs w:val="1"/>
                <w:color w:val="auto"/>
              </w:rPr>
              <w:t>Unsecured fixed rate</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5.90% notes</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150,000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150,000</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5.90%</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April 1, 2020</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3.00% notes</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250,000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250,000</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1, 2022</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2.75% notes</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275,000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275,000</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2.75%</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June 1, 2023</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3.95% notes</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300,000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300,000</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15, 2024</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7.48% debentures</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50,000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29,200</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7.48%</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August 15, 2026</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6.82% medium term notes</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40,000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40,000</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6.82%</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1, 2027</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4.50% notes</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450,000</w:t>
            </w: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450,000</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4.50%</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December 1, 2044</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Subtotal</w:t>
            </w:r>
          </w:p>
        </w:tc>
        <w:tc>
          <w:tcPr>
            <w:tcW w:w="1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1,494,200</w:t>
            </w:r>
          </w:p>
        </w:tc>
        <w:tc>
          <w:tcPr>
            <w:tcW w:w="1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920"/>
              <w:spacing w:after="0"/>
              <w:rPr>
                <w:sz w:val="20"/>
                <w:szCs w:val="20"/>
                <w:color w:val="auto"/>
              </w:rPr>
            </w:pPr>
            <w:r>
              <w:rPr>
                <w:rFonts w:ascii="Arial" w:cs="Arial" w:eastAsia="Arial" w:hAnsi="Arial"/>
                <w:sz w:val="16"/>
                <w:szCs w:val="16"/>
                <w:color w:val="auto"/>
              </w:rPr>
              <w:t>Net unamortized premium</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315</w:t>
            </w: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senior notes and debentures</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1,494,515</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Capital lease obligations</w:t>
            </w:r>
          </w:p>
        </w:tc>
        <w:tc>
          <w:tcPr>
            <w:tcW w:w="14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12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Various</w:t>
            </w:r>
          </w:p>
        </w:tc>
        <w:tc>
          <w:tcPr>
            <w:tcW w:w="14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71,633</w:t>
            </w:r>
          </w:p>
        </w:tc>
        <w:tc>
          <w:tcPr>
            <w:tcW w:w="12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Various</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Various through 2106</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Total debt and capital lease obligations</w:t>
            </w:r>
          </w:p>
        </w:tc>
        <w:tc>
          <w:tcPr>
            <w:tcW w:w="14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2,539,505</w:t>
            </w: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20" w:type="dxa"/>
            <w:vAlign w:val="bottom"/>
            <w:vMerge w:val="restart"/>
          </w:tcPr>
          <w:p>
            <w:pPr>
              <w:spacing w:after="0"/>
              <w:rPr>
                <w:sz w:val="20"/>
                <w:szCs w:val="20"/>
                <w:color w:val="auto"/>
              </w:rPr>
            </w:pPr>
            <w:r>
              <w:rPr>
                <w:rFonts w:ascii="Arial" w:cs="Arial" w:eastAsia="Arial" w:hAnsi="Arial"/>
                <w:sz w:val="18"/>
                <w:szCs w:val="18"/>
                <w:color w:val="auto"/>
              </w:rPr>
              <w:t>_____________________</w:t>
            </w:r>
          </w:p>
        </w:tc>
        <w:tc>
          <w:tcPr>
            <w:tcW w:w="14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vMerge w:val="continu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20" w:type="dxa"/>
            <w:vAlign w:val="bottom"/>
            <w:vMerge w:val="continue"/>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240" w:hanging="652"/>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Mortgages payable do not include our 30% share ($10.3 million) of the $34.4 million debt of the partnership with a discretionary fund created and advised by Clarion.</w:t>
      </w:r>
    </w:p>
    <w:p>
      <w:pPr>
        <w:spacing w:after="0" w:line="8"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August 3, 2015, these mortgage loans were repaid at par.</w:t>
      </w:r>
    </w:p>
    <w:p>
      <w:pPr>
        <w:spacing w:after="0" w:line="63" w:lineRule="exact"/>
        <w:rPr>
          <w:rFonts w:ascii="Arial" w:cs="Arial" w:eastAsia="Arial" w:hAnsi="Arial"/>
          <w:sz w:val="18"/>
          <w:szCs w:val="18"/>
          <w:color w:val="auto"/>
        </w:rPr>
      </w:pPr>
    </w:p>
    <w:p>
      <w:pPr>
        <w:ind w:left="660" w:right="160" w:hanging="652"/>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entered into two interest rate swap agreements that fix the LIBOR portion of the interest rate on the term loan at 1.72%. The spread on the term loan is 90 basis points resulting in a fixed rate of 2.62%.</w:t>
      </w:r>
    </w:p>
    <w:p>
      <w:pPr>
        <w:spacing w:after="0" w:line="8" w:lineRule="exact"/>
        <w:rPr>
          <w:rFonts w:ascii="Arial" w:cs="Arial" w:eastAsia="Arial" w:hAnsi="Arial"/>
          <w:sz w:val="18"/>
          <w:szCs w:val="18"/>
          <w:color w:val="auto"/>
        </w:rPr>
      </w:pPr>
    </w:p>
    <w:p>
      <w:pPr>
        <w:ind w:left="660" w:right="440" w:hanging="652"/>
        <w:spacing w:after="0" w:line="342"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bonds require monthly interest only payments through maturity. The bonds bear interest at a variable rate determined weekly, which would enable the bonds to be remarketed at 100% of their principal amount. The Escondido Promenade property is not encumbered by a lien.</w:t>
      </w:r>
    </w:p>
    <w:p>
      <w:pPr>
        <w:sectPr>
          <w:pgSz w:w="11900" w:h="16838" w:orient="portrait"/>
          <w:cols w:equalWidth="0" w:num="1">
            <w:col w:w="11420"/>
          </w:cols>
          <w:pgMar w:left="240" w:top="126" w:right="239" w:bottom="0" w:gutter="0" w:footer="0" w:header="0"/>
        </w:sectPr>
      </w:pPr>
    </w:p>
    <w:bookmarkStart w:id="27" w:name="page28"/>
    <w:bookmarkEnd w:id="27"/>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9019"/>
          </w:cols>
          <w:pgMar w:left="1440" w:top="125" w:right="1440"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02" w:lineRule="exact"/>
        <w:rPr>
          <w:sz w:val="20"/>
          <w:szCs w:val="20"/>
          <w:color w:val="auto"/>
        </w:rPr>
      </w:pPr>
    </w:p>
    <w:p>
      <w:pPr>
        <w:ind w:left="660" w:right="240" w:hanging="652"/>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maximum amount drawn under our revolving credit facility during the six months ended June 30, 2015 was $173.5 million, and the weighted average interest rate on borrowings under our revolving credit facility, before amortization of debt fees, was 1.09%.</w:t>
      </w:r>
    </w:p>
    <w:p>
      <w:pPr>
        <w:spacing w:after="0" w:line="11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revolving credit facility, term loan and other debt agreements include financial and other covenants that may limit our operating activities in the future. As of June 30, 2015, we were in compliance with all of the financial and other covenants. If we were to breach any of our debt covenants and did not cure the breach within an applicable cure period, our lenders could require us to repay the debt immediately and, if the debt is secured, could immediately begin proceedings to take possession of the property securing the loan. Many of our debt arrangements, including our public notes, term loan and our revolving credit facility, are cross-defaulted, which means that the lenders under those debt arrangements can put us in default and require immediate repayment of their debt if we breach and fail to cure a default under certain of our other debt obligations. As a result, any default under our debt covenants could have an adverse effect on our financial condition, our results of operations, our ability to meet our obligations and the market value of our shares. Our organizational documents do not limit the level or amount of debt that we may incur.</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scheduled principal repayments as of June 30, 2015:</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Unsecured</w:t>
            </w:r>
          </w:p>
        </w:tc>
        <w:tc>
          <w:tcPr>
            <w:tcW w:w="4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Secured</w:t>
            </w:r>
          </w:p>
        </w:tc>
        <w:tc>
          <w:tcPr>
            <w:tcW w:w="4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Capital Lease</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thousands)</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261</w:t>
            </w:r>
          </w:p>
        </w:tc>
        <w:tc>
          <w:tcPr>
            <w:tcW w:w="4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149,491</w:t>
            </w:r>
          </w:p>
        </w:tc>
        <w:tc>
          <w:tcPr>
            <w:tcW w:w="4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149,769</w:t>
            </w:r>
          </w:p>
        </w:tc>
        <w:tc>
          <w:tcPr>
            <w:tcW w:w="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2016</w:t>
            </w:r>
          </w:p>
        </w:tc>
        <w:tc>
          <w:tcPr>
            <w:tcW w:w="2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9,806</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21,871</w:t>
            </w: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31,707</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106,951</w:t>
            </w:r>
          </w:p>
        </w:tc>
        <w:tc>
          <w:tcPr>
            <w:tcW w:w="4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(2)</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220,438</w:t>
            </w:r>
          </w:p>
        </w:tc>
        <w:tc>
          <w:tcPr>
            <w:tcW w:w="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327,423</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275,500</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13,326</w:t>
            </w: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288,863</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553</w:t>
            </w:r>
          </w:p>
        </w:tc>
        <w:tc>
          <w:tcPr>
            <w:tcW w:w="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22,731</w:t>
            </w:r>
          </w:p>
        </w:tc>
        <w:tc>
          <w:tcPr>
            <w:tcW w:w="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23,326</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1,498,040</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141,201</w:t>
            </w: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71,473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1,710,714</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1,891,111</w:t>
            </w:r>
          </w:p>
        </w:tc>
        <w:tc>
          <w:tcPr>
            <w:tcW w:w="4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569,058</w:t>
            </w:r>
          </w:p>
        </w:tc>
        <w:tc>
          <w:tcPr>
            <w:tcW w:w="4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71,633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2,531,802</w:t>
            </w:r>
          </w:p>
        </w:tc>
        <w:tc>
          <w:tcPr>
            <w:tcW w:w="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Arial" w:cs="Arial" w:eastAsia="Arial" w:hAnsi="Arial"/>
                <w:sz w:val="18"/>
                <w:szCs w:val="18"/>
                <w:color w:val="auto"/>
              </w:rPr>
              <w:t>_____________________</w:t>
            </w: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2015 maturities include $147.0 million of mortgage loans, which were paid off at par on August 3, 2015, prior to their original maturity date.</w:t>
      </w:r>
    </w:p>
    <w:p>
      <w:pPr>
        <w:spacing w:after="0" w:line="74" w:lineRule="exact"/>
        <w:rPr>
          <w:rFonts w:ascii="Arial" w:cs="Arial" w:eastAsia="Arial" w:hAnsi="Arial"/>
          <w:sz w:val="17"/>
          <w:szCs w:val="17"/>
          <w:color w:val="auto"/>
        </w:rPr>
      </w:pPr>
    </w:p>
    <w:p>
      <w:pPr>
        <w:ind w:left="660" w:right="80" w:hanging="652"/>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$600.0 million revolving credit facility matures on April 21, 2017, subject to a one-year extension at our option. As of June 30, 2015, there was $106.5 million balance outstanding under this credit facility.</w:t>
      </w:r>
    </w:p>
    <w:p>
      <w:pPr>
        <w:spacing w:after="0" w:line="8" w:lineRule="exact"/>
        <w:rPr>
          <w:rFonts w:ascii="Arial" w:cs="Arial" w:eastAsia="Arial" w:hAnsi="Arial"/>
          <w:sz w:val="18"/>
          <w:szCs w:val="18"/>
          <w:color w:val="auto"/>
        </w:rPr>
      </w:pPr>
    </w:p>
    <w:p>
      <w:pPr>
        <w:ind w:left="660" w:right="200" w:hanging="652"/>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total debt maturities differs from the total reported on the consolidated balance sheet due to the unamortized net premium on certain mortgage loans and senior notes as of June 30, 2015.</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Hedging</w:t>
      </w:r>
    </w:p>
    <w:p>
      <w:pPr>
        <w:spacing w:after="0" w:line="90"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We may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spacing w:after="0" w:line="12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interest rate swaps associated with our cash flow hedges are recorded at fair value on a recurring basis. We assess effectiveness of our cash flow hedges both at inception and on an ongoing basis. The effective portion of changes in fair value of the interest rate swaps associated with our cash flow hedges is recorded in other comprehensive income/loss which is included in accumulated other comprehensive loss on our consolidated balance sheet and our consolidated statement of shareholders' equity. Our cash flow hedges become ineffective if critical terms of the hedging instrument and the debt instrument do not perfectly match such as notional amounts, settlement dates, reset dates, calculation period and LIBOR rate. In addition, we evaluate the default risk of the counterparty by monitoring the credit-worthiness of the counterparty which includes reviewing debt ratings and financial performance. However, management does not anticipate non-performance by the counterparty. If a cash flow hedge is deemed ineffective, the ineffective portion of changes in fair value of the interest rate swaps associated with our cash flow hedges is recognized in earnings in the period affected.</w:t>
      </w:r>
    </w:p>
    <w:p>
      <w:pPr>
        <w:spacing w:after="0" w:line="11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As of June 30, 2015, we are party to two interest rate swap agreements that effectively fixed the rate on the term loan at 2.62%. Both swaps were designated and qualified as cash flow hedges and were recorded at fair value. Hedge ineffectiveness has not impacted earnings as of June 30, 2015, and we do not anticipate it will have a significant effect in the future.</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6" w:right="25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REIT Qualification</w:t>
      </w:r>
    </w:p>
    <w:p>
      <w:pPr>
        <w:spacing w:after="0" w:line="9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intend to maintain our qualification as a REIT under Section 856(c) of the Code. As a REIT, we generally will not be subject to corporate federal income taxes on income we distribute to our shareholders as long as we satisfy certain technical requirements of the Code, including the requirement to distribute at least 90% of our taxable income to our shareholders.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Funds from operations (“FFO”) is a supplemental non-GAAP financial measure of real estate companies’ operating performance. The National Association of Real Estate Investment Trusts (“NAREIT”) defines FFO as follows: net income, computed in accordance with U.S. GAAP, plus real estate related depreciation and amortization and excluding extraordinary items, gains and losses on the sale of real estate, and impairment write-downs of depreciable real estate. We compute FFO in accordance with the NAREIT definition, and we have historically reported our FFO available for common shareholders in addition to our net income and net cash provided by operating activities. It should be noted that FFO:</w:t>
      </w:r>
    </w:p>
    <w:p>
      <w:pPr>
        <w:spacing w:after="0" w:line="26" w:lineRule="exact"/>
        <w:rPr>
          <w:sz w:val="20"/>
          <w:szCs w:val="20"/>
          <w:color w:val="auto"/>
        </w:rPr>
      </w:pPr>
    </w:p>
    <w:p>
      <w:pPr>
        <w:ind w:left="1700" w:right="460" w:hanging="801"/>
        <w:spacing w:after="0" w:line="277" w:lineRule="auto"/>
        <w:tabs>
          <w:tab w:leader="none" w:pos="1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does not represent cash flows from operating activities in accordance with GAAP (which, unlike FFO, generally reflects all cash effects of transactions and other events in the determination of net income);</w:t>
      </w:r>
    </w:p>
    <w:p>
      <w:pPr>
        <w:spacing w:after="0" w:line="8" w:lineRule="exact"/>
        <w:rPr>
          <w:rFonts w:ascii="Arial" w:cs="Arial" w:eastAsia="Arial" w:hAnsi="Arial"/>
          <w:sz w:val="18"/>
          <w:szCs w:val="18"/>
          <w:color w:val="auto"/>
        </w:rPr>
      </w:pPr>
    </w:p>
    <w:p>
      <w:pPr>
        <w:ind w:left="1700" w:hanging="801"/>
        <w:spacing w:after="0"/>
        <w:tabs>
          <w:tab w:leader="none" w:pos="1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should not be considered an alternative to net income as an indication of our performance;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is not necessarily indicative of cash flow as a measure of liquidity or ability to fund cash needs, including the payment of dividends.</w:t>
      </w:r>
    </w:p>
    <w:p>
      <w:pPr>
        <w:spacing w:after="0" w:line="19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spacing w:after="0" w:line="13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An increase or decrease in FFO available for common shareholders does not necessarily result in an increase or decrease in aggregate distributions because our Board of Trustees is not required to increase distributions on a quarterly basis unless necessary for us to maintain REIT status. However, we must distribute at least 90% of our taxable income to remain qualified as a REIT. Therefore, a significant increase in FFO will generally require an increase in distributions to shareholders although not necessarily on a proportionate basis.</w:t>
      </w:r>
    </w:p>
    <w:p>
      <w:pPr>
        <w:spacing w:after="0" w:line="133"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In addition to FFO, we have also included FFO excluding the "early extinguishment of debt" charge in the three and six months ended June 30, 2015 which relates to the early redemption of our 6.20% senior notes. We believe the unusual nature of this charge, being a make-whole payment on the principal and interest of the redeemed notes, is worthy of separate evaluation and consequently have provided both relevant metrics.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6" w:right="23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reconciliation of net income to FFO available for common shareholders and FFO available for common shareholders excluding early extinguishment of debt is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214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w w:val="98"/>
              </w:rPr>
              <w:t>Six Months Ended June 30,</w:t>
            </w:r>
          </w:p>
        </w:tc>
        <w:tc>
          <w:tcPr>
            <w:tcW w:w="0" w:type="dxa"/>
            <w:vAlign w:val="bottom"/>
          </w:tcPr>
          <w:p>
            <w:pPr>
              <w:spacing w:after="0"/>
              <w:rPr>
                <w:sz w:val="1"/>
                <w:szCs w:val="1"/>
                <w:color w:val="auto"/>
              </w:rPr>
            </w:pPr>
          </w:p>
        </w:tc>
      </w:tr>
      <w:tr>
        <w:trPr>
          <w:trHeight w:val="264"/>
        </w:trPr>
        <w:tc>
          <w:tcPr>
            <w:tcW w:w="652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6"/>
        </w:trPr>
        <w:tc>
          <w:tcPr>
            <w:tcW w:w="6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gridSpan w:val="6"/>
          </w:tcPr>
          <w:p>
            <w:pPr>
              <w:ind w:left="40"/>
              <w:spacing w:after="0"/>
              <w:rPr>
                <w:sz w:val="20"/>
                <w:szCs w:val="20"/>
                <w:color w:val="auto"/>
              </w:rPr>
            </w:pPr>
            <w:r>
              <w:rPr>
                <w:rFonts w:ascii="Arial" w:cs="Arial" w:eastAsia="Arial" w:hAnsi="Arial"/>
                <w:sz w:val="14"/>
                <w:szCs w:val="14"/>
                <w:b w:val="1"/>
                <w:bCs w:val="1"/>
                <w:color w:val="auto"/>
                <w:w w:val="97"/>
              </w:rPr>
              <w:t>(In thousands, except per share data)</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45,673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45,416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93,876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85,961</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(3,663)</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Depreciation and amortization of real estate assets</w:t>
            </w:r>
          </w:p>
        </w:tc>
        <w:tc>
          <w:tcPr>
            <w:tcW w:w="2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37,390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36,499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74,344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76,048</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initial direct costs of leases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5,778</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Depreciation of joint venture real estate assets</w:t>
            </w:r>
          </w:p>
        </w:tc>
        <w:tc>
          <w:tcPr>
            <w:tcW w:w="2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Funds from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73,525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83,432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160,435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164,974</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Dividends on preferred shares</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attributable to operating partnership units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1,431</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Income attributable to unvested shares</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Funds from operations available for common shareholders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73,942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83,635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161,232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165,382</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Early extinguishment of debt, net of allocation to unvested shares</w:t>
            </w:r>
          </w:p>
        </w:tc>
        <w:tc>
          <w:tcPr>
            <w:tcW w:w="2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19,006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19,006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Funds from operations available for common shareholders excluding early</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92,948</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83,635</w:t>
            </w:r>
          </w:p>
        </w:tc>
        <w:tc>
          <w:tcPr>
            <w:tcW w:w="10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180,238</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165,382</w:t>
            </w:r>
          </w:p>
        </w:tc>
        <w:tc>
          <w:tcPr>
            <w:tcW w:w="0" w:type="dxa"/>
            <w:vAlign w:val="bottom"/>
          </w:tcPr>
          <w:p>
            <w:pPr>
              <w:spacing w:after="0"/>
              <w:rPr>
                <w:sz w:val="1"/>
                <w:szCs w:val="1"/>
                <w:color w:val="auto"/>
              </w:rPr>
            </w:pPr>
          </w:p>
        </w:tc>
      </w:tr>
      <w:tr>
        <w:trPr>
          <w:trHeight w:val="237"/>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extinguishment of debt</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ind w:left="40"/>
              <w:spacing w:after="0"/>
              <w:rPr>
                <w:sz w:val="20"/>
                <w:szCs w:val="20"/>
                <w:color w:val="auto"/>
              </w:rPr>
            </w:pPr>
            <w:r>
              <w:rPr>
                <w:rFonts w:ascii="Arial" w:cs="Arial" w:eastAsia="Arial" w:hAnsi="Arial"/>
                <w:sz w:val="18"/>
                <w:szCs w:val="18"/>
                <w:color w:val="auto"/>
              </w:rPr>
              <w:t>Weighted average number of common shares, diluted (1)</w:t>
            </w: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5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69,647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68,194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69,581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67,939</w:t>
            </w:r>
          </w:p>
        </w:tc>
        <w:tc>
          <w:tcPr>
            <w:tcW w:w="0" w:type="dxa"/>
            <w:vAlign w:val="bottom"/>
          </w:tcPr>
          <w:p>
            <w:pPr>
              <w:spacing w:after="0"/>
              <w:rPr>
                <w:sz w:val="1"/>
                <w:szCs w:val="1"/>
                <w:color w:val="auto"/>
              </w:rPr>
            </w:pPr>
          </w:p>
        </w:tc>
      </w:tr>
      <w:tr>
        <w:trPr>
          <w:trHeight w:val="67"/>
        </w:trPr>
        <w:tc>
          <w:tcPr>
            <w:tcW w:w="65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Funds from operations available for common shareholders, per diluted share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67"/>
        </w:trPr>
        <w:tc>
          <w:tcPr>
            <w:tcW w:w="65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20" w:type="dxa"/>
            <w:vAlign w:val="bottom"/>
          </w:tcPr>
          <w:p>
            <w:pPr>
              <w:ind w:left="40"/>
              <w:spacing w:after="0"/>
              <w:rPr>
                <w:sz w:val="20"/>
                <w:szCs w:val="20"/>
                <w:color w:val="auto"/>
              </w:rPr>
            </w:pPr>
            <w:r>
              <w:rPr>
                <w:rFonts w:ascii="Arial" w:cs="Arial" w:eastAsia="Arial" w:hAnsi="Arial"/>
                <w:sz w:val="18"/>
                <w:szCs w:val="18"/>
                <w:color w:val="auto"/>
              </w:rPr>
              <w:t>Funds from operations available for common shareholders excluding early</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ind w:right="32"/>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28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ind w:right="31"/>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ind w:right="32"/>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9"/>
                <w:szCs w:val="19"/>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ind w:right="11"/>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30"/>
        </w:trPr>
        <w:tc>
          <w:tcPr>
            <w:tcW w:w="6520" w:type="dxa"/>
            <w:vAlign w:val="bottom"/>
          </w:tcPr>
          <w:p>
            <w:pPr>
              <w:ind w:left="40"/>
              <w:spacing w:after="0"/>
              <w:rPr>
                <w:sz w:val="20"/>
                <w:szCs w:val="20"/>
                <w:color w:val="auto"/>
              </w:rPr>
            </w:pPr>
            <w:r>
              <w:rPr>
                <w:rFonts w:ascii="Arial" w:cs="Arial" w:eastAsia="Arial" w:hAnsi="Arial"/>
                <w:sz w:val="18"/>
                <w:szCs w:val="18"/>
                <w:color w:val="auto"/>
              </w:rPr>
              <w:t>extinguishment of debt, per diluted share</w:t>
            </w:r>
          </w:p>
        </w:tc>
        <w:tc>
          <w:tcPr>
            <w:tcW w:w="20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8890</wp:posOffset>
            </wp:positionV>
            <wp:extent cx="311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-130175</wp:posOffset>
            </wp:positionV>
            <wp:extent cx="31127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43" w:lineRule="exact"/>
        <w:rPr>
          <w:sz w:val="20"/>
          <w:szCs w:val="20"/>
          <w:color w:val="auto"/>
        </w:rPr>
      </w:pPr>
    </w:p>
    <w:p>
      <w:pPr>
        <w:jc w:val="both"/>
        <w:ind w:left="660" w:right="60" w:hanging="652"/>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weighted average common shares used to compute FFO per diluted common share includes operating partnership units that were excluded from the computation of diluted EPS. Conversion of these operating partnership units is dilutive in the computation of FFO per diluted common share but is anti-dilutive for the computation of diluted EPS for the periods presented.</w:t>
      </w:r>
    </w:p>
    <w:p>
      <w:pPr>
        <w:spacing w:after="0" w:line="200" w:lineRule="exact"/>
        <w:rPr>
          <w:sz w:val="20"/>
          <w:szCs w:val="20"/>
          <w:color w:val="auto"/>
        </w:rPr>
      </w:pPr>
    </w:p>
    <w:p>
      <w:pPr>
        <w:spacing w:after="0" w:line="22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may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 As of June 30, 2015, we were party to two interest rate swap agreements that effectively fixed the rate on the term loan at 2.62%.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4"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following discusses the effect of hypothetical changes in market rates of interest on interest expense for our variable rate debt and on the fair value of our total outstanding debt, including our fixed-rate debt. Interest rate risk amounts were determined by considering the impact of hypothetical interest rates on our debt. Quoted market prices were used to estimate the fair value of our marketable senior notes and debentures and discounted cash flow analysis is generally used to estimate the fair value of our mortgages and notes payable. Considerable judgment is necessary to estimate the fair value of financial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6" w:right="23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instruments. This analysis does not purport to take into account all of the factors that may affect our debt, such as the effect that a changing interest rate environment could have on the overall level of economic activity or the action that our management might take to reduce our exposure to the change. This analysis assumes no change in our financial structure.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Interest Rate Debt</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majority of our outstanding debt obligations (maturing at various times through 2044 or, with respect to capital lease obligations, through 2106) have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fixed interest rates which limit the risk of fluctuating interest rates. However, interest rate fluctuations may affect the fair value of our fixed rate debt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instruments. At June 30, 2015, we had $2.4 billion of fixed-rate debt outstanding, including our $275.0 million term loan as the rate is effectively fixed 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two interest rate swap agreements; we also had $71.6 million of capital lease obligations. If market interest rates used to calculate the fair value on our fixed-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rate debt instruments at June 30, 2015 had been 1.0% higher, the fair value of those debt instruments on that date would have decreased by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$143.9 million. If market interest rates used to calculate the fair value on our fixed-rate debt instruments at June 30, 2015 had been 1.0% lower, the fair value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those debt instruments on that date would have increased by approximately $164.7 million.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Rate Debt</w:t>
      </w:r>
    </w:p>
    <w:p>
      <w:pPr>
        <w:spacing w:after="0" w:line="90"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Generally, we believe that our primary interest rate risk is due to fluctuations in interest rates on our variable rate debt. At June 30, 2015, we had $115.9 million of variable rate debt outstanding which consisted of $106.5 million on our revolving credit facility and $9.4 million of municipal bonds. Based upon this amount of variable rate debt and the specific terms, if market interest rates increased 1.0%, our annual interest expense would increase by approximately $1.2 million, and our net income and cash flows for the year would decrease by approximately $1.2 million. Conversely, if market interest rates decreased 1.0%, our annual interest expense would decrease by $1.1 million with a corresponding increase in our net income and cash flows for the year.</w:t>
      </w:r>
    </w:p>
    <w:p>
      <w:pPr>
        <w:spacing w:after="0" w:line="39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Periodic Evaluation and Conclusion of Disclosure Controls and Procedures</w:t>
      </w:r>
    </w:p>
    <w:p>
      <w:pPr>
        <w:spacing w:after="0" w:line="9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An evaluation has been performed, under the supervision and with the participation of our management, including our Chief Executive Officer and Chief Financial Officer, of the effectiveness of the design and operation of our disclosure controls and procedures as of June 30, 2015. Based on this evaluation, our management, including our Chief Executive Officer and Chief Financial Officer, concluded that our disclosure controls and procedures were effective as of June 30, 2015 to provide reasonable assurance that information required to be disclosed in our reports filed or submitted under the Securities Exchange Act of 1934 is recorded, processed, summarized and reported within the time periods specified in the rules and forms of the SEC.</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quarterly period covered by this report that materially affected, or is reasonably likely to materially affect, our internal control over financial reporting.</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6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9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There have been no material changes to the risk factors previously disclosed in our Annual Report for the year ended December 31, 2014 filed with the SEC on February 10, 2015. These factors include, but are not limited to, the following:</w:t>
      </w:r>
    </w:p>
    <w:p>
      <w:pPr>
        <w:spacing w:after="0" w:line="8" w:lineRule="exact"/>
        <w:rPr>
          <w:sz w:val="20"/>
          <w:szCs w:val="20"/>
          <w:color w:val="auto"/>
        </w:rPr>
      </w:pPr>
    </w:p>
    <w:p>
      <w:pPr>
        <w:ind w:left="1700" w:right="60" w:hanging="801"/>
        <w:spacing w:after="0" w:line="277" w:lineRule="auto"/>
        <w:tabs>
          <w:tab w:leader="none" w:pos="1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risks that our tenants will not pay rent, may vacate early or may file for bankruptcy or that we may be unable to renew leases or re-let space at favorable rents as leases expire;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126" w:right="27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02" w:lineRule="exact"/>
        <w:rPr>
          <w:sz w:val="20"/>
          <w:szCs w:val="20"/>
          <w:color w:val="auto"/>
        </w:rPr>
      </w:pPr>
    </w:p>
    <w:p>
      <w:pPr>
        <w:ind w:left="1700" w:hanging="801"/>
        <w:spacing w:after="0" w:line="264" w:lineRule="auto"/>
        <w:tabs>
          <w:tab w:leader="none" w:pos="1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19" w:lineRule="exact"/>
        <w:rPr>
          <w:rFonts w:ascii="Arial" w:cs="Arial" w:eastAsia="Arial" w:hAnsi="Arial"/>
          <w:sz w:val="18"/>
          <w:szCs w:val="18"/>
          <w:color w:val="auto"/>
        </w:rPr>
      </w:pPr>
    </w:p>
    <w:p>
      <w:pPr>
        <w:ind w:left="1700" w:right="220" w:hanging="801"/>
        <w:spacing w:after="0" w:line="264" w:lineRule="auto"/>
        <w:tabs>
          <w:tab w:leader="none" w:pos="1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19" w:lineRule="exact"/>
        <w:rPr>
          <w:rFonts w:ascii="Arial" w:cs="Arial" w:eastAsia="Arial" w:hAnsi="Arial"/>
          <w:sz w:val="18"/>
          <w:szCs w:val="18"/>
          <w:color w:val="auto"/>
        </w:rPr>
      </w:pPr>
    </w:p>
    <w:p>
      <w:pPr>
        <w:ind w:left="1700" w:hanging="801"/>
        <w:spacing w:after="0"/>
        <w:tabs>
          <w:tab w:leader="none" w:pos="1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w:t>
      </w:r>
    </w:p>
    <w:p>
      <w:pPr>
        <w:spacing w:after="0" w:line="63" w:lineRule="exact"/>
        <w:rPr>
          <w:rFonts w:ascii="Arial" w:cs="Arial" w:eastAsia="Arial" w:hAnsi="Arial"/>
          <w:sz w:val="18"/>
          <w:szCs w:val="18"/>
          <w:color w:val="auto"/>
        </w:rPr>
      </w:pPr>
    </w:p>
    <w:p>
      <w:pPr>
        <w:ind w:left="2760" w:right="500" w:hanging="807"/>
        <w:spacing w:after="0" w:line="277" w:lineRule="auto"/>
        <w:tabs>
          <w:tab w:leader="none" w:pos="27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occupancy levels at our properties and the amount of rent that we receive from our properties may be lower than expected,</w:t>
      </w:r>
    </w:p>
    <w:p>
      <w:pPr>
        <w:spacing w:after="0" w:line="8" w:lineRule="exact"/>
        <w:rPr>
          <w:rFonts w:ascii="Arial" w:cs="Arial" w:eastAsia="Arial" w:hAnsi="Arial"/>
          <w:sz w:val="18"/>
          <w:szCs w:val="18"/>
          <w:color w:val="auto"/>
        </w:rPr>
      </w:pPr>
    </w:p>
    <w:p>
      <w:pPr>
        <w:ind w:left="2760" w:hanging="807"/>
        <w:spacing w:after="0"/>
        <w:tabs>
          <w:tab w:leader="none" w:pos="27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new acquisitions may fail to perform as expected,</w:t>
      </w:r>
    </w:p>
    <w:p>
      <w:pPr>
        <w:spacing w:after="0" w:line="63" w:lineRule="exact"/>
        <w:rPr>
          <w:rFonts w:ascii="Arial" w:cs="Arial" w:eastAsia="Arial" w:hAnsi="Arial"/>
          <w:sz w:val="18"/>
          <w:szCs w:val="18"/>
          <w:color w:val="auto"/>
        </w:rPr>
      </w:pPr>
    </w:p>
    <w:p>
      <w:pPr>
        <w:ind w:left="2760" w:hanging="807"/>
        <w:spacing w:after="0"/>
        <w:tabs>
          <w:tab w:leader="none" w:pos="27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competition for acquisitions could result in increased prices for acquisitions,</w:t>
      </w:r>
    </w:p>
    <w:p>
      <w:pPr>
        <w:spacing w:after="0" w:line="63" w:lineRule="exact"/>
        <w:rPr>
          <w:rFonts w:ascii="Arial" w:cs="Arial" w:eastAsia="Arial" w:hAnsi="Arial"/>
          <w:sz w:val="18"/>
          <w:szCs w:val="18"/>
          <w:color w:val="auto"/>
        </w:rPr>
      </w:pPr>
    </w:p>
    <w:p>
      <w:pPr>
        <w:ind w:left="2760" w:right="200" w:hanging="807"/>
        <w:spacing w:after="0" w:line="277" w:lineRule="auto"/>
        <w:tabs>
          <w:tab w:leader="none" w:pos="27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that costs associated with the periodic maintenance and repair or renovation of space, insurance and other operations may increase,</w:t>
      </w:r>
    </w:p>
    <w:p>
      <w:pPr>
        <w:spacing w:after="0" w:line="8" w:lineRule="exact"/>
        <w:rPr>
          <w:rFonts w:ascii="Arial" w:cs="Arial" w:eastAsia="Arial" w:hAnsi="Arial"/>
          <w:sz w:val="18"/>
          <w:szCs w:val="18"/>
          <w:color w:val="auto"/>
        </w:rPr>
      </w:pPr>
    </w:p>
    <w:p>
      <w:pPr>
        <w:ind w:left="2760" w:hanging="807"/>
        <w:spacing w:after="0"/>
        <w:tabs>
          <w:tab w:leader="none" w:pos="27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environmental issues may develop at our properties and result in unanticipated costs, and</w:t>
      </w:r>
    </w:p>
    <w:p>
      <w:pPr>
        <w:spacing w:after="0" w:line="63" w:lineRule="exact"/>
        <w:rPr>
          <w:rFonts w:ascii="Arial" w:cs="Arial" w:eastAsia="Arial" w:hAnsi="Arial"/>
          <w:sz w:val="18"/>
          <w:szCs w:val="18"/>
          <w:color w:val="auto"/>
        </w:rPr>
      </w:pPr>
    </w:p>
    <w:p>
      <w:pPr>
        <w:ind w:left="2760" w:hanging="807"/>
        <w:spacing w:after="0"/>
        <w:tabs>
          <w:tab w:leader="none" w:pos="27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because real estate is illiquid, we may not be able to sell properties when appropriate;</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associated with general economic conditions, including local economic conditions in our geographic markets;</w:t>
      </w:r>
    </w:p>
    <w:p>
      <w:pPr>
        <w:spacing w:after="0" w:line="63" w:lineRule="exact"/>
        <w:rPr>
          <w:rFonts w:ascii="Arial" w:cs="Arial" w:eastAsia="Arial" w:hAnsi="Arial"/>
          <w:sz w:val="18"/>
          <w:szCs w:val="18"/>
          <w:color w:val="auto"/>
        </w:rPr>
      </w:pPr>
    </w:p>
    <w:p>
      <w:pPr>
        <w:ind w:left="1700" w:right="220" w:hanging="801"/>
        <w:spacing w:after="0" w:line="286" w:lineRule="auto"/>
        <w:tabs>
          <w:tab w:leader="none" w:pos="17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3" w:lineRule="exact"/>
        <w:rPr>
          <w:rFonts w:ascii="Arial" w:cs="Arial" w:eastAsia="Arial" w:hAnsi="Arial"/>
          <w:sz w:val="17"/>
          <w:szCs w:val="17"/>
          <w:color w:val="auto"/>
        </w:rPr>
      </w:pPr>
    </w:p>
    <w:p>
      <w:pPr>
        <w:ind w:left="1700" w:right="40" w:hanging="801"/>
        <w:spacing w:after="0" w:line="264" w:lineRule="auto"/>
        <w:tabs>
          <w:tab w:leader="none" w:pos="1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25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9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 list of exhibits to this Quarterly Report on Form 10-Q is set forth on the Exhibit Index immediately preceding such exhibits and is incorporated herein by reference.</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126" w:right="29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authorized.</w:t>
      </w:r>
    </w:p>
    <w:p>
      <w:pPr>
        <w:spacing w:after="0" w:line="302"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FEDERAL REALTY INVESTMENT TRUST</w:t>
      </w:r>
    </w:p>
    <w:p>
      <w:pPr>
        <w:spacing w:after="0" w:line="189" w:lineRule="exact"/>
        <w:rPr>
          <w:sz w:val="20"/>
          <w:szCs w:val="20"/>
          <w:color w:val="auto"/>
        </w:rPr>
      </w:pPr>
    </w:p>
    <w:p>
      <w:pPr>
        <w:ind w:left="40"/>
        <w:spacing w:after="0"/>
        <w:tabs>
          <w:tab w:leader="none" w:pos="7640" w:val="left"/>
          <w:tab w:leader="none" w:pos="8000" w:val="left"/>
        </w:tabs>
        <w:rPr>
          <w:sz w:val="20"/>
          <w:szCs w:val="20"/>
          <w:color w:val="auto"/>
        </w:rPr>
      </w:pPr>
      <w:r>
        <w:rPr>
          <w:rFonts w:ascii="Arial" w:cs="Arial" w:eastAsia="Arial" w:hAnsi="Arial"/>
          <w:sz w:val="18"/>
          <w:szCs w:val="18"/>
          <w:color w:val="auto"/>
        </w:rPr>
        <w:t>August 5, 2015</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Donald C. Wood,</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(Principal Executive Officer)</w:t>
      </w:r>
    </w:p>
    <w:p>
      <w:pPr>
        <w:spacing w:after="0" w:line="189" w:lineRule="exact"/>
        <w:rPr>
          <w:sz w:val="20"/>
          <w:szCs w:val="20"/>
          <w:color w:val="auto"/>
        </w:rPr>
      </w:pPr>
    </w:p>
    <w:p>
      <w:pPr>
        <w:ind w:left="40"/>
        <w:spacing w:after="0"/>
        <w:tabs>
          <w:tab w:leader="none" w:pos="7640" w:val="left"/>
          <w:tab w:leader="none" w:pos="7980" w:val="left"/>
        </w:tabs>
        <w:rPr>
          <w:sz w:val="20"/>
          <w:szCs w:val="20"/>
          <w:color w:val="auto"/>
        </w:rPr>
      </w:pPr>
      <w:r>
        <w:rPr>
          <w:rFonts w:ascii="Arial" w:cs="Arial" w:eastAsia="Arial" w:hAnsi="Arial"/>
          <w:sz w:val="18"/>
          <w:szCs w:val="18"/>
          <w:color w:val="auto"/>
        </w:rPr>
        <w:t>August 5, 2015</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James M. Taylor,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James M. Taylor, Jr.,</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Executive Vice President -</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80"/>
          </w:cols>
          <w:pgMar w:left="240" w:top="126" w:right="37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39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Exhibit</w:t>
            </w:r>
          </w:p>
        </w:tc>
        <w:tc>
          <w:tcPr>
            <w:tcW w:w="10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040" w:type="dxa"/>
            <w:vAlign w:val="bottom"/>
            <w:gridSpan w:val="2"/>
          </w:tcPr>
          <w:p>
            <w:pPr>
              <w:ind w:left="340"/>
              <w:spacing w:after="0"/>
              <w:rPr>
                <w:sz w:val="20"/>
                <w:szCs w:val="20"/>
                <w:color w:val="auto"/>
              </w:rPr>
            </w:pPr>
            <w:r>
              <w:rPr>
                <w:rFonts w:ascii="Arial" w:cs="Arial" w:eastAsia="Arial" w:hAnsi="Arial"/>
                <w:sz w:val="14"/>
                <w:szCs w:val="14"/>
                <w:b w:val="1"/>
                <w:bCs w:val="1"/>
                <w:color w:val="auto"/>
              </w:rPr>
              <w:t>No.</w:t>
            </w:r>
          </w:p>
        </w:tc>
        <w:tc>
          <w:tcPr>
            <w:tcW w:w="10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9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10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2"/>
              </w:rPr>
              <w:t>Declaration of Trust of Federal Realty Investment Trust dated May 5, 1999 as amended by the Articles of Amendment of Declaration of Trust</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of Federal Realty Investment Trust dated May 6, 2004, as corrected by the Certificate of Correction of Articles of Amendment of Declaration</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of Trust of Federal Realty Investment Trust dated June 17, 2004, as amended by the Articles of Amendment of Declaration of Trust of Federal</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Realty Investment Trust dated May 6, 2009 (previously filed as Exhibit 3.1 to the Trust’s Registration Statement on Form S-3 (File No. 333-</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160009)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Amended and Restated Bylaws of Federal Realty Investment Trust dated February 12, 2003, as amended October 29, 2003, May 5, 2004,</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February 17, 2006 and May 6, 2009 (previously filed as Exhibit 3.2 to the Trust’s Registration Statement on Form S-3 (File No. 333-160009)</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9"/>
              </w:rPr>
              <w:t>Specimen Common Share certificate (previously filed as Exhibit 4(i) to the Trust’s Annual Report on Form 10-K for the year ended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December 31, 1999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Articles Supplementary relating to the 5.417% Series 1 Cumulative Convertible Preferred Shares of Beneficial Interest (previously filed as</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Exhibit 4.1 to the Trust’s Current Report on Form 8-K filed on March 13, 2007,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6"/>
              </w:rPr>
              <w:t>Indenture dated December 1, 1993 related to the Trust’s 7.48% Debentures due August 15, 2026; and 6.82% Medium Term Notes due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August 1, 2027; (previously filed as Exhibit 4(a) to the Trust’s Registration Statement on Form S-3 (File No. 33-51029), and amended on</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Form S-3 (File No. 33-63687), filed on December 13, 1993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89"/>
              </w:rPr>
              <w:t>Indenture dated September 1, 1998 related to the Trust’s 5.65% Notes due 2016; 6.20% Notes due 2017; 5.95% Notes due 2014 and the 5.90%</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7"/>
              </w:rPr>
              <w:t>Notes due 2020; 3.00% Notes due 2022; 2.75% Notes due 2023; 3.95% Notes due 2024; 4.50% Notes due 2044 (previously filed as</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Exhibit 4(a) to the Trust’s Registration Statement on Form S-3 (File No. 333-63619) filed on September 17, 1998 and incorporated herein by</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Severance Agreement between the Trust and Donald C. Wood dated February 22, 1999 (previously filed as a portion of Exhibit 10 to the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Trust’s Quarterly Report on Form 10-Q for the quarter ended March 31, 1999 (File No. 1-07533) (the “1999 1Q Form 10-Q”) and incorporated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Executive Agreement between Federal Realty Investment Trust and Donald C. Wood dated February 22, 1999 (previously filed as a portion of</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Exhibit 10 to the 1999 1Q Form 10-Q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Amendment to Executive Agreement between Federal Realty Investment Trust and Donald C. Wood dated February 16, 2005 (previously filed</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as Exhibit 10.12 to the Trust’s Annual Report on Form 10-K for the year ended December 31, 2004 (File No. 1-07533) (the “2004 Form 10-</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2001 Long-Term Incentive Plan (previously filed as Exhibit 99.1 to the Trust’s S-8 Registration Number 333-60364 filed on May 7, 2001 and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0"/>
              </w:rPr>
              <w:t>Health Coverage Continuation Agreement between Federal Realty Investment Trust and Donald C. Wood dated February 16, 2005 (previously</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filed as Exhibit 10.26 to the 2004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Severance Agreement between the Trust and Dawn M. Becker dated April 19, 2000 (previously filed as Exhibit 10.26 to the Trust’s 2005 2Q</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Form 10-Q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Amendment to Severance Agreement between the Trust and Dawn M. Becker dated February 16, 2005 (previously filed as Exhibit 10.27 to</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the 2004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Restricted Share Award Agreement for awards made under the Trust’s 2003 Long-Term Incentive Award Program for shares issued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7"/>
              </w:rPr>
              <w:t>out of 2001 Long-Term Incentive Plan (previously filed as Exhibit 10.28 to the 2004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Form of Restricted Share Award Agreement for long term vesting and retention awards for shares issued out of the 2010 Plan (previously filed</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as Exhibit 10.35 to the Trust's Annual Report on Form 10-K for the year ended December 31, 2010 (File No. 1-07533) (the "2010 Form 10-</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10.10</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Option Award Agreement for awards made under the Trust’s 2003 Long-Term Incentive Award Program for shares issued out of the</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2001 Long-Term Incentive Plan (previously filed as Exhibit 10.32 to the 2005 Form 10-K and incorporated herein by reference)</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26" w:right="2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39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Exhibit</w:t>
            </w:r>
          </w:p>
        </w:tc>
        <w:tc>
          <w:tcPr>
            <w:tcW w:w="10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No.</w:t>
            </w:r>
          </w:p>
        </w:tc>
        <w:tc>
          <w:tcPr>
            <w:tcW w:w="10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900" w:type="dxa"/>
            <w:vAlign w:val="bottom"/>
            <w:tcBorders>
              <w:top w:val="single" w:sz="8" w:color="auto"/>
            </w:tcBorders>
          </w:tcPr>
          <w:p>
            <w:pPr>
              <w:jc w:val="right"/>
              <w:ind w:right="372"/>
              <w:spacing w:after="0"/>
              <w:rPr>
                <w:sz w:val="20"/>
                <w:szCs w:val="20"/>
                <w:color w:val="auto"/>
              </w:rPr>
            </w:pPr>
            <w:r>
              <w:rPr>
                <w:rFonts w:ascii="Arial" w:cs="Arial" w:eastAsia="Arial" w:hAnsi="Arial"/>
                <w:sz w:val="18"/>
                <w:szCs w:val="18"/>
                <w:color w:val="auto"/>
                <w:w w:val="93"/>
              </w:rPr>
              <w:t>10.11</w:t>
            </w:r>
          </w:p>
        </w:tc>
        <w:tc>
          <w:tcPr>
            <w:tcW w:w="140" w:type="dxa"/>
            <w:vAlign w:val="bottom"/>
          </w:tcPr>
          <w:p>
            <w:pPr>
              <w:spacing w:after="0"/>
              <w:rPr>
                <w:sz w:val="19"/>
                <w:szCs w:val="19"/>
                <w:color w:val="auto"/>
              </w:rPr>
            </w:pPr>
          </w:p>
        </w:tc>
        <w:tc>
          <w:tcPr>
            <w:tcW w:w="10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3"/>
              </w:rPr>
              <w:t>Amended and Restated 2001 Long-Term Incentive Plan (previously filed as Exhibit 10.34 to the Trust’s Quarterly Report on Form 10-Q for</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the quarter ended June 30, 2007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10.12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Amendment to Severance Agreement between the Trust and Donald C. Wood dated January 1, 2009 (previously filed as Exhibit 10.26 to the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Trust’s Annual Report on Form 10-K for the year ended December 31, 2008 (File No. 1-07533) (“the 2008 Form 10-K”) and incorporated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10.13</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Second Amendment to Executive Agreement between the Trust and Donald C. Wood dated January 1, 2009 (previously filed as Exhibit 10.27</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to the Trust’s 2008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10.14</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Amendment to Health Coverage Continuation Agreement between the Trust and Donald C. Wood dated January 1, 2009 (previously filed as</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Exhibit 10.28 to the Trust’s 2008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10.15</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0"/>
              </w:rPr>
              <w:t>Second Amendment to Severance Agreement between the Trust and Dawn M. Becker dated January 1, 2009 (previously filed as Exhibit 10.30</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to the Trust’s 2008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10.16</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2010 Performance Incentive Plan (previously filed as Appendix A to the Trust’s Definitive Proxy Statement for the 2010 Annual Meeting of</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Shareholders (File No. 01-07533)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10.17</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Amendment to 2010 Performance Incentive Plan (“the 2010 Plan”) (previously filed as Appendix A to the Trust’s Proxy Supplement for the</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2010 Annual Meeting of Shareholders (File No. 01-07533)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10.18</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Restricted Share Award Agreement between the Trust and Donald C. Wood dated October 12, 2010 (previously filed as Exhibit 10.36 to the</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Trust’s Quarterly Report on Form 10-Q for the quarter ended September 30, 2010 (File No. 01-07533)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10.19</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Restricted Share Award Agreement for awards made under the Trust’s Long-Term Incentive Award Program and the Trust’s Annual</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Incentive Bonus Program and basic awards with annual vesting for shares issued out of the 2010 Plan (previously filed as Exhibit 10.34 to the</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2010 Form 10-K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10.20</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Option Award Agreement for awards made under the Trust’s Long-Term Incentive Award Program for shares issued out of the 2010</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Plan (previously filed as Exhibit 10.38 to the Trust’s 2010 Form 10-K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10.21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Option Award Agreement for front loaded awards made under the Trust’s Long-Term Incentive Award Program for shares issued out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of the 2010 Plan (previously filed as Exhibit 10.39 to the Trust’s 2010 Form 10-K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10.22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Form of Option Award Agreement for basic options awarded out of the 2010 Plan (previously filed as Exhibit 10.40 to the Trust’s 2010 Form</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10-K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10.23</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Form of Restricted Share Award Agreement, dated as of February 10, 2011, between the Trust and Dawn M. Becker (previously filed as</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Exhibit 10.41 to the Trust’s 2010 Form 10-K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10.24</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Severance Agreement between the Trust and James M. Taylor dated July 30, 2012 (previously filed as Exhibit 10.35 to the Trust's Quarterly</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Report on Form 10-Q for the quarter ended September 30, 2012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10.25</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Credit Agreement dated as of July 7, 2011, by and among the Trust, as Borrower, the financial institutions party thereto and their permitted</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9"/>
              </w:rPr>
              <w:t>assignees under Section 12.6., as Lenders, Wells Fargo Bank, National Association, as Administrative Agent, PNC Bank, National</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Association, as Syndication Agent, Wells Fargo Securities, LLC, as a Lead Arranger and Book Manager, and PNC Capital Markets LLC, as a</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Lead Arranger and Book Manager (previously filed as Exhibit 10.1 to the Trust’s Current Report on Form 8-K (File No. 1-07533), filed on</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July 11, 2011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10.26</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Term Loan Agreement dated as of November 22, 2011, by and among the Trust, as Borrower, the financial institutions party thereto and their</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6"/>
              </w:rPr>
              <w:t>permitted assignees under Section 12.6., as Lenders, PNC Bank, National Association, as Administrative Agent, Capital One, N.A., as</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Syndication Agent, PNC Capital Markets, LLC, as a Lead Arranger and Book Manager, and Capital One, N.A., as a Lead Arranger and Book</w:t>
            </w:r>
          </w:p>
        </w:tc>
        <w:tc>
          <w:tcPr>
            <w:tcW w:w="0" w:type="dxa"/>
            <w:vAlign w:val="bottom"/>
          </w:tcPr>
          <w:p>
            <w:pPr>
              <w:spacing w:after="0"/>
              <w:rPr>
                <w:sz w:val="1"/>
                <w:szCs w:val="1"/>
                <w:color w:val="auto"/>
              </w:rPr>
            </w:pPr>
          </w:p>
        </w:tc>
      </w:tr>
    </w:tbl>
    <w:p>
      <w:pPr>
        <w:ind w:left="1080" w:right="400"/>
        <w:spacing w:after="0" w:line="261" w:lineRule="auto"/>
        <w:rPr>
          <w:sz w:val="20"/>
          <w:szCs w:val="20"/>
          <w:color w:val="auto"/>
        </w:rPr>
      </w:pPr>
      <w:r>
        <w:rPr>
          <w:rFonts w:ascii="Arial" w:cs="Arial" w:eastAsia="Arial" w:hAnsi="Arial"/>
          <w:sz w:val="18"/>
          <w:szCs w:val="18"/>
          <w:color w:val="auto"/>
        </w:rPr>
        <w:t>Manager (previously filed as Exhibit 10.1 to the Trust’s Current Report on Form 8-K (File No. 1-07533), filed on November 28, 2011 and incorporated herein by reference)</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6" w:right="23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39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Exhibit</w:t>
            </w:r>
          </w:p>
        </w:tc>
        <w:tc>
          <w:tcPr>
            <w:tcW w:w="10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040" w:type="dxa"/>
            <w:vAlign w:val="bottom"/>
            <w:gridSpan w:val="2"/>
          </w:tcPr>
          <w:p>
            <w:pPr>
              <w:ind w:left="340"/>
              <w:spacing w:after="0"/>
              <w:rPr>
                <w:sz w:val="20"/>
                <w:szCs w:val="20"/>
                <w:color w:val="auto"/>
              </w:rPr>
            </w:pPr>
            <w:r>
              <w:rPr>
                <w:rFonts w:ascii="Arial" w:cs="Arial" w:eastAsia="Arial" w:hAnsi="Arial"/>
                <w:sz w:val="14"/>
                <w:szCs w:val="14"/>
                <w:b w:val="1"/>
                <w:bCs w:val="1"/>
                <w:color w:val="auto"/>
              </w:rPr>
              <w:t>No.</w:t>
            </w:r>
          </w:p>
        </w:tc>
        <w:tc>
          <w:tcPr>
            <w:tcW w:w="10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9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10.27</w:t>
            </w:r>
          </w:p>
        </w:tc>
        <w:tc>
          <w:tcPr>
            <w:tcW w:w="140" w:type="dxa"/>
            <w:vAlign w:val="bottom"/>
          </w:tcPr>
          <w:p>
            <w:pPr>
              <w:spacing w:after="0"/>
              <w:rPr>
                <w:sz w:val="19"/>
                <w:szCs w:val="19"/>
                <w:color w:val="auto"/>
              </w:rPr>
            </w:pPr>
          </w:p>
        </w:tc>
        <w:tc>
          <w:tcPr>
            <w:tcW w:w="10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1"/>
              </w:rPr>
              <w:t>Revised Form of Restricted Share Award Agreement for front loaded awards made under the Trust’s Long-Term Incentive Award Program for</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shares issued out of the 2010 Plan (previously filed as Exhibit 10.35 to the Trust's Annual Report on Form 10-K for the year ended December</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31, 2012 (File No. 1-07533) (the "2012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10.28</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Revised Form of Restricted Share Award Agreement for long-term vesting and retention awards made under the Trust’s Long-Term Incentive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Award Program for shares issued out of the 2010 Plan (previously filed as Exhibit 10.36 to the Trust's 2012 Form 10-K (File No. 1-07533) and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10.29</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Revised Form of Performance Share Award Agreement for shares awarded out of the 2010 Plan (previously filed as Exhibit 10.37 to the</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Trust's 2012 Form 10-K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10.30</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Revised Form of Restricted Share Award Agreement for awards made under the Trust’s Long-Term Incentive Award Program and the Trust’s</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Annual Incentive Bonus Program and basic awards with annual vesting for shares issued out of the 2010 Plan (previously filed as Exhibit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10.38 to the Trust's 2012 Form 10-K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10.31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First Amendment to Credit Agreement, dated as of April 22, 2013, by and among Federal Realty Investment Trust, each of the Lenders party</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thereto, and Wells Fargo Bank, National Association, as Administrative Agent (previously filed as Exhibit 10.1 to the Trust's Current Report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on Form 8-K (File No. 1-07533), filed on April 26, 2013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10.32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First Amendment to Term Loan Agreement, dated as of April 22, 2013, by and among Federal Realty Investment Trust, each of the Lenders</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party thereto, and PNC Bank, National Association, as Administrative Agent (previously filed as Exhibit 10.40 to the Trust's Quarterly Report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on Form 10-Q for the quarter ended March 31, 2013 (File No. 1-07533) and incorporated herein by reference)</w:t>
            </w:r>
          </w:p>
        </w:tc>
        <w:tc>
          <w:tcPr>
            <w:tcW w:w="0" w:type="dxa"/>
            <w:vAlign w:val="bottom"/>
          </w:tcPr>
          <w:p>
            <w:pPr>
              <w:spacing w:after="0"/>
              <w:rPr>
                <w:sz w:val="1"/>
                <w:szCs w:val="1"/>
                <w:color w:val="auto"/>
              </w:rPr>
            </w:pPr>
          </w:p>
        </w:tc>
      </w:tr>
      <w:tr>
        <w:trPr>
          <w:trHeight w:val="392"/>
        </w:trPr>
        <w:tc>
          <w:tcPr>
            <w:tcW w:w="900" w:type="dxa"/>
            <w:vAlign w:val="bottom"/>
          </w:tcPr>
          <w:p>
            <w:pPr>
              <w:ind w:left="40"/>
              <w:spacing w:after="0"/>
              <w:rPr>
                <w:sz w:val="20"/>
                <w:szCs w:val="20"/>
                <w:color w:val="auto"/>
              </w:rPr>
            </w:pPr>
            <w:r>
              <w:rPr>
                <w:rFonts w:ascii="Arial" w:cs="Arial" w:eastAsia="Arial" w:hAnsi="Arial"/>
                <w:sz w:val="18"/>
                <w:szCs w:val="18"/>
                <w:color w:val="auto"/>
              </w:rPr>
              <w:t>10.33</w:t>
            </w:r>
          </w:p>
        </w:tc>
        <w:tc>
          <w:tcPr>
            <w:tcW w:w="140" w:type="dxa"/>
            <w:vAlign w:val="bottom"/>
          </w:tcPr>
          <w:p>
            <w:pPr>
              <w:spacing w:after="0"/>
              <w:rPr>
                <w:sz w:val="24"/>
                <w:szCs w:val="24"/>
                <w:color w:val="auto"/>
              </w:rPr>
            </w:pPr>
          </w:p>
        </w:tc>
        <w:tc>
          <w:tcPr>
            <w:tcW w:w="10380" w:type="dxa"/>
            <w:vAlign w:val="bottom"/>
            <w:vMerge w:val="restart"/>
          </w:tcPr>
          <w:p>
            <w:pPr>
              <w:ind w:left="40"/>
              <w:spacing w:after="0"/>
              <w:rPr>
                <w:sz w:val="20"/>
                <w:szCs w:val="20"/>
                <w:color w:val="auto"/>
              </w:rPr>
            </w:pPr>
            <w:r>
              <w:rPr>
                <w:rFonts w:ascii="Arial" w:cs="Arial" w:eastAsia="Arial" w:hAnsi="Arial"/>
                <w:sz w:val="18"/>
                <w:szCs w:val="18"/>
                <w:color w:val="auto"/>
                <w:w w:val="94"/>
              </w:rPr>
              <w:t>Second Amendment to Term Loan Agreement, dated as of August 28, 2014, by and among Federal Realty Investment Trust, each of the</w:t>
            </w:r>
          </w:p>
        </w:tc>
        <w:tc>
          <w:tcPr>
            <w:tcW w:w="0" w:type="dxa"/>
            <w:vAlign w:val="bottom"/>
          </w:tcPr>
          <w:p>
            <w:pPr>
              <w:spacing w:after="0"/>
              <w:rPr>
                <w:sz w:val="1"/>
                <w:szCs w:val="1"/>
                <w:color w:val="auto"/>
              </w:rPr>
            </w:pPr>
          </w:p>
        </w:tc>
      </w:tr>
      <w:tr>
        <w:trPr>
          <w:trHeight w:val="67"/>
        </w:trPr>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Lenders party thereto, and PNC Bank, National Association, as Administrative Agent (previously filed as Exhibit 10.1 to the Trust's Current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Report on Form 8-K (File No. 1-07533), filed on September 2, 2014 and incorporated herein by reference)</w:t>
            </w:r>
          </w:p>
        </w:tc>
        <w:tc>
          <w:tcPr>
            <w:tcW w:w="0" w:type="dxa"/>
            <w:vAlign w:val="bottom"/>
          </w:tcPr>
          <w:p>
            <w:pPr>
              <w:spacing w:after="0"/>
              <w:rPr>
                <w:sz w:val="1"/>
                <w:szCs w:val="1"/>
                <w:color w:val="auto"/>
              </w:rPr>
            </w:pPr>
          </w:p>
        </w:tc>
      </w:tr>
      <w:tr>
        <w:trPr>
          <w:trHeight w:val="689"/>
        </w:trPr>
        <w:tc>
          <w:tcPr>
            <w:tcW w:w="900" w:type="dxa"/>
            <w:vAlign w:val="bottom"/>
          </w:tcPr>
          <w:p>
            <w:pPr>
              <w:ind w:left="4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Rule 13a-14(a) Certification of Chief Executive Officer (filed herewith)</w:t>
            </w:r>
          </w:p>
        </w:tc>
        <w:tc>
          <w:tcPr>
            <w:tcW w:w="0" w:type="dxa"/>
            <w:vAlign w:val="bottom"/>
          </w:tcPr>
          <w:p>
            <w:pPr>
              <w:spacing w:after="0"/>
              <w:rPr>
                <w:sz w:val="1"/>
                <w:szCs w:val="1"/>
                <w:color w:val="auto"/>
              </w:rPr>
            </w:pPr>
          </w:p>
        </w:tc>
      </w:tr>
      <w:tr>
        <w:trPr>
          <w:trHeight w:val="392"/>
        </w:trPr>
        <w:tc>
          <w:tcPr>
            <w:tcW w:w="900" w:type="dxa"/>
            <w:vAlign w:val="bottom"/>
          </w:tcPr>
          <w:p>
            <w:pPr>
              <w:ind w:left="4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Rule 13a-14(a) Certification of Chief Financial Officer (filed herewith)</w:t>
            </w:r>
          </w:p>
        </w:tc>
        <w:tc>
          <w:tcPr>
            <w:tcW w:w="0" w:type="dxa"/>
            <w:vAlign w:val="bottom"/>
          </w:tcPr>
          <w:p>
            <w:pPr>
              <w:spacing w:after="0"/>
              <w:rPr>
                <w:sz w:val="1"/>
                <w:szCs w:val="1"/>
                <w:color w:val="auto"/>
              </w:rPr>
            </w:pPr>
          </w:p>
        </w:tc>
      </w:tr>
      <w:tr>
        <w:trPr>
          <w:trHeight w:val="392"/>
        </w:trPr>
        <w:tc>
          <w:tcPr>
            <w:tcW w:w="900" w:type="dxa"/>
            <w:vAlign w:val="bottom"/>
          </w:tcPr>
          <w:p>
            <w:pPr>
              <w:ind w:left="4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Section 1350 Certification of Chief Executive Officer (filed herewith)</w:t>
            </w:r>
          </w:p>
        </w:tc>
        <w:tc>
          <w:tcPr>
            <w:tcW w:w="0" w:type="dxa"/>
            <w:vAlign w:val="bottom"/>
          </w:tcPr>
          <w:p>
            <w:pPr>
              <w:spacing w:after="0"/>
              <w:rPr>
                <w:sz w:val="1"/>
                <w:szCs w:val="1"/>
                <w:color w:val="auto"/>
              </w:rPr>
            </w:pPr>
          </w:p>
        </w:tc>
      </w:tr>
      <w:tr>
        <w:trPr>
          <w:trHeight w:val="392"/>
        </w:trPr>
        <w:tc>
          <w:tcPr>
            <w:tcW w:w="900" w:type="dxa"/>
            <w:vAlign w:val="bottom"/>
          </w:tcPr>
          <w:p>
            <w:pPr>
              <w:ind w:left="40"/>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Section 1350 Certification of Chief Financial Officer (filed herewith)</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080" w:right="460" w:hanging="1045"/>
        <w:spacing w:after="0" w:line="259"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following materials from Federal Realty Investment Trust’s Quarterly Report on Form 10-Q for the quarter ended June 30, 2015, formatted in XBRL (Extensible Business Reporting Language): (1) the Consolidated Balance Sheets, (2) the Consolidated Statements of Comprehensive Income, (3) the Consolidated Statement of Shareholders’ Equity, (4) the Consolidated Statements of Cash Flows, and (5) Notes to Consolidated Financial Statements that have been detail tagged.</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6"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Donald C. Wood</w:t>
      </w:r>
      <w:r>
        <w:rPr>
          <w:rFonts w:ascii="Arial" w:cs="Arial" w:eastAsia="Arial" w:hAnsi="Arial"/>
          <w:sz w:val="18"/>
          <w:szCs w:val="18"/>
          <w:color w:val="auto"/>
        </w:rPr>
        <w:t>, certify that:</w:t>
      </w:r>
    </w:p>
    <w:p>
      <w:pPr>
        <w:spacing w:after="0" w:line="90" w:lineRule="exact"/>
        <w:rPr>
          <w:sz w:val="20"/>
          <w:szCs w:val="20"/>
          <w:color w:val="auto"/>
        </w:rPr>
      </w:pPr>
    </w:p>
    <w:p>
      <w:pPr>
        <w:ind w:left="880" w:hanging="467"/>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90" w:lineRule="exact"/>
        <w:rPr>
          <w:rFonts w:ascii="Arial" w:cs="Arial" w:eastAsia="Arial" w:hAnsi="Arial"/>
          <w:sz w:val="18"/>
          <w:szCs w:val="18"/>
          <w:color w:val="auto"/>
        </w:rPr>
      </w:pPr>
    </w:p>
    <w:p>
      <w:pPr>
        <w:jc w:val="both"/>
        <w:ind w:left="880" w:right="80" w:hanging="467"/>
        <w:spacing w:after="0" w:line="264"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880" w:right="40" w:hanging="467"/>
        <w:spacing w:after="0" w:line="308" w:lineRule="auto"/>
        <w:tabs>
          <w:tab w:leader="none" w:pos="8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880" w:right="80" w:hanging="467"/>
        <w:spacing w:after="0" w:line="264"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1420" w:hanging="440"/>
        <w:spacing w:after="0" w:line="264" w:lineRule="auto"/>
        <w:tabs>
          <w:tab w:leader="none" w:pos="14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420" w:right="100" w:hanging="440"/>
        <w:spacing w:after="0" w:line="264" w:lineRule="auto"/>
        <w:tabs>
          <w:tab w:leader="none" w:pos="14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1420" w:right="260" w:hanging="440"/>
        <w:spacing w:after="0" w:line="334" w:lineRule="auto"/>
        <w:tabs>
          <w:tab w:leader="none" w:pos="142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420" w:right="340" w:hanging="440"/>
        <w:spacing w:after="0" w:line="264" w:lineRule="auto"/>
        <w:tabs>
          <w:tab w:leader="none" w:pos="14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880" w:right="240" w:hanging="467"/>
        <w:spacing w:after="0" w:line="334" w:lineRule="auto"/>
        <w:tabs>
          <w:tab w:leader="none" w:pos="8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1" w:lineRule="exact"/>
        <w:rPr>
          <w:rFonts w:ascii="Arial" w:cs="Arial" w:eastAsia="Arial" w:hAnsi="Arial"/>
          <w:sz w:val="16"/>
          <w:szCs w:val="16"/>
          <w:color w:val="auto"/>
        </w:rPr>
      </w:pPr>
    </w:p>
    <w:p>
      <w:pPr>
        <w:ind w:left="1420" w:right="560" w:hanging="440"/>
        <w:spacing w:after="0" w:line="334" w:lineRule="auto"/>
        <w:tabs>
          <w:tab w:leader="none" w:pos="142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420" w:right="260" w:hanging="440"/>
        <w:spacing w:after="0" w:line="277" w:lineRule="auto"/>
        <w:tabs>
          <w:tab w:leader="none" w:pos="14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900" w:val="left"/>
        </w:tabs>
        <w:rPr>
          <w:sz w:val="20"/>
          <w:szCs w:val="20"/>
          <w:color w:val="auto"/>
        </w:rPr>
      </w:pPr>
      <w:r>
        <w:rPr>
          <w:rFonts w:ascii="Arial" w:cs="Arial" w:eastAsia="Arial" w:hAnsi="Arial"/>
          <w:sz w:val="18"/>
          <w:szCs w:val="18"/>
          <w:color w:val="auto"/>
        </w:rPr>
        <w:t>August 5, 2015</w:t>
      </w:r>
      <w:r>
        <w:rPr>
          <w:sz w:val="20"/>
          <w:szCs w:val="20"/>
          <w:color w:val="auto"/>
        </w:rPr>
        <w:tab/>
      </w:r>
      <w:r>
        <w:rPr>
          <w:rFonts w:ascii="Arial" w:cs="Arial" w:eastAsia="Arial" w:hAnsi="Arial"/>
          <w:sz w:val="16"/>
          <w:szCs w:val="16"/>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Donald C. Wood,</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580"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James M. Taylor, Jr.</w:t>
      </w:r>
      <w:r>
        <w:rPr>
          <w:rFonts w:ascii="Arial" w:cs="Arial" w:eastAsia="Arial" w:hAnsi="Arial"/>
          <w:sz w:val="18"/>
          <w:szCs w:val="18"/>
          <w:color w:val="auto"/>
        </w:rPr>
        <w:t>, certify that:</w:t>
      </w:r>
    </w:p>
    <w:p>
      <w:pPr>
        <w:spacing w:after="0" w:line="90" w:lineRule="exact"/>
        <w:rPr>
          <w:sz w:val="20"/>
          <w:szCs w:val="20"/>
          <w:color w:val="auto"/>
        </w:rPr>
      </w:pPr>
    </w:p>
    <w:p>
      <w:pPr>
        <w:ind w:left="880" w:hanging="467"/>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90" w:lineRule="exact"/>
        <w:rPr>
          <w:rFonts w:ascii="Arial" w:cs="Arial" w:eastAsia="Arial" w:hAnsi="Arial"/>
          <w:sz w:val="18"/>
          <w:szCs w:val="18"/>
          <w:color w:val="auto"/>
        </w:rPr>
      </w:pPr>
    </w:p>
    <w:p>
      <w:pPr>
        <w:jc w:val="both"/>
        <w:ind w:left="880" w:right="80" w:hanging="467"/>
        <w:spacing w:after="0" w:line="264"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880" w:right="40" w:hanging="467"/>
        <w:spacing w:after="0" w:line="308" w:lineRule="auto"/>
        <w:tabs>
          <w:tab w:leader="none" w:pos="8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880" w:right="80" w:hanging="467"/>
        <w:spacing w:after="0" w:line="264"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1420" w:hanging="440"/>
        <w:spacing w:after="0" w:line="264" w:lineRule="auto"/>
        <w:tabs>
          <w:tab w:leader="none" w:pos="14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420" w:right="100" w:hanging="440"/>
        <w:spacing w:after="0" w:line="264" w:lineRule="auto"/>
        <w:tabs>
          <w:tab w:leader="none" w:pos="14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1420" w:right="260" w:hanging="440"/>
        <w:spacing w:after="0" w:line="334" w:lineRule="auto"/>
        <w:tabs>
          <w:tab w:leader="none" w:pos="142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420" w:right="340" w:hanging="440"/>
        <w:spacing w:after="0" w:line="264" w:lineRule="auto"/>
        <w:tabs>
          <w:tab w:leader="none" w:pos="14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880" w:right="240" w:hanging="467"/>
        <w:spacing w:after="0" w:line="334" w:lineRule="auto"/>
        <w:tabs>
          <w:tab w:leader="none" w:pos="8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1" w:lineRule="exact"/>
        <w:rPr>
          <w:rFonts w:ascii="Arial" w:cs="Arial" w:eastAsia="Arial" w:hAnsi="Arial"/>
          <w:sz w:val="16"/>
          <w:szCs w:val="16"/>
          <w:color w:val="auto"/>
        </w:rPr>
      </w:pPr>
    </w:p>
    <w:p>
      <w:pPr>
        <w:ind w:left="1420" w:right="560" w:hanging="440"/>
        <w:spacing w:after="0" w:line="334" w:lineRule="auto"/>
        <w:tabs>
          <w:tab w:leader="none" w:pos="142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420" w:right="260" w:hanging="440"/>
        <w:spacing w:after="0" w:line="277" w:lineRule="auto"/>
        <w:tabs>
          <w:tab w:leader="none" w:pos="14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780" w:val="left"/>
        </w:tabs>
        <w:rPr>
          <w:sz w:val="20"/>
          <w:szCs w:val="20"/>
          <w:color w:val="auto"/>
        </w:rPr>
      </w:pPr>
      <w:r>
        <w:rPr>
          <w:rFonts w:ascii="Arial" w:cs="Arial" w:eastAsia="Arial" w:hAnsi="Arial"/>
          <w:sz w:val="18"/>
          <w:szCs w:val="18"/>
          <w:color w:val="auto"/>
        </w:rPr>
        <w:t>August 5, 2015</w:t>
      </w:r>
      <w:r>
        <w:rPr>
          <w:sz w:val="20"/>
          <w:szCs w:val="20"/>
          <w:color w:val="auto"/>
        </w:rPr>
        <w:tab/>
      </w:r>
      <w:r>
        <w:rPr>
          <w:rFonts w:ascii="Arial" w:cs="Arial" w:eastAsia="Arial" w:hAnsi="Arial"/>
          <w:sz w:val="15"/>
          <w:szCs w:val="15"/>
          <w:color w:val="auto"/>
        </w:rPr>
        <w:t>/s/ James M. Taylor,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ind w:left="7840"/>
        <w:spacing w:after="0"/>
        <w:rPr>
          <w:sz w:val="20"/>
          <w:szCs w:val="20"/>
          <w:color w:val="auto"/>
        </w:rPr>
      </w:pPr>
      <w:r>
        <w:rPr>
          <w:rFonts w:ascii="Arial" w:cs="Arial" w:eastAsia="Arial" w:hAnsi="Arial"/>
          <w:sz w:val="18"/>
          <w:szCs w:val="18"/>
          <w:b w:val="1"/>
          <w:bCs w:val="1"/>
          <w:color w:val="auto"/>
        </w:rPr>
        <w:t>James M. Taylor, Jr.</w:t>
      </w:r>
    </w:p>
    <w:p>
      <w:pPr>
        <w:spacing w:after="0" w:line="63"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Executive Vice President -</w:t>
      </w:r>
    </w:p>
    <w:p>
      <w:pPr>
        <w:spacing w:after="0" w:line="27"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45"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Financial and Accounting Officer)</w:t>
      </w:r>
    </w:p>
    <w:p>
      <w:pPr>
        <w:sectPr>
          <w:pgSz w:w="11900" w:h="16838" w:orient="portrait"/>
          <w:cols w:equalWidth="0" w:num="1">
            <w:col w:w="11420"/>
          </w:cols>
          <w:pgMar w:left="240" w:top="580"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The undersigned, Donald C. Wood, the President and Chief Executive Officer of Federal Realty Investment Trust (the “Company”), has executed this certification in connection with the filing with the Securities and Exchange Commission of the Company’s Quarterly Report on Form 10-Q for the period ended June 30, 2015 (the “Report”). The undersigned hereby certifies, to the best of his knowledge, that:</w:t>
      </w:r>
    </w:p>
    <w:p>
      <w:pPr>
        <w:spacing w:after="0" w:line="73" w:lineRule="exact"/>
        <w:rPr>
          <w:sz w:val="20"/>
          <w:szCs w:val="20"/>
          <w:color w:val="auto"/>
        </w:rPr>
      </w:pPr>
    </w:p>
    <w:p>
      <w:pPr>
        <w:ind w:left="1300" w:hanging="887"/>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500" w:hanging="887"/>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40"/>
        <w:spacing w:after="0"/>
        <w:tabs>
          <w:tab w:leader="none" w:pos="7900" w:val="left"/>
        </w:tabs>
        <w:rPr>
          <w:sz w:val="20"/>
          <w:szCs w:val="20"/>
          <w:color w:val="auto"/>
        </w:rPr>
      </w:pPr>
      <w:r>
        <w:rPr>
          <w:rFonts w:ascii="Arial" w:cs="Arial" w:eastAsia="Arial" w:hAnsi="Arial"/>
          <w:sz w:val="18"/>
          <w:szCs w:val="18"/>
          <w:color w:val="auto"/>
        </w:rPr>
        <w:t>August 5, 2015</w:t>
      </w:r>
      <w:r>
        <w:rPr>
          <w:sz w:val="20"/>
          <w:szCs w:val="20"/>
          <w:color w:val="auto"/>
        </w:rPr>
        <w:tab/>
      </w:r>
      <w:r>
        <w:rPr>
          <w:rFonts w:ascii="Arial" w:cs="Arial" w:eastAsia="Arial" w:hAnsi="Arial"/>
          <w:sz w:val="16"/>
          <w:szCs w:val="16"/>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Donald C. Wood,</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580"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ind w:right="120" w:firstLine="432"/>
        <w:spacing w:after="0" w:line="312" w:lineRule="auto"/>
        <w:rPr>
          <w:sz w:val="20"/>
          <w:szCs w:val="20"/>
          <w:color w:val="auto"/>
        </w:rPr>
      </w:pPr>
      <w:r>
        <w:rPr>
          <w:rFonts w:ascii="Arial" w:cs="Arial" w:eastAsia="Arial" w:hAnsi="Arial"/>
          <w:sz w:val="16"/>
          <w:szCs w:val="16"/>
          <w:color w:val="auto"/>
        </w:rPr>
        <w:t>The undersigned, James M. Taylor, Jr., the Executive Vice President and Chief Financial Officer and Treasurer of Federal Realty Investment Trust (the “Company”), has executed this certification in connection with the filing with the Securities and Exchange Commission of the Company’s Quarterly Report on Form 10-Q for the period ended June 30, 2015 (the “Report”). The undersigned hereby certifies, to the best of his knowledge, that:</w:t>
      </w:r>
    </w:p>
    <w:p>
      <w:pPr>
        <w:spacing w:after="0" w:line="39" w:lineRule="exact"/>
        <w:rPr>
          <w:sz w:val="20"/>
          <w:szCs w:val="20"/>
          <w:color w:val="auto"/>
        </w:rPr>
      </w:pPr>
    </w:p>
    <w:p>
      <w:pPr>
        <w:ind w:left="1300" w:hanging="887"/>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500" w:hanging="887"/>
        <w:spacing w:after="0" w:line="27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40"/>
        <w:spacing w:after="0"/>
        <w:tabs>
          <w:tab w:leader="none" w:pos="7780" w:val="left"/>
        </w:tabs>
        <w:rPr>
          <w:sz w:val="20"/>
          <w:szCs w:val="20"/>
          <w:color w:val="auto"/>
        </w:rPr>
      </w:pPr>
      <w:r>
        <w:rPr>
          <w:rFonts w:ascii="Arial" w:cs="Arial" w:eastAsia="Arial" w:hAnsi="Arial"/>
          <w:sz w:val="18"/>
          <w:szCs w:val="18"/>
          <w:color w:val="auto"/>
        </w:rPr>
        <w:t>August 5, 2015</w:t>
      </w:r>
      <w:r>
        <w:rPr>
          <w:sz w:val="20"/>
          <w:szCs w:val="20"/>
          <w:color w:val="auto"/>
        </w:rPr>
        <w:tab/>
      </w:r>
      <w:r>
        <w:rPr>
          <w:rFonts w:ascii="Arial" w:cs="Arial" w:eastAsia="Arial" w:hAnsi="Arial"/>
          <w:sz w:val="15"/>
          <w:szCs w:val="15"/>
          <w:color w:val="auto"/>
        </w:rPr>
        <w:t>/s/ James M. Taylor,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ind w:left="7840"/>
        <w:spacing w:after="0"/>
        <w:rPr>
          <w:sz w:val="20"/>
          <w:szCs w:val="20"/>
          <w:color w:val="auto"/>
        </w:rPr>
      </w:pPr>
      <w:r>
        <w:rPr>
          <w:rFonts w:ascii="Arial" w:cs="Arial" w:eastAsia="Arial" w:hAnsi="Arial"/>
          <w:sz w:val="18"/>
          <w:szCs w:val="18"/>
          <w:b w:val="1"/>
          <w:bCs w:val="1"/>
          <w:color w:val="auto"/>
        </w:rPr>
        <w:t>James M. Taylor, Jr.</w:t>
      </w:r>
    </w:p>
    <w:p>
      <w:pPr>
        <w:spacing w:after="0" w:line="63"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Executive Vice President -</w:t>
      </w:r>
    </w:p>
    <w:p>
      <w:pPr>
        <w:spacing w:after="0" w:line="27"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45"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Financial and Accounting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1)"/>
      <w:numFmt w:val="decimal"/>
      <w:start w:val="5"/>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lvl w:ilvl="1">
      <w:lvlJc w:val="left"/>
      <w:lvlText w:val="•"/>
      <w:numFmt w:val="bullet"/>
      <w:start w:val="1"/>
    </w:lvl>
  </w:abstractNum>
  <w:abstractNum w:abstractNumId="24">
    <w:nsid w:val="54E49EB4"/>
    <w:multiLevelType w:val="hybridMultilevel"/>
    <w:lvl w:ilvl="0">
      <w:lvlJc w:val="left"/>
      <w:lvlText w:val="%1"/>
      <w:numFmt w:val="decimal"/>
      <w:start w:val="10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2019-12-29T15:42:19Z</dcterms:created>
  <dcterms:modified xsi:type="dcterms:W3CDTF">2019-12-29T15:42:19Z</dcterms:modified>
</cp:coreProperties>
</file>