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6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June 6, 2002</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Maryland</w:t>
            </w:r>
          </w:p>
        </w:tc>
        <w:tc>
          <w:tcPr>
            <w:tcW w:w="28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1-07533</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52-0782497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(State or other jurisdiction of (Commission File (I.R.S. Employer incorporation or organization) Number) Identification No.)</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6"/>
          <w:szCs w:val="16"/>
          <w:color w:val="auto"/>
        </w:rPr>
        <w:t>20852-4041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(301) 998-8100</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144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June 6, 2002, Federal Realty Investment Trust (the "Trust") entered into an underwriting agreement and related pricing agreement (together, the "Agreement") with First Union Securities, Inc., as underwriter (the "Underwriter"), relating to the offer and sale by the Trust of 1,900,000 of the Trust's Common Shares of Beneficial Interest, par value $.01 per share (the "Shares"). Closing on the sale of the Shares is expected on or about June 12, 2002. Pursuant to the Agreement, the Underwriter has the option to acquire up to an additional 285,000 Common Shares to cover overallotments. This Current Report is being filed for the sole purpose of allowing the exhibits hereto to be incorporated by reference in the Trust's registration statement on Form S-3 (Reg. No. 333-63619) and the related prospectus supplement thereto dated June 6, 2002. The exhibits should not be relied upon by anyone other than a purchaser of the Shares.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580" w:type="dxa"/>
            <w:vAlign w:val="bottom"/>
          </w:tcPr>
          <w:p>
            <w:pPr>
              <w:ind w:left="100"/>
              <w:spacing w:after="0"/>
              <w:rPr>
                <w:sz w:val="20"/>
                <w:szCs w:val="20"/>
                <w:color w:val="auto"/>
              </w:rPr>
            </w:pPr>
            <w:r>
              <w:rPr>
                <w:rFonts w:ascii="Courier New" w:cs="Courier New" w:eastAsia="Courier New" w:hAnsi="Courier New"/>
                <w:sz w:val="18"/>
                <w:szCs w:val="18"/>
                <w:color w:val="auto"/>
              </w:rPr>
              <w:t>Exhibits.</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7580" w:type="dxa"/>
            <w:vAlign w:val="bottom"/>
          </w:tcPr>
          <w:p>
            <w:pPr>
              <w:ind w:left="1460"/>
              <w:spacing w:after="0"/>
              <w:rPr>
                <w:sz w:val="20"/>
                <w:szCs w:val="20"/>
                <w:color w:val="auto"/>
              </w:rPr>
            </w:pPr>
            <w:r>
              <w:rPr>
                <w:rFonts w:ascii="Courier New" w:cs="Courier New" w:eastAsia="Courier New" w:hAnsi="Courier New"/>
                <w:sz w:val="18"/>
                <w:szCs w:val="18"/>
                <w:color w:val="auto"/>
              </w:rPr>
              <w:t>Description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580" w:type="dxa"/>
            <w:vAlign w:val="bottom"/>
          </w:tcPr>
          <w:p>
            <w:pPr>
              <w:ind w:left="100"/>
              <w:spacing w:after="0"/>
              <w:rPr>
                <w:sz w:val="20"/>
                <w:szCs w:val="20"/>
                <w:color w:val="auto"/>
              </w:rPr>
            </w:pPr>
            <w:r>
              <w:rPr>
                <w:rFonts w:ascii="Courier New" w:cs="Courier New" w:eastAsia="Courier New" w:hAnsi="Courier New"/>
                <w:sz w:val="18"/>
                <w:szCs w:val="18"/>
                <w:color w:val="auto"/>
                <w:w w:val="97"/>
              </w:rPr>
              <w:t>Underwriting Agreement dated as of June 6, 2002, by and among the Trust</w:t>
            </w:r>
          </w:p>
        </w:tc>
      </w:tr>
      <w:tr>
        <w:trPr>
          <w:trHeight w:val="203"/>
        </w:trPr>
        <w:tc>
          <w:tcPr>
            <w:tcW w:w="860" w:type="dxa"/>
            <w:vAlign w:val="bottom"/>
          </w:tcPr>
          <w:p>
            <w:pPr>
              <w:spacing w:after="0"/>
              <w:rPr>
                <w:sz w:val="17"/>
                <w:szCs w:val="17"/>
                <w:color w:val="auto"/>
              </w:rPr>
            </w:pPr>
          </w:p>
        </w:tc>
        <w:tc>
          <w:tcPr>
            <w:tcW w:w="7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First Union Securities, Inc.</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7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Pricing Agreement dated as of June 6, 2002, by and among the Trust and</w:t>
            </w:r>
          </w:p>
        </w:tc>
      </w:tr>
      <w:tr>
        <w:trPr>
          <w:trHeight w:val="203"/>
        </w:trPr>
        <w:tc>
          <w:tcPr>
            <w:tcW w:w="860" w:type="dxa"/>
            <w:vAlign w:val="bottom"/>
          </w:tcPr>
          <w:p>
            <w:pPr>
              <w:spacing w:after="0"/>
              <w:rPr>
                <w:sz w:val="17"/>
                <w:szCs w:val="17"/>
                <w:color w:val="auto"/>
              </w:rPr>
            </w:pPr>
          </w:p>
        </w:tc>
        <w:tc>
          <w:tcPr>
            <w:tcW w:w="7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First Union Securities, Inc.</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7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Opinion of Hogan &amp; Hartson L.L.P. as to the validity of the Shares.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8.1</w:t>
            </w:r>
          </w:p>
        </w:tc>
        <w:tc>
          <w:tcPr>
            <w:tcW w:w="7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Opinion of Hogan &amp; Hartson L.L.P. as to certain tax matters.</w:t>
            </w:r>
          </w:p>
        </w:tc>
      </w:tr>
      <w:tr>
        <w:trPr>
          <w:trHeight w:val="405"/>
        </w:trPr>
        <w:tc>
          <w:tcPr>
            <w:tcW w:w="860" w:type="dxa"/>
            <w:vAlign w:val="bottom"/>
          </w:tcPr>
          <w:p>
            <w:pPr>
              <w:spacing w:after="0"/>
              <w:rPr>
                <w:sz w:val="24"/>
                <w:szCs w:val="24"/>
                <w:color w:val="auto"/>
              </w:rPr>
            </w:pPr>
          </w:p>
        </w:tc>
        <w:tc>
          <w:tcPr>
            <w:tcW w:w="7580" w:type="dxa"/>
            <w:vAlign w:val="bottom"/>
          </w:tcPr>
          <w:p>
            <w:pPr>
              <w:ind w:left="3040"/>
              <w:spacing w:after="0"/>
              <w:rPr>
                <w:sz w:val="20"/>
                <w:szCs w:val="20"/>
                <w:color w:val="auto"/>
              </w:rPr>
            </w:pPr>
            <w:r>
              <w:rPr>
                <w:rFonts w:ascii="Courier New" w:cs="Courier New" w:eastAsia="Courier New" w:hAnsi="Courier New"/>
                <w:sz w:val="18"/>
                <w:szCs w:val="18"/>
                <w:color w:val="auto"/>
              </w:rPr>
              <w:t>- 2 -</w:t>
            </w:r>
          </w:p>
        </w:tc>
      </w:tr>
    </w:tbl>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11,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Dawn M. Becker</w:t>
      </w:r>
    </w:p>
    <w:p>
      <w:pPr>
        <w:spacing w:after="0" w:line="21"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Dawn M. Becker</w:t>
      </w:r>
    </w:p>
    <w:p>
      <w:pPr>
        <w:ind w:left="4540"/>
        <w:spacing w:after="0" w:line="238" w:lineRule="auto"/>
        <w:rPr>
          <w:sz w:val="20"/>
          <w:szCs w:val="20"/>
          <w:color w:val="auto"/>
        </w:rPr>
      </w:pPr>
      <w:r>
        <w:rPr>
          <w:rFonts w:ascii="Courier New" w:cs="Courier New" w:eastAsia="Courier New" w:hAnsi="Courier New"/>
          <w:sz w:val="18"/>
          <w:szCs w:val="18"/>
          <w:color w:val="auto"/>
        </w:rPr>
        <w:t>Vice President, General Counsel and</w:t>
      </w:r>
    </w:p>
    <w:p>
      <w:pPr>
        <w:ind w:left="45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320" w:type="dxa"/>
            <w:vAlign w:val="bottom"/>
            <w:gridSpan w:val="2"/>
          </w:tcPr>
          <w:p>
            <w:pPr>
              <w:ind w:left="2780"/>
              <w:spacing w:after="0"/>
              <w:rPr>
                <w:sz w:val="20"/>
                <w:szCs w:val="20"/>
                <w:color w:val="auto"/>
              </w:rPr>
            </w:pPr>
            <w:r>
              <w:rPr>
                <w:rFonts w:ascii="Courier New" w:cs="Courier New" w:eastAsia="Courier New" w:hAnsi="Courier New"/>
                <w:sz w:val="18"/>
                <w:szCs w:val="18"/>
                <w:color w:val="auto"/>
              </w:rPr>
              <w:t>EXHIBIT INDEX</w:t>
            </w:r>
          </w:p>
        </w:tc>
        <w:tc>
          <w:tcPr>
            <w:tcW w:w="33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3000" w:type="dxa"/>
            <w:vAlign w:val="bottom"/>
          </w:tcPr>
          <w:p>
            <w:pPr>
              <w:ind w:left="1840"/>
              <w:spacing w:after="0"/>
              <w:rPr>
                <w:sz w:val="20"/>
                <w:szCs w:val="20"/>
                <w:color w:val="auto"/>
              </w:rPr>
            </w:pPr>
            <w:r>
              <w:rPr>
                <w:rFonts w:ascii="Courier New" w:cs="Courier New" w:eastAsia="Courier New" w:hAnsi="Courier New"/>
                <w:sz w:val="18"/>
                <w:szCs w:val="18"/>
                <w:color w:val="auto"/>
                <w:w w:val="95"/>
              </w:rPr>
              <w:t>Description</w:t>
            </w:r>
          </w:p>
        </w:tc>
        <w:tc>
          <w:tcPr>
            <w:tcW w:w="13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43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Underwriting Agreement dated as of June</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w w:val="97"/>
              </w:rPr>
              <w:t>6, 2002, by and among the Trust</w:t>
            </w:r>
          </w:p>
        </w:tc>
      </w:tr>
      <w:tr>
        <w:trPr>
          <w:trHeight w:val="203"/>
        </w:trPr>
        <w:tc>
          <w:tcPr>
            <w:tcW w:w="800" w:type="dxa"/>
            <w:vAlign w:val="bottom"/>
          </w:tcPr>
          <w:p>
            <w:pPr>
              <w:spacing w:after="0"/>
              <w:rPr>
                <w:sz w:val="17"/>
                <w:szCs w:val="17"/>
                <w:color w:val="auto"/>
              </w:rPr>
            </w:pPr>
          </w:p>
        </w:tc>
        <w:tc>
          <w:tcPr>
            <w:tcW w:w="4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and First Union Securities, Inc.</w:t>
            </w:r>
          </w:p>
        </w:tc>
        <w:tc>
          <w:tcPr>
            <w:tcW w:w="33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Pricing Agreement dated as</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June 6, 2002, by and among the Trust and</w:t>
            </w:r>
          </w:p>
        </w:tc>
      </w:tr>
      <w:tr>
        <w:trPr>
          <w:trHeight w:val="203"/>
        </w:trPr>
        <w:tc>
          <w:tcPr>
            <w:tcW w:w="800" w:type="dxa"/>
            <w:vAlign w:val="bottom"/>
          </w:tcPr>
          <w:p>
            <w:pPr>
              <w:spacing w:after="0"/>
              <w:rPr>
                <w:sz w:val="17"/>
                <w:szCs w:val="17"/>
                <w:color w:val="auto"/>
              </w:rPr>
            </w:pPr>
          </w:p>
        </w:tc>
        <w:tc>
          <w:tcPr>
            <w:tcW w:w="4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First Union Securities, Inc.</w:t>
            </w:r>
          </w:p>
        </w:tc>
        <w:tc>
          <w:tcPr>
            <w:tcW w:w="33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Opinion of Hogan &amp; Hartson</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L.L.P. as to</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validity of the Shares.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8.1</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Opinion of Hogan &amp; Hartson</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L.L.P. as to</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certain tax matters.</w:t>
            </w:r>
          </w:p>
        </w:tc>
      </w:tr>
    </w:tbl>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and Preferred Shares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June 6,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38" w:lineRule="auto"/>
        <w:rPr>
          <w:sz w:val="20"/>
          <w:szCs w:val="20"/>
          <w:color w:val="auto"/>
        </w:rPr>
      </w:pPr>
      <w:r>
        <w:rPr>
          <w:rFonts w:ascii="Courier New" w:cs="Courier New" w:eastAsia="Courier New" w:hAnsi="Courier New"/>
          <w:sz w:val="18"/>
          <w:szCs w:val="18"/>
          <w:color w:val="auto"/>
        </w:rPr>
        <w:t>as Representative of the several Underwriters</w:t>
      </w:r>
    </w:p>
    <w:p>
      <w:pPr>
        <w:spacing w:after="0"/>
        <w:rPr>
          <w:sz w:val="20"/>
          <w:szCs w:val="20"/>
          <w:color w:val="auto"/>
        </w:rPr>
      </w:pPr>
      <w:r>
        <w:rPr>
          <w:rFonts w:ascii="Courier New" w:cs="Courier New" w:eastAsia="Courier New" w:hAnsi="Courier New"/>
          <w:sz w:val="18"/>
          <w:szCs w:val="18"/>
          <w:color w:val="auto"/>
        </w:rPr>
        <w:t>7 St. Paul Street</w:t>
      </w:r>
    </w:p>
    <w:p>
      <w:pPr>
        <w:spacing w:after="0" w:line="237" w:lineRule="auto"/>
        <w:rPr>
          <w:sz w:val="20"/>
          <w:szCs w:val="20"/>
          <w:color w:val="auto"/>
        </w:rPr>
      </w:pPr>
      <w:r>
        <w:rPr>
          <w:rFonts w:ascii="Courier New" w:cs="Courier New" w:eastAsia="Courier New" w:hAnsi="Courier New"/>
          <w:sz w:val="18"/>
          <w:szCs w:val="18"/>
          <w:color w:val="auto"/>
        </w:rPr>
        <w:t>Baltimore, Maryland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From time to time Federal Realty Investment Trust, a Maryland real estate investment trust (the "Company"), proposes to enter into one or more Pricing Agreements (each a "Pricing Agreement") in substantially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shares of beneficial interest (the "Shares") specified in Schedule II to such Pricing Agreement (with respect to such Pricing Agreement, the "Designated Shares"). If specified in such Pricing Agreement, the Designated Shares may consist of a specified number of shares that the Underwriters, acting severally and not jointly, have agreed to purchase (the "Initial Shares") and a specified number of shares that the Underwriters, acting severally and not jointly, have the option to purchase to cover over allotments, if any (the "Option Shares"), in each case on the terms and subject to the conditions set forth in this Agreement and such Pricing Agreement. The Shares may include the Company's common shares of beneficial interest, par value $0.01 per share (the "Common Shares"), or preferred shares of beneficial interest, par value $0.01 per share (the "Preferred Shares").</w:t>
      </w: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terms and rights of any particular issuance of Designated Shares shall be as specified in the Pricing Agreement relating thereto and in or pursuant to the resolutions of the board of trustees of the Company or a duly appointed committee thereof.</w:t>
      </w:r>
    </w:p>
    <w:p>
      <w:pPr>
        <w:spacing w:after="0" w:line="207" w:lineRule="exact"/>
        <w:rPr>
          <w:sz w:val="20"/>
          <w:szCs w:val="20"/>
          <w:color w:val="auto"/>
        </w:rPr>
      </w:pPr>
    </w:p>
    <w:p>
      <w:pPr>
        <w:ind w:right="1879" w:firstLine="535"/>
        <w:spacing w:after="0" w:line="237" w:lineRule="auto"/>
        <w:tabs>
          <w:tab w:leader="none" w:pos="84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Shares or as an obligation of any of the</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38" w:lineRule="auto"/>
        <w:rPr>
          <w:sz w:val="20"/>
          <w:szCs w:val="20"/>
          <w:color w:val="auto"/>
        </w:rPr>
      </w:pPr>
      <w:r>
        <w:rPr>
          <w:rFonts w:ascii="Courier New" w:cs="Courier New" w:eastAsia="Courier New" w:hAnsi="Courier New"/>
          <w:sz w:val="18"/>
          <w:szCs w:val="18"/>
          <w:color w:val="auto"/>
        </w:rPr>
        <w:t>Underwriters to purchase any of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(and, if applicable, the aggregate number of Initial Shares and Option Shares), the 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and time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Agreement and each Pricing Agreement shall be several and not joint.</w:t>
      </w:r>
    </w:p>
    <w:p>
      <w:pPr>
        <w:spacing w:after="0" w:line="210" w:lineRule="exact"/>
        <w:rPr>
          <w:sz w:val="20"/>
          <w:szCs w:val="20"/>
          <w:color w:val="auto"/>
        </w:rPr>
      </w:pPr>
    </w:p>
    <w:p>
      <w:pPr>
        <w:ind w:right="2199" w:firstLine="535"/>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represents and warrants to, and agrees with, each of the Underwriters that:</w:t>
      </w:r>
    </w:p>
    <w:p>
      <w:pPr>
        <w:spacing w:after="0" w:line="208" w:lineRule="exact"/>
        <w:rPr>
          <w:rFonts w:ascii="Courier New" w:cs="Courier New" w:eastAsia="Courier New" w:hAnsi="Courier New"/>
          <w:sz w:val="18"/>
          <w:szCs w:val="18"/>
          <w:color w:val="auto"/>
        </w:rPr>
      </w:pPr>
    </w:p>
    <w:p>
      <w:pPr>
        <w:ind w:left="540" w:right="1779" w:firstLine="311"/>
        <w:spacing w:after="0" w:line="238" w:lineRule="auto"/>
        <w:tabs>
          <w:tab w:leader="none" w:pos="127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S-3 (File No. 333-63619) in respect of the Shares has been filed with the Securities and Exchange Commission (the "Commission"); the Registration Statement (as defined below) and any post-effective amendments thereto, each in the form heretofore delivered to the Representatives, excluding exhibits to such Registration Statement but including all documents incorporated by reference in the prospectus contained therein, have been declared effective by the Commission in such form; other than a registration statement, if any, increasing the size of the offering (a "Rule 462(b) Registration Statement") filed pursuant to Rule 462(b) under the Securities Act of 1933, as amended (the "Act"), which became or will become effective upon filing, no other documents with respect to the Registration Statement have heretofore been filed or transmitted for filing with the Commission (other than prospectuses filed pursuant to Rule 424(b) under the Act, each in the form heretofore delivered to the Representatives); and no stop order suspending the effectiveness of the Registration Statement, any post-effective amendments thereto or the Rule 462(b) Registration Statement, if any, have been issued and no proceeding for that purpose has been initiated or threatened by the Commission (any preliminary prospectus included in the Registration Statement or filed with the Commission pursuant to Rule 424 under the Act is hereinafter called a "Preliminary Prospectus"; the various parts of the Registration Statement and the Rule 462(b) Registration Statement, if any, including all exhibits thereto and the documents incorporated by reference in the prospectus contained in the Registration Statement at the time such part of the registration statement became effective, each as amended at the time such part of the Registration Statement became effective or such part of the Rule 462(b) Registration Statement, if any, became or hereafter becomes effective, are hereinafter collectively called the "Registration Statement"; the prospectus relating to the Shares, in the form in which it has most recently been filed, or transmitted for filing, with the Commission on or prior to the date of this Agreement, is hereinafter called the "Prospectus"; any reference herein to any</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 w:name="page7"/>
    <w:bookmarkEnd w:id="6"/>
    <w:p>
      <w:pPr>
        <w:ind w:right="1779"/>
        <w:spacing w:after="0" w:line="269" w:lineRule="auto"/>
        <w:rPr>
          <w:sz w:val="20"/>
          <w:szCs w:val="20"/>
          <w:color w:val="auto"/>
        </w:rPr>
      </w:pPr>
      <w:r>
        <w:rPr>
          <w:rFonts w:ascii="Courier New" w:cs="Courier New" w:eastAsia="Courier New" w:hAnsi="Courier New"/>
          <w:sz w:val="16"/>
          <w:szCs w:val="16"/>
          <w:color w:val="auto"/>
        </w:rPr>
        <w:t>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Shares in the form in which it is filed with the Commission pursuant to Rule 424(b) under the Act in accordance with Section 5(a) hereof, including any documents incorporated by reference therein as of the date of such filing; all references herein to information which is "contained" or "included" in the Registration Statement, any Preliminary Prospectus, any Prospectus, any Prospectus as amended or supplemented or any Rule 434 Prospectus (and all references of like import) shall be deemed to mean and include all such information which is incorporated or deemed to be incorporated by reference therein;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200" w:lineRule="exact"/>
        <w:rPr>
          <w:sz w:val="20"/>
          <w:szCs w:val="20"/>
          <w:color w:val="auto"/>
        </w:rPr>
      </w:pPr>
    </w:p>
    <w:p>
      <w:pPr>
        <w:spacing w:after="0" w:line="392" w:lineRule="exact"/>
        <w:rPr>
          <w:sz w:val="20"/>
          <w:szCs w:val="20"/>
          <w:color w:val="auto"/>
        </w:rPr>
      </w:pPr>
    </w:p>
    <w:p>
      <w:pPr>
        <w:ind w:right="1779" w:firstLine="521"/>
        <w:spacing w:after="0" w:line="238"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210" w:lineRule="exact"/>
        <w:rPr>
          <w:rFonts w:ascii="Courier New" w:cs="Courier New" w:eastAsia="Courier New" w:hAnsi="Courier New"/>
          <w:sz w:val="18"/>
          <w:szCs w:val="18"/>
          <w:color w:val="auto"/>
        </w:rPr>
      </w:pPr>
    </w:p>
    <w:p>
      <w:pPr>
        <w:ind w:right="2199" w:firstLine="521"/>
        <w:spacing w:after="0" w:line="236"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Prospectus conform, and any further amendments or supplements to the Registration Statement or the Prospectus will</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23" w:right="1440" w:bottom="1440" w:gutter="0" w:footer="0" w:header="0"/>
        </w:sectPr>
      </w:pPr>
    </w:p>
    <w:bookmarkStart w:id="7" w:name="page8"/>
    <w:bookmarkEnd w:id="7"/>
    <w:p>
      <w:pPr>
        <w:ind w:left="5" w:right="1779"/>
        <w:spacing w:after="0" w:line="238" w:lineRule="auto"/>
        <w:rPr>
          <w:sz w:val="20"/>
          <w:szCs w:val="20"/>
          <w:color w:val="auto"/>
        </w:rPr>
      </w:pPr>
      <w:r>
        <w:rPr>
          <w:rFonts w:ascii="Courier New" w:cs="Courier New" w:eastAsia="Courier New" w:hAnsi="Courier New"/>
          <w:sz w:val="18"/>
          <w:szCs w:val="18"/>
          <w:color w:val="auto"/>
        </w:rPr>
        <w:t>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207" w:lineRule="exact"/>
        <w:rPr>
          <w:sz w:val="20"/>
          <w:szCs w:val="20"/>
          <w:color w:val="auto"/>
        </w:rPr>
      </w:pPr>
    </w:p>
    <w:p>
      <w:pPr>
        <w:ind w:left="5" w:right="1779" w:firstLine="521"/>
        <w:spacing w:after="0" w:line="269"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partnerships, limited liability corporations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5" w:right="1779" w:firstLine="521"/>
        <w:spacing w:after="0" w:line="27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date as of which information is given in the Prospectus, there has not been any change in the consolidated capital stock (except for subsequent issuances, if any, of Common Shares pursuant to (x) the Company's Dividend Reinvestment and Share Purchase Plan as in effect on the date of the applicable Pricing Agreement,</w:t>
      </w:r>
    </w:p>
    <w:p>
      <w:pPr>
        <w:spacing w:after="0" w:line="189" w:lineRule="exact"/>
        <w:rPr>
          <w:rFonts w:ascii="Courier New" w:cs="Courier New" w:eastAsia="Courier New" w:hAnsi="Courier New"/>
          <w:sz w:val="16"/>
          <w:szCs w:val="16"/>
          <w:color w:val="auto"/>
        </w:rPr>
      </w:pPr>
    </w:p>
    <w:p>
      <w:pPr>
        <w:ind w:left="5" w:right="1779" w:hanging="5"/>
        <w:spacing w:after="0" w:line="237" w:lineRule="auto"/>
        <w:tabs>
          <w:tab w:leader="none" w:pos="4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23" w:right="1440" w:bottom="1440" w:gutter="0" w:footer="0" w:header="0"/>
        </w:sectPr>
      </w:pPr>
    </w:p>
    <w:bookmarkStart w:id="8" w:name="page9"/>
    <w:bookmarkEnd w:id="8"/>
    <w:p>
      <w:pPr>
        <w:ind w:right="1779"/>
        <w:spacing w:after="0" w:line="271" w:lineRule="auto"/>
        <w:rPr>
          <w:sz w:val="20"/>
          <w:szCs w:val="20"/>
          <w:color w:val="auto"/>
        </w:rPr>
      </w:pPr>
      <w:r>
        <w:rPr>
          <w:rFonts w:ascii="Courier New" w:cs="Courier New" w:eastAsia="Courier New" w:hAnsi="Courier New"/>
          <w:sz w:val="16"/>
          <w:szCs w:val="16"/>
          <w:color w:val="auto"/>
        </w:rPr>
        <w:t>partnership or other interests in certain of the "DownREIT" and other Entities listed in Annex III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186" w:lineRule="exact"/>
        <w:rPr>
          <w:sz w:val="20"/>
          <w:szCs w:val="20"/>
          <w:color w:val="auto"/>
        </w:rPr>
      </w:pPr>
    </w:p>
    <w:p>
      <w:pPr>
        <w:ind w:right="1879" w:firstLine="521"/>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an authorized capitalization as set forth in the Prospectus, all of the issued shares of capital stock of the Company have been duly and validly authorized and issued and are fully paid and non-assessable, and none of the outstanding shares of capital stock of the Company was issued in violation of any preemptive or other similar rights of any securityholder of the Company;</w:t>
      </w:r>
    </w:p>
    <w:p>
      <w:pPr>
        <w:spacing w:after="0" w:line="209" w:lineRule="exact"/>
        <w:rPr>
          <w:rFonts w:ascii="Courier New" w:cs="Courier New" w:eastAsia="Courier New" w:hAnsi="Courier New"/>
          <w:sz w:val="18"/>
          <w:szCs w:val="18"/>
          <w:color w:val="auto"/>
        </w:rPr>
      </w:pPr>
    </w:p>
    <w:p>
      <w:pPr>
        <w:ind w:right="1779" w:firstLine="521"/>
        <w:spacing w:after="0" w:line="270"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Shares have been duly and validly authorized, and, when Designated Shares are issued and delivered pursuant to this Agreement and the Pricing Agreement with respect to such Designated Shares, such Designated Shares will be duly and validly issued and fully paid and non-assessable; the Designated Shares conform to the description thereof contained in the Registration Statement and the Prospectus as amended or supplemented with respect to such Designated Shares; except as set forth under the caption "Limitation on Shareholder Liability; Indemnification of Shareholders" appearing under Item 1 of the Company's Form 8-A/A filed with the Commission on June 6, 2002, no holder of the Designated Shares is or will be subject to personal liability by reason of being such a holder; and the issuance of the Designated Shares is not subject to any preemptive or other similar rights of any securityholder of the Company;</w:t>
      </w:r>
    </w:p>
    <w:p>
      <w:pPr>
        <w:spacing w:after="0" w:line="389" w:lineRule="exact"/>
        <w:rPr>
          <w:rFonts w:ascii="Courier New" w:cs="Courier New" w:eastAsia="Courier New" w:hAnsi="Courier New"/>
          <w:sz w:val="16"/>
          <w:szCs w:val="16"/>
          <w:color w:val="auto"/>
        </w:rPr>
      </w:pPr>
    </w:p>
    <w:p>
      <w:pPr>
        <w:ind w:right="1779" w:firstLine="521"/>
        <w:spacing w:after="0" w:line="269"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Designated Shares and the compliance by the Company with all of the provisions of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or any Pricing Agreement, except such as have been, or will have been prior to the Time of Delivery (as defined in Section 4 hereof), obtained under the Act and the Exchange Act and except for the listing of the Designated Shares on the New York Stock Exchange, Inc. or other stock exchanges and such consents, approvals, authorizations, registrations or qualifications as may be required under state securities or Blue Sky laws in connection with the purchase and distribution of the Shares by the Underwriters;</w:t>
      </w:r>
    </w:p>
    <w:p>
      <w:pPr>
        <w:spacing w:after="0" w:line="200" w:lineRule="exact"/>
        <w:rPr>
          <w:sz w:val="20"/>
          <w:szCs w:val="20"/>
          <w:color w:val="auto"/>
        </w:rPr>
      </w:pPr>
    </w:p>
    <w:p>
      <w:pPr>
        <w:spacing w:after="0" w:line="38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723" w:right="1440" w:bottom="1440" w:gutter="0" w:footer="0" w:header="0"/>
        </w:sectPr>
      </w:pPr>
    </w:p>
    <w:bookmarkStart w:id="9" w:name="page10"/>
    <w:bookmarkEnd w:id="9"/>
    <w:p>
      <w:pPr>
        <w:ind w:left="-521" w:right="1779" w:firstLine="521"/>
        <w:spacing w:after="0" w:line="271" w:lineRule="auto"/>
        <w:tabs>
          <w:tab w:leader="none" w:pos="4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183" w:lineRule="exact"/>
        <w:rPr>
          <w:rFonts w:ascii="Courier New" w:cs="Courier New" w:eastAsia="Courier New" w:hAnsi="Courier New"/>
          <w:sz w:val="16"/>
          <w:szCs w:val="16"/>
          <w:color w:val="auto"/>
        </w:rPr>
      </w:pPr>
    </w:p>
    <w:p>
      <w:pPr>
        <w:ind w:left="-521" w:right="1779" w:firstLine="521"/>
        <w:spacing w:after="0" w:line="270" w:lineRule="auto"/>
        <w:tabs>
          <w:tab w:leader="none" w:pos="4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of the Company and the Entities, together with related notes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390" w:lineRule="exact"/>
        <w:rPr>
          <w:rFonts w:ascii="Courier New" w:cs="Courier New" w:eastAsia="Courier New" w:hAnsi="Courier New"/>
          <w:sz w:val="16"/>
          <w:szCs w:val="16"/>
          <w:color w:val="auto"/>
        </w:rPr>
      </w:pPr>
    </w:p>
    <w:p>
      <w:pPr>
        <w:ind w:left="-521" w:right="1779" w:firstLine="521"/>
        <w:spacing w:after="0" w:line="270" w:lineRule="auto"/>
        <w:tabs>
          <w:tab w:leader="none" w:pos="4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Entities have good and marketable title to, or valid and enforceable leasehold estates in, all items of real and personal property referred to in the Prospectus as owned or leased by the Company (other than 27 Main Street, Westport, Connecticut, 40-44 Post Road (Ships Building), Westport, Connecticut and 138-142 Central Avenue, Westfield, New Jersey, all of which were sold on April 30, 2002, and, if applicable, other than Uptown Shopping Center and Apartments located in Portland, Oregon) or any of the Entities, in each case free and clear of all pledges, liens, encumbrances, claims, security interests and defects, other than those referred to in the Prospectus or which are not material in amount;</w:t>
      </w:r>
    </w:p>
    <w:p>
      <w:pPr>
        <w:spacing w:after="0" w:line="189" w:lineRule="exact"/>
        <w:rPr>
          <w:rFonts w:ascii="Courier New" w:cs="Courier New" w:eastAsia="Courier New" w:hAnsi="Courier New"/>
          <w:sz w:val="16"/>
          <w:szCs w:val="16"/>
          <w:color w:val="auto"/>
        </w:rPr>
      </w:pPr>
    </w:p>
    <w:p>
      <w:pPr>
        <w:ind w:left="-521" w:right="1779" w:firstLine="521"/>
        <w:spacing w:after="0" w:line="237" w:lineRule="auto"/>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209"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209" w:lineRule="exact"/>
        <w:rPr>
          <w:rFonts w:ascii="Courier New" w:cs="Courier New" w:eastAsia="Courier New" w:hAnsi="Courier New"/>
          <w:sz w:val="18"/>
          <w:szCs w:val="18"/>
          <w:color w:val="auto"/>
        </w:rPr>
      </w:pPr>
    </w:p>
    <w:p>
      <w:pPr>
        <w:jc w:val="both"/>
        <w:ind w:left="-521" w:right="1779" w:firstLine="521"/>
        <w:spacing w:after="0" w:line="237" w:lineRule="auto"/>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LLP, which has audited the consolidated balance sheets of the Company and subsidiaries as of December 31, 2001, and 2000 and the related consolidated statements of operations, common shareholders' equity, and cash flows for each of the years in the three year period ended December 31, 2001, filed with the Commission as part of, or incorporated by reference in, the Registration Statement and</w:t>
      </w:r>
    </w:p>
    <w:p>
      <w:pPr>
        <w:spacing w:after="0" w:line="204" w:lineRule="exact"/>
        <w:rPr>
          <w:sz w:val="20"/>
          <w:szCs w:val="20"/>
          <w:color w:val="auto"/>
        </w:rPr>
      </w:pPr>
    </w:p>
    <w:p>
      <w:pPr>
        <w:ind w:left="315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8"/>
          </w:cols>
          <w:pgMar w:left="1301" w:top="723" w:right="1440" w:bottom="1440" w:gutter="0" w:footer="0" w:header="0"/>
        </w:sectPr>
      </w:pPr>
    </w:p>
    <w:bookmarkStart w:id="10" w:name="page11"/>
    <w:bookmarkEnd w:id="10"/>
    <w:p>
      <w:pPr>
        <w:ind w:left="5" w:right="1779"/>
        <w:spacing w:after="0" w:line="279" w:lineRule="auto"/>
        <w:rPr>
          <w:sz w:val="20"/>
          <w:szCs w:val="20"/>
          <w:color w:val="auto"/>
        </w:rPr>
      </w:pPr>
      <w:r>
        <w:rPr>
          <w:rFonts w:ascii="Courier New" w:cs="Courier New" w:eastAsia="Courier New" w:hAnsi="Courier New"/>
          <w:sz w:val="16"/>
          <w:szCs w:val="16"/>
          <w:color w:val="auto"/>
        </w:rPr>
        <w:t>Prospectus, was, at all times until its replacement as the Company's auditor in June 2002, an independent public accountant as required by the Act and the rules and regulations of the Commission promulgated thereunder;</w:t>
      </w:r>
    </w:p>
    <w:p>
      <w:pPr>
        <w:spacing w:after="0" w:line="178" w:lineRule="exact"/>
        <w:rPr>
          <w:sz w:val="20"/>
          <w:szCs w:val="20"/>
          <w:color w:val="auto"/>
        </w:rPr>
      </w:pPr>
    </w:p>
    <w:p>
      <w:pPr>
        <w:ind w:left="5" w:right="1879" w:firstLine="521"/>
        <w:spacing w:after="0" w:line="237" w:lineRule="auto"/>
        <w:tabs>
          <w:tab w:leader="none" w:pos="95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for use of registration statements on Form S-3 set forth in the General Instructions on Form S-3 have been satisfied and the Company is entitled to use such form for the transaction contemplated herein;</w:t>
      </w:r>
    </w:p>
    <w:p>
      <w:pPr>
        <w:spacing w:after="0" w:line="207" w:lineRule="exact"/>
        <w:rPr>
          <w:rFonts w:ascii="Courier New" w:cs="Courier New" w:eastAsia="Courier New" w:hAnsi="Courier New"/>
          <w:sz w:val="18"/>
          <w:szCs w:val="18"/>
          <w:color w:val="auto"/>
        </w:rPr>
      </w:pPr>
    </w:p>
    <w:p>
      <w:pPr>
        <w:ind w:left="5" w:right="1779" w:firstLine="521"/>
        <w:spacing w:after="0" w:line="238" w:lineRule="auto"/>
        <w:tabs>
          <w:tab w:leader="none" w:pos="95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 and</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213" w:lineRule="exact"/>
        <w:rPr>
          <w:rFonts w:ascii="Courier New" w:cs="Courier New" w:eastAsia="Courier New" w:hAnsi="Courier New"/>
          <w:sz w:val="18"/>
          <w:szCs w:val="18"/>
          <w:color w:val="auto"/>
        </w:rPr>
      </w:pPr>
    </w:p>
    <w:p>
      <w:pPr>
        <w:ind w:left="-535" w:right="2199" w:firstLine="535"/>
        <w:spacing w:after="0" w:line="237" w:lineRule="auto"/>
        <w:tabs>
          <w:tab w:leader="none" w:pos="51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208" w:lineRule="exact"/>
        <w:rPr>
          <w:rFonts w:ascii="Courier New" w:cs="Courier New" w:eastAsia="Courier New" w:hAnsi="Courier New"/>
          <w:sz w:val="18"/>
          <w:szCs w:val="18"/>
          <w:color w:val="auto"/>
        </w:rPr>
      </w:pPr>
    </w:p>
    <w:p>
      <w:pPr>
        <w:ind w:left="-535" w:right="1779" w:firstLine="535"/>
        <w:spacing w:after="0" w:line="238" w:lineRule="auto"/>
        <w:tabs>
          <w:tab w:leader="none" w:pos="51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 twenty-four hours' prior notice to the Company, shall be delivered by or on behalf of the Company to the Representatives for the account of such Underwriter,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at the place and time and date specified in or pursuant to such Pricing Agreement or at such other place and time and date as the Representatives and the Company may agree upon in writing. The time and date of delivery of and</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84"/>
          </w:cols>
          <w:pgMar w:left="775" w:top="723" w:right="1440" w:bottom="14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payment for the Initial Shares (or, if the applicable Pricing Agreement does not grant the Underwriters an option to purchase Option Shares, the Designated Shares) is herein called the "Time of Delivery" for such Shares, and, if the applicable Pricing Agreement grants the Underwriters an option to purchase Option Shares and if the Underwriters exercise such option, in whole or in part, the time and date of delivery of such Option Shares is hereinafter called the "Option Closing Time" for such Shares.</w:t>
      </w:r>
    </w:p>
    <w:p>
      <w:pPr>
        <w:spacing w:after="0" w:line="205"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with each of the Underwriters of any Designated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07"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does not elect to rely on Rule 434 under the Act, immediately following execution and delivery of the applicable Pricing Agreement, to prepare the Prospectus as amended and supplemented in relation to the applicable Designated Shares in a form approved by the Representatives and to file such Prospectus as amended or supplemented pursuant to Rule 424(b) under the Act not later than the Commission's close of business on the second business day following the execution and delivery of the Pricing Agreement relating to the applicable Designated Shares or, if applicable, such earlier time as may be required by Rule 424(b), or if the Company elects to rely on Rule 434 under the Act, immediately following execution and delivery of the applicable Pricing Agreement, to prepare an abbreviated term sheet relating to the Designated Shares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Shares or, if applicable, such earlier time as may be required by Rule 424(b); to make no further amendment or any supplement to the Registration Statement or Prospectus as amended or supplemented after the date of the Pricing Agreement relating to such Designated Shares and prior to the Time of Delivery for such Designated Shares (or, if the applicable Pricing Agreement provides for an over-allotment option, prior to the Option Closing Time or, if such over-allotment option is not exercised by the Underwriters, prior to the expiration of such over-allotment option) which shall be reasonably disapproved by the Representatives for such Designated Shares promptly after reasonable notice thereof; to advise the Representatives promptly of any such amendment or supplement after such Time of Delivery (or, if the applicable Pricing Agreement provides for an over-allotment option, after the Option Closing Time or, if such over-allotment option is not exercised by the Underwriters, after the expiration of such over-allotment option)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Designated Shares,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Prospectus as amended or supplemented, of the suspension of the qualification of such Designated Shares for offering or sale in any jurisdiction, of the initiation or threatening of any proceeding for any such purpose, or of any request by the Commission for the amending or supplementing of the Registration Statement or Prospectus as amended or supplemented or for additional information; and, in the event of the issuance of any such stop order or of any such order preventing or suspending the use of any Prospectus as amended or supplemented relating to the Designated Shares or suspending any such qualification, to use promptly its best efforts to obtain its withdrawal;</w:t>
      </w:r>
    </w:p>
    <w:p>
      <w:pPr>
        <w:spacing w:after="0" w:line="215" w:lineRule="exact"/>
        <w:rPr>
          <w:sz w:val="20"/>
          <w:szCs w:val="20"/>
          <w:color w:val="auto"/>
        </w:rPr>
      </w:pPr>
    </w:p>
    <w:p>
      <w:pPr>
        <w:ind w:right="1879" w:firstLine="521"/>
        <w:spacing w:after="0" w:line="271" w:lineRule="auto"/>
        <w:tabs>
          <w:tab w:leader="none" w:pos="94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such Designated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Shares, provided that in connection therewith the Company shall not be required to qualify as a foreign corporation or to file a general consent to service of process in any jurisdiction;</w:t>
      </w:r>
    </w:p>
    <w:p>
      <w:pPr>
        <w:spacing w:after="0" w:line="388" w:lineRule="exact"/>
        <w:rPr>
          <w:rFonts w:ascii="Courier New" w:cs="Courier New" w:eastAsia="Courier New" w:hAnsi="Courier New"/>
          <w:sz w:val="16"/>
          <w:szCs w:val="16"/>
          <w:color w:val="auto"/>
        </w:rPr>
      </w:pPr>
    </w:p>
    <w:p>
      <w:pPr>
        <w:ind w:right="1779" w:firstLine="521"/>
        <w:spacing w:after="0" w:line="269" w:lineRule="auto"/>
        <w:tabs>
          <w:tab w:leader="none" w:pos="94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to furnish to the Underwriters in New York City with copies of the Prospectus, as amended or supplemented, in such quantities as the Representatives may reasonably request, and, if the delivery of a prospectus is required at any time in connection with the offering or sale of the Designated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as amended or supplemented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879" w:firstLine="521"/>
        <w:spacing w:after="0" w:line="272" w:lineRule="auto"/>
        <w:tabs>
          <w:tab w:leader="none" w:pos="94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185" w:lineRule="exact"/>
        <w:rPr>
          <w:rFonts w:ascii="Courier New" w:cs="Courier New" w:eastAsia="Courier New" w:hAnsi="Courier New"/>
          <w:sz w:val="16"/>
          <w:szCs w:val="16"/>
          <w:color w:val="auto"/>
        </w:rPr>
      </w:pPr>
    </w:p>
    <w:p>
      <w:pPr>
        <w:ind w:right="1879" w:firstLine="521"/>
        <w:spacing w:after="0" w:line="272" w:lineRule="auto"/>
        <w:tabs>
          <w:tab w:leader="none" w:pos="94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on and including the date of the Pricing Agreement for such Designated Shares and continuing through and including the 60th day after the date of the Pricing Agreement, not to offer, sell, contract to sell, pledge or otherwise issue or dispose of (or enter into any transaction which is designed to, or might reasonably be expected to, result in the disposition (whether by actual disposition or</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79"/>
          </w:cols>
          <w:pgMar w:left="780" w:top="723" w:right="1440" w:bottom="1440" w:gutter="0" w:footer="0" w:header="0"/>
        </w:sectPr>
      </w:pPr>
    </w:p>
    <w:bookmarkStart w:id="13" w:name="page14"/>
    <w:bookmarkEnd w:id="13"/>
    <w:p>
      <w:pPr>
        <w:ind w:left="5" w:right="1779"/>
        <w:spacing w:after="0" w:line="269" w:lineRule="auto"/>
        <w:rPr>
          <w:sz w:val="20"/>
          <w:szCs w:val="20"/>
          <w:color w:val="auto"/>
        </w:rPr>
      </w:pPr>
      <w:r>
        <w:rPr>
          <w:rFonts w:ascii="Courier New" w:cs="Courier New" w:eastAsia="Courier New" w:hAnsi="Courier New"/>
          <w:sz w:val="16"/>
          <w:szCs w:val="16"/>
          <w:color w:val="auto"/>
        </w:rPr>
        <w:t>effective economic disposition due to cash settlement or otherwise) by the Company), directly or indirectly, or establish or increase a put equivalent position or liquidate or decrease a call equivalent position with the meaning of Section 16 of the Exchange Act and the rules and regulations of the Commission promulgated thereunder with respect to, (i) if such Designated Shares are Common Shares, any Common Shares, any shares of capital stock of the Company which are substantially similar to Common Shares or any securities convertible into or exercisable or exchangeable for Common Shares or any shares of capital stock of the Company which are substantially similar to Common Shares or (ii) if such Designated Shares are Preferred Shares, any such Preferred Shares, any shares of capital stock of the Company which are substantially similar to such Preferred Shares or any securities convertible into or exercisable or exchangeable for any such Preferred Shares or any shares of capital stock of the Company which are substantially similar to such Preferred Shares, in each case without the prior written consent of the Representatives; provided, however, that the foregoing restrictions shall not prohibit the sale of such Designated Shares to the Underwriters pursuant to this Agreement and the applicable Pricing Agreement, and shall not prohibit the Company from issuing Common Shares pursuant to (x) the Company's Dividend Reinvestment and Share Purchase Plan as in effect on the date of the applicable Pricing Agreement, (y) any of the Company's employee or trustee benefit plans, including upon exercise of share options granted pursuant thereto, as such plans are in effect on the date of the applicable Pricing Agreement or (z) the exercise of contractual rights existing on the date of the applicable Pricing Agreement by current and former holders of partnership or other interests in certain of the "DownREIT" and other Entities listed in Annex</w:t>
      </w:r>
    </w:p>
    <w:p>
      <w:pPr>
        <w:spacing w:after="0" w:line="391" w:lineRule="exact"/>
        <w:rPr>
          <w:sz w:val="20"/>
          <w:szCs w:val="20"/>
          <w:color w:val="auto"/>
        </w:rPr>
      </w:pPr>
    </w:p>
    <w:p>
      <w:pPr>
        <w:ind w:left="5" w:right="2619" w:hanging="5"/>
        <w:spacing w:after="0" w:line="235" w:lineRule="auto"/>
        <w:tabs>
          <w:tab w:leader="none" w:pos="4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hereto which may result in the issuance of Common Shares by the Company.</w:t>
      </w:r>
    </w:p>
    <w:p>
      <w:pPr>
        <w:spacing w:after="0" w:line="208" w:lineRule="exact"/>
        <w:rPr>
          <w:rFonts w:ascii="Courier New" w:cs="Courier New" w:eastAsia="Courier New" w:hAnsi="Courier New"/>
          <w:sz w:val="18"/>
          <w:szCs w:val="18"/>
          <w:color w:val="auto"/>
        </w:rPr>
      </w:pPr>
    </w:p>
    <w:p>
      <w:pPr>
        <w:ind w:left="5" w:right="2419" w:firstLine="521"/>
        <w:spacing w:after="0" w:line="236" w:lineRule="auto"/>
        <w:tabs>
          <w:tab w:leader="none" w:pos="95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net proceeds received by it from the sale of the Designated Shares in the manner specified in the Prospectus under the caption "Use of Proceeds"; and</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95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qualify as a "real estate investment trust" under the Code, and to use its best efforts to continue to meet the requirements to qualify as a "real estate investment trust".</w:t>
      </w:r>
    </w:p>
    <w:p>
      <w:pPr>
        <w:spacing w:after="0" w:line="209" w:lineRule="exact"/>
        <w:rPr>
          <w:sz w:val="20"/>
          <w:szCs w:val="20"/>
          <w:color w:val="auto"/>
        </w:rPr>
      </w:pPr>
    </w:p>
    <w:p>
      <w:pPr>
        <w:ind w:left="-535" w:right="1779" w:firstLine="535"/>
        <w:spacing w:after="0" w:line="269" w:lineRule="auto"/>
        <w:tabs>
          <w:tab w:leader="none" w:pos="51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and legal investment surveys; (iv) any filing fees incident to any required review by the</w:t>
      </w:r>
    </w:p>
    <w:p>
      <w:pPr>
        <w:spacing w:after="0" w:line="390"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684"/>
          </w:cols>
          <w:pgMar w:left="775" w:top="723" w:right="1440" w:bottom="1440" w:gutter="0" w:footer="0" w:header="0"/>
        </w:sectPr>
      </w:pPr>
    </w:p>
    <w:bookmarkStart w:id="14" w:name="page15"/>
    <w:bookmarkEnd w:id="14"/>
    <w:p>
      <w:pPr>
        <w:ind w:right="1779"/>
        <w:spacing w:after="0" w:line="268" w:lineRule="auto"/>
        <w:rPr>
          <w:sz w:val="20"/>
          <w:szCs w:val="20"/>
          <w:color w:val="auto"/>
        </w:rPr>
      </w:pPr>
      <w:r>
        <w:rPr>
          <w:rFonts w:ascii="Courier New" w:cs="Courier New" w:eastAsia="Courier New" w:hAnsi="Courier New"/>
          <w:sz w:val="16"/>
          <w:szCs w:val="16"/>
          <w:color w:val="auto"/>
        </w:rPr>
        <w:t>National Association of Securities Dealers, Inc. of the terms of the sale of the Shares; (v) the cost of preparing certificates for the Shares; (vi) the costs and charges of any transfer agent or registrar or dividend disbursing agent; and</w:t>
      </w:r>
    </w:p>
    <w:p>
      <w:pPr>
        <w:spacing w:after="0" w:line="1" w:lineRule="exact"/>
        <w:rPr>
          <w:sz w:val="20"/>
          <w:szCs w:val="20"/>
          <w:color w:val="auto"/>
        </w:rPr>
      </w:pPr>
    </w:p>
    <w:p>
      <w:pPr>
        <w:ind w:right="1779" w:firstLine="8"/>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Shares by them, and any advertising expenses connected with any offers they may make.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Underwriters of any Designated Shares under the Pricing Agreement relating to such Designated Shares shall be subject, in the discretion of the Representatives, to the condition that all representations and warranties and other statements of the Company in, or incorporated by reference from this Agreement into, the Pricing Agreement relating to such Designated Shares are, at and as of the Time of Delivery for such Designated Shares (and, if applicable, at and as of the Option Closing Time for any such Designated Shares) true and correct, to the condition that the Company shall have performed all of its obligations hereunder theretofore to be performed, and to the following additional conditions:</w:t>
      </w:r>
    </w:p>
    <w:p>
      <w:pPr>
        <w:spacing w:after="0" w:line="214"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 as amended or supplemented in relation to the applicable Designated Shares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214"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Sidley Austin Brown &amp; Wood LLP,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they may reasonably request to enable them to pass upon such matters (in rendering such opinion, Sidley Austin Brown &amp; Wood llp may rely, as to all matters arising under or governed by the laws of the State of Maryland, on the opinion of Hogan &amp; Hartson L.L.P.);</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Hogan &amp; Hartson L.L.P., counsel for the Company, shall have furnished to the Representatives their written opinion, dated the Time of Delivery for such Designated Shares, in form and substance satisfactory to the Representatives, to the effect that:</w:t>
      </w:r>
    </w:p>
    <w:p>
      <w:pPr>
        <w:spacing w:after="0" w:line="207" w:lineRule="exact"/>
        <w:rPr>
          <w:rFonts w:ascii="Courier New" w:cs="Courier New" w:eastAsia="Courier New" w:hAnsi="Courier New"/>
          <w:sz w:val="18"/>
          <w:szCs w:val="18"/>
          <w:color w:val="auto"/>
        </w:rPr>
      </w:pPr>
    </w:p>
    <w:p>
      <w:pPr>
        <w:ind w:left="1060" w:right="2099" w:firstLine="423"/>
        <w:spacing w:after="0" w:line="237" w:lineRule="auto"/>
        <w:tabs>
          <w:tab w:leader="none" w:pos="1903" w:val="left"/>
        </w:tabs>
        <w:numPr>
          <w:ilvl w:val="3"/>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real estate investment trust formed and validly existing and in good standing (as of the date of the applicable good standing certificate referred to in such opinion) under the laws of the State of Maryland and has the trust power and trust authority under the Title 8 of the Corporations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 w:name="page16"/>
    <w:bookmarkEnd w:id="15"/>
    <w:p>
      <w:pPr>
        <w:ind w:right="1779"/>
        <w:spacing w:after="0" w:line="271" w:lineRule="auto"/>
        <w:rPr>
          <w:sz w:val="20"/>
          <w:szCs w:val="20"/>
          <w:color w:val="auto"/>
        </w:rPr>
      </w:pPr>
      <w:r>
        <w:rPr>
          <w:rFonts w:ascii="Courier New" w:cs="Courier New" w:eastAsia="Courier New" w:hAnsi="Courier New"/>
          <w:sz w:val="16"/>
          <w:szCs w:val="16"/>
          <w:color w:val="auto"/>
        </w:rPr>
        <w:t>Associations Article of the Annotated Code of Maryland (the "Maryland REIT Law"), its Declaration of Trust and its Bylaws to own its current properties and to conduct its business as described in the Prospectus as amended and supplemented in relation to the Designated Securities. The Company is registered, qualified or authorized to transact business as a foreign entity in the respective states specified in such opinion as of the respective dates listed therein;</w:t>
      </w:r>
    </w:p>
    <w:p>
      <w:pPr>
        <w:spacing w:after="0" w:line="188" w:lineRule="exact"/>
        <w:rPr>
          <w:sz w:val="20"/>
          <w:szCs w:val="20"/>
          <w:color w:val="auto"/>
        </w:rPr>
      </w:pPr>
    </w:p>
    <w:p>
      <w:pPr>
        <w:ind w:right="1779" w:firstLine="528"/>
        <w:spacing w:after="0" w:line="271" w:lineRule="auto"/>
        <w:tabs>
          <w:tab w:leader="none" w:pos="115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Street Retail, Inc., a Maryland corporation ("SRI"), was incorporated and is validly existing and in good standing (as of the date of the applicable good standing certificate specified in such opinion) under the laws of the State of Maryland and has the corporate power and corporate authority under the Maryland General Corporation Law, the SRI Articles and the SRI Bylaws to own its current properties and to conduct its business as described in the Prospectus;</w:t>
      </w:r>
    </w:p>
    <w:p>
      <w:pPr>
        <w:spacing w:after="0" w:line="187" w:lineRule="exact"/>
        <w:rPr>
          <w:rFonts w:ascii="Courier New" w:cs="Courier New" w:eastAsia="Courier New" w:hAnsi="Courier New"/>
          <w:sz w:val="16"/>
          <w:szCs w:val="16"/>
          <w:color w:val="auto"/>
        </w:rPr>
      </w:pPr>
    </w:p>
    <w:p>
      <w:pPr>
        <w:ind w:right="2099" w:firstLine="528"/>
        <w:spacing w:after="0" w:line="236"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Pricing Agreement with respect to the Designated Shares have been duly authorized, executed and delivered by the Company;</w:t>
      </w:r>
    </w:p>
    <w:p>
      <w:pPr>
        <w:spacing w:after="0" w:line="208" w:lineRule="exact"/>
        <w:rPr>
          <w:rFonts w:ascii="Courier New" w:cs="Courier New" w:eastAsia="Courier New" w:hAnsi="Courier New"/>
          <w:sz w:val="18"/>
          <w:szCs w:val="18"/>
          <w:color w:val="auto"/>
        </w:rPr>
      </w:pPr>
    </w:p>
    <w:p>
      <w:pPr>
        <w:ind w:right="1779" w:firstLine="528"/>
        <w:spacing w:after="0" w:line="238"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Designated Shares have been duly authorized for issuance and sale to the Underwriters pursuant to this Agreement and the Pricing Agreement with respect to the Designated Shares and, when issued in accordance with the provisions of this Agreement and such Pricing Agreement, will be validly issued, fully paid and non-assessable; except as set forth under the caption "Limitation on Shareholder Liability; Indemnification of Shareholders" appearing under Item 1 of the Company's Form 8-A/A filed with the Commission on June 6, 2002, no holder of the Designated Shares is subject to personal liability by reason of being such a holder; and no holder of outstanding Common Shares or Preferred Shares has any preemptive right arising under the Maryland REIT Law, the Maryland General Corporation Law or the Company's Declaration of Trust or Bylaws to subscribe for or purchase any of the Designated Shares or, to such counsel's knowledge, any contractual right to subscribe for or purchase any of the Designated Shares;</w:t>
      </w:r>
    </w:p>
    <w:p>
      <w:pPr>
        <w:spacing w:after="0" w:line="208" w:lineRule="exact"/>
        <w:rPr>
          <w:rFonts w:ascii="Courier New" w:cs="Courier New" w:eastAsia="Courier New" w:hAnsi="Courier New"/>
          <w:sz w:val="18"/>
          <w:szCs w:val="18"/>
          <w:color w:val="auto"/>
        </w:rPr>
      </w:pPr>
    </w:p>
    <w:p>
      <w:pPr>
        <w:ind w:right="1779" w:firstLine="528"/>
        <w:spacing w:after="0" w:line="271" w:lineRule="auto"/>
        <w:tabs>
          <w:tab w:leader="none" w:pos="115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issued and outstanding Common Shares and Preferred Shares have been duly authorized and validly issued and are fully paid and non-assessable; and none of the outstanding shares of capital stock of the Company was issued in violation of any preemptive right arising under the Maryland REIT Law, the Maryland General Corporation Law or the Company's Declaration of Trust or Bylaws to subscribe for or purchase any such shares or, to such counsel's knowledge, any contractual right to subscribe for or purchase any such shares;</w:t>
      </w:r>
    </w:p>
    <w:p>
      <w:pPr>
        <w:spacing w:after="0" w:line="185" w:lineRule="exact"/>
        <w:rPr>
          <w:rFonts w:ascii="Courier New" w:cs="Courier New" w:eastAsia="Courier New" w:hAnsi="Courier New"/>
          <w:sz w:val="16"/>
          <w:szCs w:val="16"/>
          <w:color w:val="auto"/>
        </w:rPr>
      </w:pPr>
    </w:p>
    <w:p>
      <w:pPr>
        <w:ind w:right="1879" w:firstLine="528"/>
        <w:spacing w:after="0" w:line="237"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in the Prospectus as amended and supplemented under the caption "Description of Preferred Shares" (if the Designated Shares are Preferred Shares), in Item 1 of the Company's Form 8-A/A filed with the Commission on June 6, 2002 and in Item 1 of the Company's Form 8-A/A dated March 11, 1999, in each case to the extent that such information constitutes a</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159"/>
          </w:cols>
          <w:pgMar w:left="1300" w:top="723" w:right="1440" w:bottom="144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summary of provisions of the Company's Declaration of Trust or Bylaws, a summary of the Rights Agreement, matters of law or legal conclusions, has been reviewed by such counsel and is correct in all material respects;</w:t>
      </w:r>
    </w:p>
    <w:p>
      <w:pPr>
        <w:spacing w:after="0" w:line="207" w:lineRule="exact"/>
        <w:rPr>
          <w:sz w:val="20"/>
          <w:szCs w:val="20"/>
          <w:color w:val="auto"/>
        </w:rPr>
      </w:pPr>
    </w:p>
    <w:p>
      <w:pPr>
        <w:ind w:right="1779" w:firstLine="528"/>
        <w:spacing w:after="0" w:line="271" w:lineRule="auto"/>
        <w:tabs>
          <w:tab w:leader="none" w:pos="12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been declared effective under the Act; the required fil1ing of the Prospectus as amended and supplemented in relation to the applicable Designated Shares pursuant to Rule 424(b) has been made in the manner and within the time period required by Rule 424(b); and, to the best of such counsel's knowledge, no stop order suspending the effectiveness of the Registration Statement has been issued under the Act and no proceedings for that purpose have been instituted or are pending or threatened by the Commission. The Company meets the requirements for use of Form S-3 with respect to the issuance and sale of the Designated Shares;</w:t>
      </w:r>
    </w:p>
    <w:p>
      <w:pPr>
        <w:spacing w:after="0" w:line="386" w:lineRule="exact"/>
        <w:rPr>
          <w:rFonts w:ascii="Courier New" w:cs="Courier New" w:eastAsia="Courier New" w:hAnsi="Courier New"/>
          <w:sz w:val="16"/>
          <w:szCs w:val="16"/>
          <w:color w:val="auto"/>
        </w:rPr>
      </w:pPr>
    </w:p>
    <w:p>
      <w:pPr>
        <w:ind w:right="1779" w:firstLine="528"/>
        <w:spacing w:after="0" w:line="238" w:lineRule="auto"/>
        <w:tabs>
          <w:tab w:leader="none" w:pos="126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as of the date of such opinion by the Company of this Agreement and the Pricing Agreement with respect to the Designated Shares and the issuance and sale of the Designated Shares being issued on the date of such opinion do not (i) violate the Maryland REIT Law, (ii) violate the Company's Declaration of Trust or Bylaws, (iii) to such counsel's knowledge, violate any applicable law, rule, regulation, order, judgment or decree of any Maryland agency or court, or (iv) breach or constitute a default under the agreements listed in Schedule A to this Agreement (other than with respect to the compliance by the Company with the financial and numerical covenants contained therein, as to which such counsel need express no opinion);</w:t>
      </w:r>
    </w:p>
    <w:p>
      <w:pPr>
        <w:spacing w:after="0" w:line="207" w:lineRule="exact"/>
        <w:rPr>
          <w:rFonts w:ascii="Courier New" w:cs="Courier New" w:eastAsia="Courier New" w:hAnsi="Courier New"/>
          <w:sz w:val="18"/>
          <w:szCs w:val="18"/>
          <w:color w:val="auto"/>
        </w:rPr>
      </w:pPr>
    </w:p>
    <w:p>
      <w:pPr>
        <w:ind w:right="1779" w:firstLine="528"/>
        <w:spacing w:after="0" w:line="270" w:lineRule="auto"/>
        <w:tabs>
          <w:tab w:leader="none" w:pos="12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excluding the documents incorporated by reference therein, and each amendment or supplement to the Registration Statement and Prospectus, excluding the documents incorporated by reference therein, as of their respective effective or issue dates (other than the financial statements and supporting schedules included therein or omitted therefrom, as to which such counsel need express no opinion), complied as to form in all material respects with the requirements of the Act and the rules and regulations of the Commission thereunder; if applicable, the Rule 434 Prospectus complies as to form in all material respects with the requirements of Rule 434 under the Act;</w:t>
      </w:r>
    </w:p>
    <w:p>
      <w:pPr>
        <w:spacing w:after="0" w:line="391" w:lineRule="exact"/>
        <w:rPr>
          <w:rFonts w:ascii="Courier New" w:cs="Courier New" w:eastAsia="Courier New" w:hAnsi="Courier New"/>
          <w:sz w:val="16"/>
          <w:szCs w:val="16"/>
          <w:color w:val="auto"/>
        </w:rPr>
      </w:pPr>
    </w:p>
    <w:p>
      <w:pPr>
        <w:ind w:right="1779" w:firstLine="528"/>
        <w:spacing w:after="0" w:line="237" w:lineRule="auto"/>
        <w:tabs>
          <w:tab w:leader="none" w:pos="126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 Prospectus as amended and supplemented in relation to the applicable Designated Shares (other than the financial statements and supporting schedules included therein or omitted therefrom,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w:t>
      </w:r>
    </w:p>
    <w:p>
      <w:pPr>
        <w:spacing w:after="0" w:line="213" w:lineRule="exact"/>
        <w:rPr>
          <w:rFonts w:ascii="Courier New" w:cs="Courier New" w:eastAsia="Courier New" w:hAnsi="Courier New"/>
          <w:sz w:val="18"/>
          <w:szCs w:val="18"/>
          <w:color w:val="auto"/>
        </w:rPr>
      </w:pPr>
    </w:p>
    <w:p>
      <w:pPr>
        <w:ind w:right="2099" w:firstLine="528"/>
        <w:spacing w:after="0" w:line="237" w:lineRule="auto"/>
        <w:tabs>
          <w:tab w:leader="none" w:pos="126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such consents, approvals, authorizations, registrations or qualifications as have been obtained under the Act and the Exchange Act and except for consents, approvals, authorizations, registrations or qualifications as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159"/>
          </w:cols>
          <w:pgMar w:left="1300" w:top="723" w:right="1440" w:bottom="144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may be required under applicable state securities or real estate syndication laws (as to which such counsel need express no opinion) in connection with the offer and sale of the Designated Shares, no consent, approval, authorization or order of, or filing or registration with, the Commission or any Maryland court or governmental agency or body is required to be obtained or made by the Company for the issuance of the Designated Shares or the performance as of the date of such opinion of the obligations contained in the Designated Shares and in this Agreement and the Pricing Agreement by the Company;</w:t>
      </w:r>
    </w:p>
    <w:p>
      <w:pPr>
        <w:spacing w:after="0" w:line="215" w:lineRule="exact"/>
        <w:rPr>
          <w:sz w:val="20"/>
          <w:szCs w:val="20"/>
          <w:color w:val="auto"/>
        </w:rPr>
      </w:pPr>
    </w:p>
    <w:p>
      <w:pPr>
        <w:ind w:right="1779" w:firstLine="528"/>
        <w:spacing w:after="0" w:line="269"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facts have come to such counsel's attention which have caused them to believe that (i) the Registration Statement or any amendments thereto, as of their respective effective dates, contained an untrue statement of a material fact or omitted to state a material fact required to be stated therein or necessary to make the statements therein not misleading, (ii) the Prospectus as amended and supplemented, or any further amendments or supplements thereto, as of their respective issue dates or as of the date of such opinion, included or includes an untrue statement of a material fact or omitted or omits to state a material fact necessary in order to make the statements therein, in the light of the circumstances under which they were made, not misleading, (iii) there are any legal or governmental proceedings pending or threatened against the Company or any of its subsidiaries that are required to be disclosed in the Registration Statement or the Prospectus as amended and supplemented, other than those disclosed therein, or (iv) there are any contracts or documents of a character required to be described in the Prospectus as amended and supplemented that are not described or referred to therein; provided that in making the foregoing statements (which shall not constitute an opinion), such counsel need not express any view as to the financial statements and supporting schedules and other financial information and data included in or omitted from the Registration Statement or the Prospectus as amended and supplemented;</w:t>
      </w: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delivering such opinion, counsel shall be entitled to rely upon opinions of local counsel and in respect of certain matters of fact upon certificates of officers of the Company, provided that any such local counsel shall be reasonably acceptable to the Representatives and the opinion of any such local counsel shall be addressed to the Representatives. Such opinion shall state that Sidley Austin Brown &amp; Wood LLP, in rendering their opinion pursuant to this Agreement, may rely upon such opinion of Hogan &amp; Hartson L.L.P. as to all matters of Maryland law;</w:t>
      </w:r>
    </w:p>
    <w:p>
      <w:pPr>
        <w:spacing w:after="0" w:line="214" w:lineRule="exact"/>
        <w:rPr>
          <w:sz w:val="20"/>
          <w:szCs w:val="20"/>
          <w:color w:val="auto"/>
        </w:rPr>
      </w:pPr>
    </w:p>
    <w:p>
      <w:pPr>
        <w:ind w:left="-520" w:right="1779" w:firstLine="521"/>
        <w:spacing w:after="0" w:line="237" w:lineRule="auto"/>
        <w:tabs>
          <w:tab w:leader="none" w:pos="53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above opinion, the Representatives shall have received the opinion or opinions of Hogan &amp; Hartson L.L.P., Tax Counsel to the Company, dated the Time of Delivery for such Designated Shares, in form and substance satisfactory to the Representatives, to the effect that (1) the Company is and has been organized and operated in conformity with the requirements for qualification and taxation as a real estate investment trust ("REIT") under the Code since its taxable year ended December 31, 1997, and the Company's current and proposed organization and method of operation including distributions (as described in the Prospectus dated September 30,</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159"/>
          </w:cols>
          <w:pgMar w:left="1300" w:top="723" w:right="1440" w:bottom="1440" w:gutter="0" w:footer="0" w:header="0"/>
        </w:sectPr>
      </w:pPr>
    </w:p>
    <w:bookmarkStart w:id="18" w:name="page19"/>
    <w:bookmarkEnd w:id="18"/>
    <w:p>
      <w:pPr>
        <w:ind w:right="1779"/>
        <w:spacing w:after="0" w:line="238" w:lineRule="auto"/>
        <w:rPr>
          <w:sz w:val="20"/>
          <w:szCs w:val="20"/>
          <w:color w:val="auto"/>
        </w:rPr>
      </w:pPr>
      <w:r>
        <w:rPr>
          <w:rFonts w:ascii="Courier New" w:cs="Courier New" w:eastAsia="Courier New" w:hAnsi="Courier New"/>
          <w:sz w:val="18"/>
          <w:szCs w:val="18"/>
          <w:color w:val="auto"/>
        </w:rPr>
        <w:t>1998, the Prospectus Supplement relating to the Designated Shares and the Company's Current Report on Form 8-K filed with the Commission on March 28, 2002 (hereafter, the "Company's Form 8-K") and as represented by the Company) will enable the Company to continue to meet the requirements for qualification and taxation as a REIT for its taxable year ending December 31, 2002 and thereafter; and (2) the discussion in (x) the Prospectus dated September 30, 1998 under the caption "Federal Income Tax Considerations," except such counsel shall note that the statement to the effect that the Company is generally required to distribute to shareholders 95% of its taxable income each year is not correct for tax years of the Company beginning after December 31, 2000, for which periods the Company is generally required to distribute to shareholders 90% of its taxable income (and such counsel shall further note that such general requirement to distribute 90% of its taxable income is correctly described in the Company's Form 8-K) and (y) the Company's Form 8-K under the caption "Federal Income Tax Consequences" which is incorporated by reference into the Prospectus dated September 30, 1998, to the extent that they discuss matters of law or legal conclusions or purport to describe certain provisions of the federal tax laws, are correct summaries of the matters discussed therein;</w:t>
      </w:r>
    </w:p>
    <w:p>
      <w:pPr>
        <w:spacing w:after="0" w:line="210" w:lineRule="exact"/>
        <w:rPr>
          <w:sz w:val="20"/>
          <w:szCs w:val="20"/>
          <w:color w:val="auto"/>
        </w:rPr>
      </w:pPr>
    </w:p>
    <w:p>
      <w:pPr>
        <w:ind w:right="1879" w:firstLine="528"/>
        <w:spacing w:after="0" w:line="238"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date of the Pricing Agreement for such Designated Shares, Arthur Andersen LLP, the independent accountants who have certified the financial statements of the Company incorporated by reference in the Registration Statement, shall have furnished to the Representatives a letter to the effect set forth in Annex II hereto and in form and substance satisfactory to the Representatives, and, on the date of the Pricing Agreement for such Designated Shares and at the Time of Delivery for such Designated Shares, the Chief Financial Officer of the Company shall have delivered to the Representatives a letter dated the date of such Pricing Agreement and a letter dated such Time of Delivery, respectively, to the effect set forth in Sections 6(b), 6(c), 6(e), 6(f), and 7 of Annex II and with respect to such other matters as the Representatives may reasonably request, in form and substance satisfactory to the Representatives;</w:t>
      </w:r>
    </w:p>
    <w:p>
      <w:pPr>
        <w:spacing w:after="0" w:line="208" w:lineRule="exact"/>
        <w:rPr>
          <w:rFonts w:ascii="Courier New" w:cs="Courier New" w:eastAsia="Courier New" w:hAnsi="Courier New"/>
          <w:sz w:val="18"/>
          <w:szCs w:val="18"/>
          <w:color w:val="auto"/>
        </w:rPr>
      </w:pPr>
    </w:p>
    <w:p>
      <w:pPr>
        <w:ind w:right="1779" w:firstLine="528"/>
        <w:spacing w:after="0" w:line="269" w:lineRule="auto"/>
        <w:tabs>
          <w:tab w:leader="none" w:pos="12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capital stock or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Shares on the terms and in the manner contemplated in the Prospectus as amended or supplemented;</w:t>
      </w:r>
    </w:p>
    <w:p>
      <w:pPr>
        <w:spacing w:after="0" w:line="200" w:lineRule="exact"/>
        <w:rPr>
          <w:sz w:val="20"/>
          <w:szCs w:val="20"/>
          <w:color w:val="auto"/>
        </w:rPr>
      </w:pPr>
    </w:p>
    <w:p>
      <w:pPr>
        <w:spacing w:after="0" w:line="39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159"/>
          </w:cols>
          <w:pgMar w:left="1300" w:top="723" w:right="1440" w:bottom="1440" w:gutter="0" w:footer="0" w:header="0"/>
        </w:sectPr>
      </w:pPr>
    </w:p>
    <w:bookmarkStart w:id="19" w:name="page20"/>
    <w:bookmarkEnd w:id="19"/>
    <w:p>
      <w:pPr>
        <w:ind w:left="5" w:right="1879" w:firstLine="521"/>
        <w:spacing w:after="0" w:line="268" w:lineRule="auto"/>
        <w:tabs>
          <w:tab w:leader="none" w:pos="95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w:t>
      </w:r>
    </w:p>
    <w:p>
      <w:pPr>
        <w:ind w:left="5" w:right="1879" w:hanging="5"/>
        <w:spacing w:after="0" w:line="236" w:lineRule="auto"/>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organization shall have publicly announced that it has under surveillance or review, with possible negative implications, its rating of any of the Company's debt securities or preferred shares;</w:t>
      </w:r>
    </w:p>
    <w:p>
      <w:pPr>
        <w:spacing w:after="0" w:line="208" w:lineRule="exact"/>
        <w:rPr>
          <w:rFonts w:ascii="Courier New" w:cs="Courier New" w:eastAsia="Courier New" w:hAnsi="Courier New"/>
          <w:sz w:val="18"/>
          <w:szCs w:val="18"/>
          <w:color w:val="auto"/>
        </w:rPr>
      </w:pPr>
    </w:p>
    <w:p>
      <w:pPr>
        <w:ind w:left="5" w:right="1779" w:firstLine="521"/>
        <w:spacing w:after="0" w:line="270" w:lineRule="auto"/>
        <w:tabs>
          <w:tab w:leader="none" w:pos="95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Shares there shall not have occurred any of the following: (i) a suspension or material limitation in trading in securities generally on the New York Stock Exchange; (ii) a suspension or material limitation in trading in the Company's securities on the New York Stock Exchange;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Shares on the terms and in the manner contemplated in the Prospectus as amended or supplemented;</w:t>
      </w:r>
    </w:p>
    <w:p>
      <w:pPr>
        <w:spacing w:after="0" w:line="386" w:lineRule="exact"/>
        <w:rPr>
          <w:rFonts w:ascii="Courier New" w:cs="Courier New" w:eastAsia="Courier New" w:hAnsi="Courier New"/>
          <w:sz w:val="16"/>
          <w:szCs w:val="16"/>
          <w:color w:val="auto"/>
        </w:rPr>
      </w:pPr>
    </w:p>
    <w:p>
      <w:pPr>
        <w:ind w:left="5" w:right="2099" w:firstLine="521"/>
        <w:spacing w:after="0" w:line="236" w:lineRule="auto"/>
        <w:tabs>
          <w:tab w:leader="none" w:pos="95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complied with the provisions of Section 5(c) hereof with respect to the furnishing of Prospectuses as amended or supplemented;</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furnished or caused to be furnished to the Representatives at the Time of Delivery for the Designated Shares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(f) of this Section and as to such other matters as the Representatives may reasonably request;</w:t>
      </w:r>
    </w:p>
    <w:p>
      <w:pPr>
        <w:spacing w:after="0" w:line="214"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the date of the Pricing Agreement, the Representatives shall have received an agreement substantially in the form of Annex IV hereto signed by each of the persons listed in Schedule III to such Pricing Agreement;</w:t>
      </w:r>
    </w:p>
    <w:p>
      <w:pPr>
        <w:spacing w:after="0" w:line="207" w:lineRule="exact"/>
        <w:rPr>
          <w:rFonts w:ascii="Courier New" w:cs="Courier New" w:eastAsia="Courier New" w:hAnsi="Courier New"/>
          <w:sz w:val="18"/>
          <w:szCs w:val="18"/>
          <w:color w:val="auto"/>
        </w:rPr>
      </w:pPr>
    </w:p>
    <w:p>
      <w:pPr>
        <w:ind w:left="5" w:right="1879" w:firstLine="521"/>
        <w:spacing w:after="0" w:line="235" w:lineRule="auto"/>
        <w:tabs>
          <w:tab w:leader="none" w:pos="95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Designated Shares shall have been approved for listing on the New York Stock Exchange, subject to official notice of issuance; and</w:t>
      </w:r>
    </w:p>
    <w:p>
      <w:pPr>
        <w:spacing w:after="0" w:line="208"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Pricing Agreement with respect to the Designated Shares grants the Underwriters an option to purchase Option Shares from the Company and the Underwriters exercise such option to purchase all or any of the Option Shares, the obligations of the Underwriters to purchase such Option Shares at the Option Closing Time shall be subject to the further conditions that the Representatives shall have received legal opinions of Sidley Austin Brown &amp; Wood llp and Hogan &amp; Hartson</w:t>
      </w:r>
    </w:p>
    <w:p>
      <w:pPr>
        <w:spacing w:after="0" w:line="20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84"/>
          </w:cols>
          <w:pgMar w:left="775" w:top="723" w:right="1440" w:bottom="1440" w:gutter="0" w:footer="0" w:header="0"/>
        </w:sectPr>
      </w:pPr>
    </w:p>
    <w:bookmarkStart w:id="20" w:name="page21"/>
    <w:bookmarkEnd w:id="20"/>
    <w:p>
      <w:pPr>
        <w:ind w:left="5" w:right="1779"/>
        <w:spacing w:after="0" w:line="237" w:lineRule="auto"/>
        <w:rPr>
          <w:sz w:val="20"/>
          <w:szCs w:val="20"/>
          <w:color w:val="auto"/>
        </w:rPr>
      </w:pPr>
      <w:r>
        <w:rPr>
          <w:rFonts w:ascii="Courier New" w:cs="Courier New" w:eastAsia="Courier New" w:hAnsi="Courier New"/>
          <w:sz w:val="18"/>
          <w:szCs w:val="18"/>
          <w:color w:val="auto"/>
        </w:rPr>
        <w:t>L.L.P., dated such Option Closing Time, relating to the Option Shares to be purchased and otherwise to the same effect as the respective opinions referred to in Sections 7(b), (c) and (d), a letter from the Chief Financial Officer of the Company, dated such Option Closing Time, to the same effect as the letter required to be delivered at the Time of Delivery pursuant to Section 7(e), and a certificate or certificates of officers of the Company, dated such Option Closing Time, to the same effect as the certificates required pursuant to Section 7(j), and that all of the foregoing are satisfactory to the Representatives.</w:t>
      </w:r>
    </w:p>
    <w:p>
      <w:pPr>
        <w:spacing w:after="0" w:line="214" w:lineRule="exact"/>
        <w:rPr>
          <w:sz w:val="20"/>
          <w:szCs w:val="20"/>
          <w:color w:val="auto"/>
        </w:rPr>
      </w:pPr>
    </w:p>
    <w:p>
      <w:pPr>
        <w:ind w:left="-535" w:right="1779" w:firstLine="535"/>
        <w:spacing w:after="0" w:line="238"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w:t>
      </w:r>
    </w:p>
    <w:p>
      <w:pPr>
        <w:spacing w:after="0" w:line="212" w:lineRule="exact"/>
        <w:rPr>
          <w:sz w:val="20"/>
          <w:szCs w:val="20"/>
          <w:color w:val="auto"/>
        </w:rPr>
      </w:pPr>
    </w:p>
    <w:p>
      <w:pPr>
        <w:ind w:left="-535" w:right="1779" w:firstLine="535"/>
        <w:spacing w:after="0" w:line="238" w:lineRule="auto"/>
        <w:tabs>
          <w:tab w:leader="none" w:pos="51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84"/>
          </w:cols>
          <w:pgMar w:left="775" w:top="723" w:right="1440" w:bottom="1440" w:gutter="0" w:footer="0" w:header="0"/>
        </w:sectPr>
      </w:pPr>
    </w:p>
    <w:bookmarkStart w:id="21" w:name="page22"/>
    <w:bookmarkEnd w:id="21"/>
    <w:p>
      <w:pPr>
        <w:ind w:left="532" w:right="1999"/>
        <w:spacing w:after="0" w:line="235" w:lineRule="auto"/>
        <w:rPr>
          <w:sz w:val="20"/>
          <w:szCs w:val="20"/>
          <w:color w:val="auto"/>
        </w:rPr>
      </w:pPr>
      <w:r>
        <w:rPr>
          <w:rFonts w:ascii="Courier New" w:cs="Courier New" w:eastAsia="Courier New" w:hAnsi="Courier New"/>
          <w:sz w:val="18"/>
          <w:szCs w:val="18"/>
          <w:color w:val="auto"/>
        </w:rPr>
        <w:t>in connection with investigating or defending any such action or claim as such expenses are incurred.</w:t>
      </w:r>
    </w:p>
    <w:p>
      <w:pPr>
        <w:spacing w:after="0" w:line="208" w:lineRule="exact"/>
        <w:rPr>
          <w:sz w:val="20"/>
          <w:szCs w:val="20"/>
          <w:color w:val="auto"/>
        </w:rPr>
      </w:pPr>
    </w:p>
    <w:p>
      <w:pPr>
        <w:ind w:left="952" w:hanging="425"/>
        <w:spacing w:after="0"/>
        <w:tabs>
          <w:tab w:leader="none" w:pos="95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 (a) or</w:t>
      </w:r>
    </w:p>
    <w:p>
      <w:pPr>
        <w:spacing w:after="0" w:line="21" w:lineRule="exact"/>
        <w:rPr>
          <w:rFonts w:ascii="Courier New" w:cs="Courier New" w:eastAsia="Courier New" w:hAnsi="Courier New"/>
          <w:sz w:val="16"/>
          <w:szCs w:val="16"/>
          <w:color w:val="auto"/>
        </w:rPr>
      </w:pPr>
    </w:p>
    <w:p>
      <w:pPr>
        <w:ind w:left="-8" w:right="1779" w:firstLine="8"/>
        <w:spacing w:after="0" w:line="238" w:lineRule="auto"/>
        <w:tabs>
          <w:tab w:leader="none" w:pos="4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compromises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12" w:lineRule="exact"/>
        <w:rPr>
          <w:rFonts w:ascii="Courier New" w:cs="Courier New" w:eastAsia="Courier New" w:hAnsi="Courier New"/>
          <w:sz w:val="18"/>
          <w:szCs w:val="18"/>
          <w:color w:val="auto"/>
        </w:rPr>
      </w:pPr>
    </w:p>
    <w:p>
      <w:pPr>
        <w:ind w:left="-8" w:right="1779" w:firstLine="535"/>
        <w:spacing w:after="0" w:line="268" w:lineRule="auto"/>
        <w:tabs>
          <w:tab w:leader="none" w:pos="94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or insufficient to hold harmless an indemnified party under subsection (a) or</w:t>
      </w:r>
    </w:p>
    <w:p>
      <w:pPr>
        <w:ind w:left="-8" w:right="1779" w:firstLine="8"/>
        <w:spacing w:after="0" w:line="238"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 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w:t>
      </w: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1"/>
          </w:cols>
          <w:pgMar w:left="248" w:top="723" w:right="1440" w:bottom="1440" w:gutter="0" w:footer="0" w:header="0"/>
        </w:sectPr>
      </w:pPr>
    </w:p>
    <w:bookmarkStart w:id="22" w:name="page23"/>
    <w:bookmarkEnd w:id="22"/>
    <w:p>
      <w:pPr>
        <w:ind w:right="1779"/>
        <w:spacing w:after="0" w:line="269" w:lineRule="auto"/>
        <w:rPr>
          <w:sz w:val="20"/>
          <w:szCs w:val="20"/>
          <w:color w:val="auto"/>
        </w:rPr>
      </w:pPr>
      <w:r>
        <w:rPr>
          <w:rFonts w:ascii="Courier New" w:cs="Courier New" w:eastAsia="Courier New" w:hAnsi="Courier New"/>
          <w:sz w:val="16"/>
          <w:szCs w:val="16"/>
          <w:color w:val="auto"/>
        </w:rPr>
        <w:t>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Shares in this subsection (d) to contribute are several in proportion to their respective underwriting obligations with respect to such Shares and not joint.</w:t>
      </w:r>
    </w:p>
    <w:p>
      <w:pPr>
        <w:spacing w:after="0" w:line="200" w:lineRule="exact"/>
        <w:rPr>
          <w:sz w:val="20"/>
          <w:szCs w:val="20"/>
          <w:color w:val="auto"/>
        </w:rPr>
      </w:pPr>
    </w:p>
    <w:p>
      <w:pPr>
        <w:spacing w:after="0" w:line="395" w:lineRule="exact"/>
        <w:rPr>
          <w:sz w:val="20"/>
          <w:szCs w:val="20"/>
          <w:color w:val="auto"/>
        </w:rPr>
      </w:pPr>
    </w:p>
    <w:p>
      <w:pPr>
        <w:ind w:right="1779" w:firstLine="535"/>
        <w:spacing w:after="0" w:line="271" w:lineRule="auto"/>
        <w:tabs>
          <w:tab w:leader="none" w:pos="105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trustee of the Company and to each person, if any, who controls the Company within the meaning of the Act.</w:t>
      </w:r>
    </w:p>
    <w:p>
      <w:pPr>
        <w:spacing w:after="0" w:line="186" w:lineRule="exact"/>
        <w:rPr>
          <w:sz w:val="20"/>
          <w:szCs w:val="20"/>
          <w:color w:val="auto"/>
        </w:rPr>
      </w:pPr>
    </w:p>
    <w:p>
      <w:pPr>
        <w:ind w:right="1779" w:firstLine="535"/>
        <w:spacing w:after="0" w:line="238"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If any Underwriter shall default in its obligation to purchase the Designated Shares which it has agreed to purchase at the Time of Delivery or, if applicable, at the Option Closing Time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 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or the Option Closing Time, as the case may be,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23" w:name="page24"/>
    <w:bookmarkEnd w:id="23"/>
    <w:p>
      <w:pPr>
        <w:ind w:right="1779"/>
        <w:spacing w:after="0" w:line="275" w:lineRule="auto"/>
        <w:rPr>
          <w:sz w:val="20"/>
          <w:szCs w:val="20"/>
          <w:color w:val="auto"/>
        </w:rPr>
      </w:pPr>
      <w:r>
        <w:rPr>
          <w:rFonts w:ascii="Courier New" w:cs="Courier New" w:eastAsia="Courier New" w:hAnsi="Courier New"/>
          <w:sz w:val="16"/>
          <w:szCs w:val="16"/>
          <w:color w:val="auto"/>
        </w:rPr>
        <w:t>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Shares.</w:t>
      </w:r>
    </w:p>
    <w:p>
      <w:pPr>
        <w:spacing w:after="0" w:line="182" w:lineRule="exact"/>
        <w:rPr>
          <w:sz w:val="20"/>
          <w:szCs w:val="20"/>
          <w:color w:val="auto"/>
        </w:rPr>
      </w:pPr>
    </w:p>
    <w:p>
      <w:pPr>
        <w:ind w:right="1779" w:firstLine="535"/>
        <w:spacing w:after="0" w:line="238"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giving effect to any arrangements for the purchase of the Designated Shares of a defaulting Underwriter or Underwriters by the Representatives and the Company as provided in subsection (a) above, the aggregate number of such Designated Shares which remains unpurchased does not exceed one-tenth of the aggregate number of Designated Shares to be purchased at the Time of Delivery or the Option Closing Time, as the case may be, then the Company shall have the right to require each non-defaulting Underwriter to purchase the number of Designated Shares which such Underwriter agreed to purchase at the Time of Delivery or such Option Closing Time, as the case may be,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to be purchased at the Time of Delivery or the Option Closing Time, as the case may be, as referred to in subsection (b) above, or if the Company shall not exercise the right described in subsection (b) above to require non-defaulting Underwriters to purchase Designated Shares of a defaulting Underwriter or Underwriters, then, in the case of a failure to purchase Designated Shares at the Time of Delivery, the Pricing Agreement relating to such Designated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or, in the case of a failure to purchase Designated Shares at an Option Closing Time which is after the Time of Delivery, the several obligations of the Underwriters to purchase and the obligation of the Company to sell such Designated Shares at such Option Closing Time shall terminate without liability on the part of any non-defaulting Underwriter or the Company, but in any such case nothing herein shall relieve a defaulting Underwriter from liability for its default.</w:t>
      </w:r>
    </w:p>
    <w:p>
      <w:pPr>
        <w:spacing w:after="0" w:line="210" w:lineRule="exact"/>
        <w:rPr>
          <w:sz w:val="20"/>
          <w:szCs w:val="20"/>
          <w:color w:val="auto"/>
        </w:rPr>
      </w:pPr>
    </w:p>
    <w:p>
      <w:pPr>
        <w:ind w:right="177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212" w:lineRule="exact"/>
        <w:rPr>
          <w:rFonts w:ascii="Courier New" w:cs="Courier New" w:eastAsia="Courier New" w:hAnsi="Courier New"/>
          <w:sz w:val="18"/>
          <w:szCs w:val="18"/>
          <w:color w:val="auto"/>
        </w:rPr>
      </w:pPr>
    </w:p>
    <w:p>
      <w:pPr>
        <w:ind w:right="2199" w:firstLine="535"/>
        <w:spacing w:after="0" w:line="236"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Pricing Agreement shall be terminated pursuant to Section 9 hereof, the Company shall not then be under any liability to any Underwriter with respect to the Designated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Shares covered by such Pricing Agreement except as provided in Section 6 and Section 8 hereof. If this Agreement shall be terminated as a result of any of the conditions set forth in Section 7 (other than Section 7(h)(i), (iii) or (iv)) not being satisfied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215" w:lineRule="exact"/>
        <w:rPr>
          <w:sz w:val="20"/>
          <w:szCs w:val="20"/>
          <w:color w:val="auto"/>
        </w:rPr>
      </w:pPr>
    </w:p>
    <w:p>
      <w:pPr>
        <w:ind w:right="1879" w:firstLine="535"/>
        <w:spacing w:after="0" w:line="237"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in the Registration Statement: Attention: Secretary;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208" w:lineRule="exact"/>
        <w:rPr>
          <w:sz w:val="20"/>
          <w:szCs w:val="20"/>
          <w:color w:val="auto"/>
        </w:rPr>
      </w:pPr>
    </w:p>
    <w:p>
      <w:pPr>
        <w:ind w:right="1779" w:firstLine="535"/>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shall be binding upon, and inure solely to the benefit of, the Underwriters, the Company and, to the extent provided in Section 8 and Section 10 hereof, the officers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Shares from any Underwriter shall be deemed a successor or assign by reason merely of such purchase.</w:t>
      </w:r>
    </w:p>
    <w:p>
      <w:pPr>
        <w:spacing w:after="0" w:line="213" w:lineRule="exact"/>
        <w:rPr>
          <w:rFonts w:ascii="Courier New" w:cs="Courier New" w:eastAsia="Courier New" w:hAnsi="Courier New"/>
          <w:sz w:val="18"/>
          <w:szCs w:val="18"/>
          <w:color w:val="auto"/>
        </w:rPr>
      </w:pPr>
    </w:p>
    <w:p>
      <w:pPr>
        <w:jc w:val="both"/>
        <w:ind w:right="2519" w:firstLine="535"/>
        <w:spacing w:after="0" w:line="236"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shall be of the essence of each Pricing Agreement. As used herein, "business day" shall mean any day when the Commission's office in Washington, D.C. is open for business.</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shall be governed by and construed in accordance with the laws of the State of New York.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5" w:name="page26"/>
    <w:bookmarkEnd w:id="25"/>
    <w:p>
      <w:pPr>
        <w:ind w:left="-120" w:right="1779" w:firstLine="535"/>
        <w:spacing w:after="0" w:line="237" w:lineRule="auto"/>
        <w:tabs>
          <w:tab w:leader="none" w:pos="82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[REMAINDER OF THIS PAGE INTENTIONALLY LEFT BLANK]</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099"/>
          </w:cols>
          <w:pgMar w:left="360" w:top="723" w:right="1440" w:bottom="1440" w:gutter="0" w:footer="0" w:header="0"/>
        </w:sectPr>
      </w:pPr>
    </w:p>
    <w:bookmarkStart w:id="26" w:name="page27"/>
    <w:bookmarkEnd w:id="26"/>
    <w:p>
      <w:pPr>
        <w:ind w:right="1879" w:firstLine="527"/>
        <w:spacing w:after="0" w:line="235" w:lineRule="auto"/>
        <w:rPr>
          <w:sz w:val="20"/>
          <w:szCs w:val="20"/>
          <w:color w:val="auto"/>
        </w:rPr>
      </w:pPr>
      <w:r>
        <w:rPr>
          <w:rFonts w:ascii="Courier New" w:cs="Courier New" w:eastAsia="Courier New" w:hAnsi="Courier New"/>
          <w:sz w:val="18"/>
          <w:szCs w:val="18"/>
          <w:color w:val="auto"/>
        </w:rPr>
        <w:t>If the foregoing is in accordance with your understanding, please sign and return this Agreement to us.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jc w:val="center"/>
        <w:ind w:left="920"/>
        <w:spacing w:after="0"/>
        <w:tabs>
          <w:tab w:leader="none" w:pos="200" w:val="left"/>
        </w:tabs>
        <w:rPr>
          <w:sz w:val="20"/>
          <w:szCs w:val="20"/>
          <w:color w:val="auto"/>
        </w:rPr>
      </w:pPr>
      <w:r>
        <w:rPr>
          <w:rFonts w:ascii="Courier New" w:cs="Courier New" w:eastAsia="Courier New" w:hAnsi="Courier New"/>
          <w:sz w:val="18"/>
          <w:szCs w:val="18"/>
          <w:color w:val="auto"/>
        </w:rPr>
        <w:t>By:</w:t>
        <w:tab/>
        <w:t>/s/ Larry E. Finger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Larry E. Finger</w:t>
      </w:r>
    </w:p>
    <w:p>
      <w:pPr>
        <w:ind w:left="3900"/>
        <w:spacing w:after="0" w:line="238" w:lineRule="auto"/>
        <w:rPr>
          <w:sz w:val="20"/>
          <w:szCs w:val="20"/>
          <w:color w:val="auto"/>
        </w:rPr>
      </w:pPr>
      <w:r>
        <w:rPr>
          <w:rFonts w:ascii="Courier New" w:cs="Courier New" w:eastAsia="Courier New" w:hAnsi="Courier New"/>
          <w:sz w:val="18"/>
          <w:szCs w:val="18"/>
          <w:color w:val="auto"/>
        </w:rPr>
        <w:t>Title: Senior Vice President - Chief</w:t>
      </w:r>
    </w:p>
    <w:p>
      <w:pPr>
        <w:ind w:left="4640"/>
        <w:spacing w:after="0"/>
        <w:rPr>
          <w:sz w:val="20"/>
          <w:szCs w:val="20"/>
          <w:color w:val="auto"/>
        </w:rPr>
      </w:pPr>
      <w:r>
        <w:rPr>
          <w:rFonts w:ascii="Courier New" w:cs="Courier New" w:eastAsia="Courier New" w:hAnsi="Courier New"/>
          <w:sz w:val="18"/>
          <w:szCs w:val="18"/>
          <w:color w:val="auto"/>
        </w:rPr>
        <w:t>Financial Officer and Treasurer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 Brit Stephens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Name:</w:t>
        <w:tab/>
        <w:t>J. Brit Stephens</w:t>
      </w:r>
    </w:p>
    <w:p>
      <w:pPr>
        <w:ind w:left="540"/>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7" w:name="page28"/>
    <w:bookmarkEnd w:id="27"/>
    <w:p>
      <w:pPr>
        <w:ind w:left="7380"/>
        <w:spacing w:after="0"/>
        <w:rPr>
          <w:sz w:val="20"/>
          <w:szCs w:val="20"/>
          <w:color w:val="auto"/>
        </w:rPr>
      </w:pPr>
      <w:r>
        <w:rPr>
          <w:rFonts w:ascii="Courier New" w:cs="Courier New" w:eastAsia="Courier New" w:hAnsi="Courier New"/>
          <w:sz w:val="16"/>
          <w:szCs w:val="16"/>
          <w:color w:val="auto"/>
        </w:rPr>
        <w:t>SCHEDULE A</w:t>
      </w:r>
    </w:p>
    <w:p>
      <w:pPr>
        <w:spacing w:after="0" w:line="2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Indenture dated December 13, 1993, related to the Trust's 7.48% Debentures due August 15, 2026; 8 7/8% Senior Notes due January 15, 2000; 8% Notes due April 21, 2002; 6 5/8% Notes due 2005; 6.82% Medium Term Notes due August 1, 2027; 6.74% Medium Term Notes due March 10, 2004; and 6.99% Medium Term Notes due March 10, 2006, filed with the Commission on December 13, 1993 as exhibit 4(a) to the Trust's Registration Statement on Form S-3, (File No. 33-51029) and amended on Form S-3 (File No. 33-63687), effective December 4, 1995 is incorporated herein by reference thereto.</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Indenture dated September 1, 1998 related to the Trust's 8.75% Notes due December 1, 2009 filed as exhibit 4(a) to the Trust's Registration Statement on Form S-3 (File No. 333-63619) is incorporated herein by reference thereto.</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Credit Agreement Dated as of December 19, 1997, and as subsequently amended, by and among Federal Realty Investment Trust, as Borrower, The Financial Institutions Party Thereto and Their Assignees Under Section 13.5.(a), as Lenders, Corestates Bank, N.A., as Syndication Agent, First Union National Bank, as Administrative Agent and as Arranger, and Wells Fargo Bank, as Documentation Agent and as Co-Arranger.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 Loan Agreement, dated as of December 22, 1998, and as subsequently amended, by and among Federal Realty Investment Trust, as Borrower, the Financial Institutions Party Thereto and Their Assignees Under Section 13.5.(d), as Lenders, Commerzbank Aktiengesellschaft, New York Branch as Syndication Agent, PNC, National Association, as Administrative Agent and Fleet National Bank, as documentation agent.</w:t>
      </w:r>
    </w:p>
    <w:p>
      <w:pPr>
        <w:spacing w:after="0" w:line="210"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Building Loan Agreement, dated as of April 17, 2001, and as subsequently amended, by and among FRIT San Jose Town and Country Village LLC, San Jose Residential, Inc. and Street Retail, Inc. jointly and severally as Borrower, Commerzbank AG, New York Branch, Fleet National Bank, Bayerische Hypo-Und Vereinsbank AG, New York Branch and the Other Lenders named therein.</w:t>
      </w:r>
    </w:p>
    <w:p>
      <w:pPr>
        <w:sectPr>
          <w:pgSz w:w="11900" w:h="16838" w:orient="portrait"/>
          <w:cols w:equalWidth="0" w:num="1">
            <w:col w:w="10219"/>
          </w:cols>
          <w:pgMar w:left="240" w:top="723" w:right="1440" w:bottom="1440" w:gutter="0" w:footer="0" w:header="0"/>
        </w:sectPr>
      </w:pPr>
    </w:p>
    <w:bookmarkStart w:id="28" w:name="page29"/>
    <w:bookmarkEnd w:id="28"/>
    <w:p>
      <w:pPr>
        <w:jc w:val="right"/>
        <w:ind w:right="17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Pricing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4" w:lineRule="exact"/>
        <w:rPr>
          <w:sz w:val="20"/>
          <w:szCs w:val="20"/>
          <w:color w:val="auto"/>
        </w:rPr>
      </w:pPr>
    </w:p>
    <w:p>
      <w:pPr>
        <w:ind w:left="320" w:right="2619" w:hanging="315"/>
        <w:spacing w:after="0" w:line="235" w:lineRule="auto"/>
        <w:rPr>
          <w:sz w:val="20"/>
          <w:szCs w:val="20"/>
          <w:color w:val="auto"/>
        </w:rPr>
      </w:pPr>
      <w:r>
        <w:rPr>
          <w:rFonts w:ascii="Courier New" w:cs="Courier New" w:eastAsia="Courier New" w:hAnsi="Courier New"/>
          <w:sz w:val="18"/>
          <w:szCs w:val="18"/>
          <w:color w:val="auto"/>
        </w:rPr>
        <w:t>As representative of the several Underwriters named in Schedule I hereto c/o First Union Securities, Inc.</w:t>
      </w:r>
    </w:p>
    <w:p>
      <w:pPr>
        <w:ind w:left="320"/>
        <w:spacing w:after="0"/>
        <w:rPr>
          <w:sz w:val="20"/>
          <w:szCs w:val="20"/>
          <w:color w:val="auto"/>
        </w:rPr>
      </w:pPr>
      <w:r>
        <w:rPr>
          <w:rFonts w:ascii="Courier New" w:cs="Courier New" w:eastAsia="Courier New" w:hAnsi="Courier New"/>
          <w:sz w:val="18"/>
          <w:szCs w:val="18"/>
          <w:color w:val="auto"/>
        </w:rPr>
        <w:t>7 St. Paul Street</w:t>
      </w:r>
    </w:p>
    <w:p>
      <w:pPr>
        <w:ind w:left="320"/>
        <w:spacing w:after="0" w:line="238" w:lineRule="auto"/>
        <w:rPr>
          <w:sz w:val="20"/>
          <w:szCs w:val="20"/>
          <w:color w:val="auto"/>
        </w:rPr>
      </w:pPr>
      <w:r>
        <w:rPr>
          <w:rFonts w:ascii="Courier New" w:cs="Courier New" w:eastAsia="Courier New" w:hAnsi="Courier New"/>
          <w:sz w:val="18"/>
          <w:szCs w:val="18"/>
          <w:color w:val="auto"/>
        </w:rPr>
        <w:t>Baltimore, Maryland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Federal Realty Investment Trust, a Maryland real estate investment trust (the "Company"), proposes, subject to the terms and conditions stated herein and in the Underwriting Agreement, dated June 6, 2002 (the "Underwriting Agreement"), between the Company on the one hand and First Union Securities, Inc. on the other hand, to issue and sell to the Underwriters named in Schedule I hereto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 Underwriting Agreement is First Union Securities, Inc., and the Representatives designated to act on behalf of each of the Underwriters of the Designated Shares pursuant to Section 12 of the Underwriting Agreement and the address of the Representatives referred to in such Section 12 are set forth in Schedule II hereto.</w:t>
      </w:r>
    </w:p>
    <w:p>
      <w:pPr>
        <w:spacing w:after="0" w:line="200" w:lineRule="exact"/>
        <w:rPr>
          <w:sz w:val="20"/>
          <w:szCs w:val="20"/>
          <w:color w:val="auto"/>
        </w:rPr>
      </w:pPr>
    </w:p>
    <w:p>
      <w:pPr>
        <w:spacing w:after="0" w:line="393"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 supplement to the Prospectus relating to the Designated Shares, in the form heretofore delivered to you, is now proposed to be filed with the Commission.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Subject to the terms and conditions set forth herein and in the Underwriting Agreement incorporated herein by reference, the Company agrees to issue and sell to each of the</w:t>
      </w:r>
    </w:p>
    <w:p>
      <w:pPr>
        <w:sectPr>
          <w:pgSz w:w="11900" w:h="16838" w:orient="portrait"/>
          <w:cols w:equalWidth="0" w:num="1">
            <w:col w:w="10219"/>
          </w:cols>
          <w:pgMar w:left="240" w:top="717" w:right="1440" w:bottom="144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Underwriters, and each of the Underwriters agrees, severally and not jointly, to purchase from the Company, at the Time of Delivery and place and at the purchase price to the Underwriters set forth in Schedule II hereto, the number of Initial Shares (as defined in Schedule II hereto) set forth opposite the name of such Underwriter in Schedule I hereto.</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addition, subject to the terms and conditions set forth herein and in the Underwriting Agreement incorporated herein by reference, the Company hereby grants an option to the Underwriters to purchase, severally and not jointly, up to the number of Option Shares (as defined in Schedule II hereto) specified in Schedule II hereto at the place and purchase price to the Underwriters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Representatives to the Company setting forth the number of Option Shares as to which the several Underwriters are then exercising the option and the Option Closing Time for such Option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Shares, each of the Underwriters, acting severally and not jointly, will be obligated to purchase that proportion of the total number of Option Shares then being purchased which the number of Initial Shares set forth in Schedule II hereto opposite the name of such Underwriter bears to the total number of Initial Shares (subject in each case to such adjustments as the Representatives in their discretion shall make to eliminate any sales or purchases of fractional shares), and the Company shall be obligated to issue and sell such Option Shares to the several Underwriters, in each case subject to the terms and conditions set forth herein and in the Underwriting Agreement incorporated by reference herein.</w:t>
      </w:r>
    </w:p>
    <w:p>
      <w:pPr>
        <w:spacing w:after="0" w:line="200" w:lineRule="exact"/>
        <w:rPr>
          <w:sz w:val="20"/>
          <w:szCs w:val="20"/>
          <w:color w:val="auto"/>
        </w:rPr>
      </w:pPr>
    </w:p>
    <w:p>
      <w:pPr>
        <w:spacing w:after="0" w:line="39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obligations of the Underwriters under this Pricing Agreement and the Underwriting Agreement incorporated herein are several and not joint.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This Pricing Agreement shall be governed by and construed in accordance with the laws of the State of New York.</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[REMAINDER OF THIS PAGE INTENTIONALLY LEFT BLANK]</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723" w:right="1440" w:bottom="1440" w:gutter="0" w:footer="0" w:header="0"/>
        </w:sectPr>
      </w:pPr>
    </w:p>
    <w:bookmarkStart w:id="30" w:name="page31"/>
    <w:bookmarkEnd w:id="30"/>
    <w:p>
      <w:pPr>
        <w:ind w:right="1879" w:firstLine="527"/>
        <w:spacing w:after="0" w:line="237" w:lineRule="auto"/>
        <w:rPr>
          <w:sz w:val="20"/>
          <w:szCs w:val="20"/>
          <w:color w:val="auto"/>
        </w:rPr>
      </w:pPr>
      <w:r>
        <w:rPr>
          <w:rFonts w:ascii="Courier New" w:cs="Courier New" w:eastAsia="Courier New" w:hAnsi="Courier New"/>
          <w:sz w:val="18"/>
          <w:szCs w:val="18"/>
          <w:color w:val="auto"/>
        </w:rPr>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32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Larry E. Finger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Larry E. Finger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Title: Senior Vice President - Chief Financial</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Officer and Treasurer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 Brit Stephens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 Brit Stephens</w:t>
      </w:r>
    </w:p>
    <w:p>
      <w:pPr>
        <w:ind w:left="320"/>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9"/>
          </w:cols>
          <w:pgMar w:left="240" w:top="723" w:right="1440" w:bottom="1440" w:gutter="0" w:footer="0" w:header="0"/>
        </w:sectPr>
      </w:pPr>
    </w:p>
    <w:bookmarkStart w:id="31" w:name="page32"/>
    <w:bookmarkEnd w:id="31"/>
    <w:p>
      <w:pPr>
        <w:ind w:left="370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Underwriter</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Initial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140" w:space="720"/>
            <w:col w:w="3359"/>
          </w:cols>
          <w:pgMar w:left="240" w:top="723" w:right="1440" w:bottom="1440" w:gutter="0" w:footer="0" w:header="0"/>
          <w:type w:val="continuous"/>
        </w:sectPr>
      </w:pPr>
    </w:p>
    <w:p>
      <w:pPr>
        <w:spacing w:after="0" w:line="24"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6"/>
          <w:szCs w:val="16"/>
          <w:color w:val="auto"/>
        </w:rPr>
        <w:t>First Union Securities, Inc. ................................</w:t>
      </w:r>
    </w:p>
    <w:p>
      <w:pPr>
        <w:spacing w:after="0" w:line="16"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8"/>
          <w:szCs w:val="18"/>
          <w:color w:val="auto"/>
        </w:rPr>
        <w:t>Total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660" w:space="720"/>
            <w:col w:w="2839"/>
          </w:cols>
          <w:pgMar w:left="240" w:top="723"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740" w:type="dxa"/>
            <w:vAlign w:val="bottom"/>
          </w:tcPr>
          <w:p>
            <w:pPr>
              <w:ind w:left="380"/>
              <w:spacing w:after="0"/>
              <w:rPr>
                <w:sz w:val="20"/>
                <w:szCs w:val="20"/>
                <w:color w:val="auto"/>
              </w:rPr>
            </w:pPr>
            <w:r>
              <w:rPr>
                <w:rFonts w:ascii="Courier New" w:cs="Courier New" w:eastAsia="Courier New" w:hAnsi="Courier New"/>
                <w:sz w:val="18"/>
                <w:szCs w:val="18"/>
                <w:color w:val="auto"/>
              </w:rPr>
              <w:t>SCHEDULE II</w:t>
            </w:r>
          </w:p>
        </w:tc>
        <w:tc>
          <w:tcPr>
            <w:tcW w:w="238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Title of Designated Shares:</w:t>
            </w:r>
          </w:p>
        </w:tc>
        <w:tc>
          <w:tcPr>
            <w:tcW w:w="2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Number of Designated Shares:</w:t>
            </w:r>
          </w:p>
        </w:tc>
        <w:tc>
          <w:tcPr>
            <w:tcW w:w="2740" w:type="dxa"/>
            <w:vAlign w:val="bottom"/>
          </w:tcPr>
          <w:p>
            <w:pPr>
              <w:ind w:left="900"/>
              <w:spacing w:after="0"/>
              <w:rPr>
                <w:sz w:val="20"/>
                <w:szCs w:val="20"/>
                <w:color w:val="auto"/>
              </w:rPr>
            </w:pPr>
            <w:r>
              <w:rPr>
                <w:rFonts w:ascii="Courier New" w:cs="Courier New" w:eastAsia="Courier New" w:hAnsi="Courier New"/>
                <w:sz w:val="18"/>
                <w:szCs w:val="18"/>
                <w:color w:val="auto"/>
              </w:rPr>
              <w:t>________ shares.</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The Designated Shares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consist of an aggregate of ______</w:t>
            </w:r>
          </w:p>
        </w:tc>
      </w:tr>
      <w:tr>
        <w:trPr>
          <w:trHeight w:val="203"/>
        </w:trPr>
        <w:tc>
          <w:tcPr>
            <w:tcW w:w="332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Designated Shares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"Initial Shares")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that the Underwriters have agreed,</w:t>
            </w:r>
          </w:p>
        </w:tc>
      </w:tr>
      <w:tr>
        <w:trPr>
          <w:trHeight w:val="203"/>
        </w:trPr>
        <w:tc>
          <w:tcPr>
            <w:tcW w:w="332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severally and not</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jointly, to purchase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w w:val="99"/>
              </w:rPr>
              <w:t>and that the Company has agreed to sell</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and an aggregate of up to ______</w:t>
            </w:r>
          </w:p>
        </w:tc>
      </w:tr>
      <w:tr>
        <w:trPr>
          <w:trHeight w:val="203"/>
        </w:trPr>
        <w:tc>
          <w:tcPr>
            <w:tcW w:w="332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Designated Shares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"Option Shares")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w w:val="97"/>
              </w:rPr>
              <w:t>that the Underwriters have the option to</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purchase, severally and not jointly,</w:t>
            </w:r>
          </w:p>
        </w:tc>
      </w:tr>
      <w:tr>
        <w:trPr>
          <w:trHeight w:val="203"/>
        </w:trPr>
        <w:tc>
          <w:tcPr>
            <w:tcW w:w="332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from the Company,</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subject to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terms and conditions set forth in this</w:t>
            </w:r>
          </w:p>
        </w:tc>
      </w:tr>
      <w:tr>
        <w:trPr>
          <w:trHeight w:val="203"/>
        </w:trPr>
        <w:tc>
          <w:tcPr>
            <w:tcW w:w="332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Pricing Agreement</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 Underwriting</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Agreement incorporated by reference</w:t>
            </w:r>
          </w:p>
        </w:tc>
      </w:tr>
      <w:tr>
        <w:trPr>
          <w:trHeight w:val="203"/>
        </w:trPr>
        <w:tc>
          <w:tcPr>
            <w:tcW w:w="332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herein.</w:t>
            </w:r>
          </w:p>
        </w:tc>
        <w:tc>
          <w:tcPr>
            <w:tcW w:w="23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717" w:right="1440" w:bottom="1440" w:gutter="0" w:footer="0" w:header="0"/>
        </w:sectPr>
      </w:pPr>
    </w:p>
    <w:p>
      <w:pPr>
        <w:spacing w:after="0" w:line="7" w:lineRule="exact"/>
        <w:rPr>
          <w:sz w:val="20"/>
          <w:szCs w:val="20"/>
          <w:color w:val="auto"/>
        </w:rPr>
      </w:pPr>
    </w:p>
    <w:p>
      <w:pPr>
        <w:ind w:right="100"/>
        <w:spacing w:after="0" w:line="235" w:lineRule="auto"/>
        <w:rPr>
          <w:sz w:val="20"/>
          <w:szCs w:val="20"/>
          <w:color w:val="auto"/>
        </w:rPr>
      </w:pPr>
      <w:r>
        <w:rPr>
          <w:rFonts w:ascii="Courier New" w:cs="Courier New" w:eastAsia="Courier New" w:hAnsi="Courier New"/>
          <w:sz w:val="18"/>
          <w:szCs w:val="18"/>
          <w:color w:val="auto"/>
        </w:rPr>
        <w:t>Initial Offering Price to Public Per Share for Designated Shares</w:t>
      </w:r>
    </w:p>
    <w:p>
      <w:pPr>
        <w:spacing w:after="0" w:line="208" w:lineRule="exact"/>
        <w:rPr>
          <w:sz w:val="20"/>
          <w:szCs w:val="20"/>
          <w:color w:val="auto"/>
        </w:rPr>
      </w:pPr>
    </w:p>
    <w:p>
      <w:pPr>
        <w:ind w:right="200"/>
        <w:spacing w:after="0" w:line="236" w:lineRule="auto"/>
        <w:rPr>
          <w:sz w:val="20"/>
          <w:szCs w:val="20"/>
          <w:color w:val="auto"/>
        </w:rPr>
      </w:pPr>
      <w:r>
        <w:rPr>
          <w:rFonts w:ascii="Courier New" w:cs="Courier New" w:eastAsia="Courier New" w:hAnsi="Courier New"/>
          <w:sz w:val="18"/>
          <w:szCs w:val="18"/>
          <w:color w:val="auto"/>
        </w:rPr>
        <w:t>Purchase Price per Share for Designated Shares to be Paid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 Per Share for</w:t>
      </w:r>
    </w:p>
    <w:p>
      <w:pPr>
        <w:spacing w:after="0" w:line="238" w:lineRule="auto"/>
        <w:rPr>
          <w:sz w:val="20"/>
          <w:szCs w:val="20"/>
          <w:color w:val="auto"/>
        </w:rPr>
      </w:pPr>
      <w:r>
        <w:rPr>
          <w:rFonts w:ascii="Courier New" w:cs="Courier New" w:eastAsia="Courier New" w:hAnsi="Courier New"/>
          <w:sz w:val="18"/>
          <w:szCs w:val="18"/>
          <w:color w:val="auto"/>
        </w:rPr>
        <w:t>Designated Shares, if applicable:</w:t>
      </w:r>
    </w:p>
    <w:p>
      <w:pPr>
        <w:spacing w:after="0" w:line="207" w:lineRule="exact"/>
        <w:rPr>
          <w:sz w:val="20"/>
          <w:szCs w:val="20"/>
          <w:color w:val="auto"/>
        </w:rPr>
      </w:pPr>
    </w:p>
    <w:p>
      <w:pPr>
        <w:ind w:right="1160"/>
        <w:spacing w:after="0" w:line="235" w:lineRule="auto"/>
        <w:rPr>
          <w:sz w:val="20"/>
          <w:szCs w:val="20"/>
          <w:color w:val="auto"/>
        </w:rPr>
      </w:pPr>
      <w:r>
        <w:rPr>
          <w:rFonts w:ascii="Courier New" w:cs="Courier New" w:eastAsia="Courier New" w:hAnsi="Courier New"/>
          <w:sz w:val="18"/>
          <w:szCs w:val="18"/>
          <w:color w:val="auto"/>
        </w:rPr>
        <w:t>Dividend Payment Dates, if applicable: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provisions, if applicable:</w:t>
      </w: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Sinking fund requirements, if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and addresses of</w:t>
      </w:r>
    </w:p>
    <w:p>
      <w:pPr>
        <w:spacing w:after="0" w:line="238" w:lineRule="auto"/>
        <w:rPr>
          <w:sz w:val="20"/>
          <w:szCs w:val="20"/>
          <w:color w:val="auto"/>
        </w:rPr>
      </w:pPr>
      <w:r>
        <w:rPr>
          <w:rFonts w:ascii="Courier New" w:cs="Courier New" w:eastAsia="Courier New" w:hAnsi="Courier New"/>
          <w:sz w:val="18"/>
          <w:szCs w:val="18"/>
          <w:color w:val="auto"/>
        </w:rPr>
        <w:t>Representatives: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$______ per share.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 per share; provided, however,</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that the purchase price per share for any Option Shares purchased by the Underwriters shall be reduced by an amount per share equal to the aggregate amount per share of any dividends or distributions declared, paid or payable with respect to the Initial Shares but not payable with respect to such Option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38" w:lineRule="auto"/>
        <w:rPr>
          <w:sz w:val="20"/>
          <w:szCs w:val="20"/>
          <w:color w:val="auto"/>
        </w:rPr>
      </w:pPr>
      <w:r>
        <w:rPr>
          <w:rFonts w:ascii="Courier New" w:cs="Courier New" w:eastAsia="Courier New" w:hAnsi="Courier New"/>
          <w:sz w:val="18"/>
          <w:szCs w:val="18"/>
          <w:color w:val="auto"/>
        </w:rPr>
        <w:t>7 St. Paul Street</w:t>
      </w:r>
    </w:p>
    <w:p>
      <w:pPr>
        <w:spacing w:after="0"/>
        <w:tabs>
          <w:tab w:leader="none" w:pos="2200" w:val="left"/>
        </w:tabs>
        <w:rPr>
          <w:sz w:val="20"/>
          <w:szCs w:val="20"/>
          <w:color w:val="auto"/>
        </w:rPr>
      </w:pPr>
      <w:r>
        <w:rPr>
          <w:rFonts w:ascii="Courier New" w:cs="Courier New" w:eastAsia="Courier New" w:hAnsi="Courier New"/>
          <w:sz w:val="18"/>
          <w:szCs w:val="18"/>
          <w:color w:val="auto"/>
        </w:rPr>
        <w:t>Baltimore, Maryland</w:t>
      </w:r>
      <w:r>
        <w:rPr>
          <w:sz w:val="20"/>
          <w:szCs w:val="20"/>
          <w:color w:val="auto"/>
        </w:rPr>
        <w:tab/>
      </w:r>
      <w:r>
        <w:rPr>
          <w:rFonts w:ascii="Courier New" w:cs="Courier New" w:eastAsia="Courier New" w:hAnsi="Courier New"/>
          <w:sz w:val="16"/>
          <w:szCs w:val="16"/>
          <w:color w:val="auto"/>
        </w:rPr>
        <w:t>21202</w:t>
      </w:r>
    </w:p>
    <w:p>
      <w:pPr>
        <w:sectPr>
          <w:pgSz w:w="11900" w:h="16838" w:orient="portrait"/>
          <w:cols w:equalWidth="0" w:num="2">
            <w:col w:w="3900" w:space="320"/>
            <w:col w:w="5999"/>
          </w:cols>
          <w:pgMar w:left="240" w:top="717" w:right="1440"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2940" w:type="dxa"/>
            <w:vAlign w:val="bottom"/>
          </w:tcPr>
          <w:p>
            <w:pPr>
              <w:ind w:left="60"/>
              <w:spacing w:after="0"/>
              <w:rPr>
                <w:sz w:val="20"/>
                <w:szCs w:val="20"/>
                <w:color w:val="auto"/>
              </w:rPr>
            </w:pPr>
            <w:r>
              <w:rPr>
                <w:rFonts w:ascii="Courier New" w:cs="Courier New" w:eastAsia="Courier New" w:hAnsi="Courier New"/>
                <w:sz w:val="18"/>
                <w:szCs w:val="18"/>
                <w:color w:val="auto"/>
              </w:rPr>
              <w:t>for Notices, etc.:</w:t>
            </w:r>
          </w:p>
        </w:tc>
        <w:tc>
          <w:tcPr>
            <w:tcW w:w="3640" w:type="dxa"/>
            <w:vAlign w:val="bottom"/>
          </w:tcPr>
          <w:p>
            <w:pPr>
              <w:ind w:left="480"/>
              <w:spacing w:after="0"/>
              <w:rPr>
                <w:sz w:val="20"/>
                <w:szCs w:val="20"/>
                <w:color w:val="auto"/>
              </w:rPr>
            </w:pPr>
            <w:r>
              <w:rPr>
                <w:rFonts w:ascii="Courier New" w:cs="Courier New" w:eastAsia="Courier New" w:hAnsi="Courier New"/>
                <w:sz w:val="18"/>
                <w:szCs w:val="18"/>
                <w:color w:val="auto"/>
              </w:rPr>
              <w:t>First Union Securities, Inc.</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 St. Paul Street</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Baltimore, Maryland  21202</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rPr>
              <w:t>Other Terms:</w:t>
            </w:r>
          </w:p>
        </w:tc>
        <w:tc>
          <w:tcPr>
            <w:tcW w:w="364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Time of</w:t>
            </w:r>
          </w:p>
        </w:tc>
        <w:tc>
          <w:tcPr>
            <w:tcW w:w="2940" w:type="dxa"/>
            <w:vAlign w:val="bottom"/>
          </w:tcPr>
          <w:p>
            <w:pPr>
              <w:ind w:left="60"/>
              <w:spacing w:after="0"/>
              <w:rPr>
                <w:sz w:val="20"/>
                <w:szCs w:val="20"/>
                <w:color w:val="auto"/>
              </w:rPr>
            </w:pPr>
            <w:r>
              <w:rPr>
                <w:rFonts w:ascii="Courier New" w:cs="Courier New" w:eastAsia="Courier New" w:hAnsi="Courier New"/>
                <w:sz w:val="18"/>
                <w:szCs w:val="18"/>
                <w:color w:val="auto"/>
              </w:rPr>
              <w:t>Delivery:</w:t>
            </w:r>
          </w:p>
        </w:tc>
        <w:tc>
          <w:tcPr>
            <w:tcW w:w="3640" w:type="dxa"/>
            <w:vAlign w:val="bottom"/>
          </w:tcPr>
          <w:p>
            <w:pPr>
              <w:ind w:left="480"/>
              <w:spacing w:after="0"/>
              <w:rPr>
                <w:sz w:val="20"/>
                <w:szCs w:val="20"/>
                <w:color w:val="auto"/>
              </w:rPr>
            </w:pPr>
            <w:r>
              <w:rPr>
                <w:rFonts w:ascii="Courier New" w:cs="Courier New" w:eastAsia="Courier New" w:hAnsi="Courier New"/>
                <w:sz w:val="18"/>
                <w:szCs w:val="18"/>
                <w:color w:val="auto"/>
                <w:w w:val="96"/>
              </w:rPr>
              <w:t>9:00 a.m. (New York City time)</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on ___________</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rPr>
              <w:t>Place of Delivery of Designated</w:t>
            </w:r>
          </w:p>
        </w:tc>
        <w:tc>
          <w:tcPr>
            <w:tcW w:w="3640" w:type="dxa"/>
            <w:vAlign w:val="bottom"/>
          </w:tcPr>
          <w:p>
            <w:pPr>
              <w:ind w:left="480"/>
              <w:spacing w:after="0"/>
              <w:rPr>
                <w:sz w:val="20"/>
                <w:szCs w:val="20"/>
                <w:color w:val="auto"/>
              </w:rPr>
            </w:pPr>
            <w:r>
              <w:rPr>
                <w:rFonts w:ascii="Courier New" w:cs="Courier New" w:eastAsia="Courier New" w:hAnsi="Courier New"/>
                <w:sz w:val="18"/>
                <w:szCs w:val="18"/>
                <w:color w:val="auto"/>
              </w:rPr>
              <w:t>New York, New York</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40" w:type="dxa"/>
            <w:vAlign w:val="bottom"/>
          </w:tcPr>
          <w:p>
            <w:pPr>
              <w:spacing w:after="0"/>
              <w:rPr>
                <w:sz w:val="17"/>
                <w:szCs w:val="17"/>
                <w:color w:val="auto"/>
              </w:rPr>
            </w:pPr>
          </w:p>
        </w:tc>
        <w:tc>
          <w:tcPr>
            <w:tcW w:w="36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34" w:name="page35"/>
    <w:bookmarkEnd w:id="34"/>
    <w:p>
      <w:pPr>
        <w:jc w:val="center"/>
        <w:ind w:right="1759"/>
        <w:spacing w:after="0"/>
        <w:rPr>
          <w:sz w:val="20"/>
          <w:szCs w:val="20"/>
          <w:color w:val="auto"/>
        </w:rPr>
      </w:pPr>
      <w:r>
        <w:rPr>
          <w:rFonts w:ascii="Courier New" w:cs="Courier New" w:eastAsia="Courier New" w:hAnsi="Courier New"/>
          <w:sz w:val="18"/>
          <w:szCs w:val="18"/>
          <w:color w:val="auto"/>
        </w:rPr>
        <w:t>SCHEDULE III</w:t>
      </w:r>
    </w:p>
    <w:p>
      <w:pPr>
        <w:spacing w:after="0" w:line="201"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List of Persons Subject to Lock-Up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J. Guttman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C. Wood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Larry E. Finger</w:t>
      </w:r>
    </w:p>
    <w:p>
      <w:pPr>
        <w:sectPr>
          <w:pgSz w:w="11900" w:h="16838" w:orient="portrait"/>
          <w:cols w:equalWidth="0" w:num="1">
            <w:col w:w="10219"/>
          </w:cols>
          <w:pgMar w:left="240" w:top="717" w:right="1440" w:bottom="1440" w:gutter="0" w:footer="0" w:header="0"/>
        </w:sectPr>
      </w:pPr>
    </w:p>
    <w:bookmarkStart w:id="35" w:name="page36"/>
    <w:bookmarkEnd w:id="35"/>
    <w:p>
      <w:pPr>
        <w:ind w:left="7600"/>
        <w:spacing w:after="0"/>
        <w:rPr>
          <w:sz w:val="20"/>
          <w:szCs w:val="20"/>
          <w:color w:val="auto"/>
        </w:rPr>
      </w:pPr>
      <w:r>
        <w:rPr>
          <w:rFonts w:ascii="Courier New" w:cs="Courier New" w:eastAsia="Courier New" w:hAnsi="Courier New"/>
          <w:sz w:val="16"/>
          <w:szCs w:val="16"/>
          <w:color w:val="auto"/>
        </w:rPr>
        <w:t>ANNEX II</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Section 7(e) of the Underwriting Agreement, Arthur Andersen LLP shall furnish letters to the Underwriters to the effect that (it being understood that Arthur Andersen LLP shall not be required to address any periods prior to April 1, 1999):</w:t>
      </w:r>
    </w:p>
    <w:p>
      <w:pPr>
        <w:spacing w:after="0" w:line="207" w:lineRule="exact"/>
        <w:rPr>
          <w:sz w:val="20"/>
          <w:szCs w:val="20"/>
          <w:color w:val="auto"/>
        </w:rPr>
      </w:pPr>
    </w:p>
    <w:p>
      <w:pPr>
        <w:ind w:left="540" w:right="1779" w:firstLine="521"/>
        <w:spacing w:after="0" w:line="236"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independent certified public accountants with respect to the Company and its subsidiaries within the meaning of the Act and the applicable published rules and regulations thereunder;</w:t>
      </w:r>
    </w:p>
    <w:p>
      <w:pPr>
        <w:spacing w:after="0" w:line="208" w:lineRule="exact"/>
        <w:rPr>
          <w:rFonts w:ascii="Courier New" w:cs="Courier New" w:eastAsia="Courier New" w:hAnsi="Courier New"/>
          <w:sz w:val="18"/>
          <w:szCs w:val="18"/>
          <w:color w:val="auto"/>
        </w:rPr>
      </w:pPr>
    </w:p>
    <w:p>
      <w:pPr>
        <w:ind w:left="540" w:right="1779" w:firstLine="521"/>
        <w:spacing w:after="0" w:line="270" w:lineRule="auto"/>
        <w:tabs>
          <w:tab w:leader="none" w:pos="15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representatives of the Underwriters (the "Representatives");</w:t>
      </w:r>
    </w:p>
    <w:p>
      <w:pPr>
        <w:spacing w:after="0" w:line="386" w:lineRule="exact"/>
        <w:rPr>
          <w:rFonts w:ascii="Courier New" w:cs="Courier New" w:eastAsia="Courier New" w:hAnsi="Courier New"/>
          <w:sz w:val="16"/>
          <w:szCs w:val="16"/>
          <w:color w:val="auto"/>
        </w:rPr>
      </w:pPr>
    </w:p>
    <w:p>
      <w:pPr>
        <w:ind w:left="540" w:right="1779" w:firstLine="521"/>
        <w:spacing w:after="0" w:line="269" w:lineRule="auto"/>
        <w:tabs>
          <w:tab w:leader="none" w:pos="15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 condensed consolidated financial statements referred to in paragraph (6)(a)(i)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395"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w:t>
      </w:r>
    </w:p>
    <w:p>
      <w:pPr>
        <w:sectPr>
          <w:pgSz w:w="11900" w:h="16838" w:orient="portrait"/>
          <w:cols w:equalWidth="0" w:num="1">
            <w:col w:w="10219"/>
          </w:cols>
          <w:pgMar w:left="240" w:top="723" w:right="1440" w:bottom="1440" w:gutter="0" w:footer="0" w:header="0"/>
        </w:sectPr>
      </w:pPr>
    </w:p>
    <w:bookmarkStart w:id="36" w:name="page37"/>
    <w:bookmarkEnd w:id="36"/>
    <w:p>
      <w:pPr>
        <w:ind w:right="1999"/>
        <w:spacing w:after="0" w:line="235" w:lineRule="auto"/>
        <w:rPr>
          <w:sz w:val="20"/>
          <w:szCs w:val="20"/>
          <w:color w:val="auto"/>
        </w:rPr>
      </w:pPr>
      <w:r>
        <w:rPr>
          <w:rFonts w:ascii="Courier New" w:cs="Courier New" w:eastAsia="Courier New" w:hAnsi="Courier New"/>
          <w:sz w:val="18"/>
          <w:szCs w:val="18"/>
          <w:color w:val="auto"/>
        </w:rPr>
        <w:t>or incorporated by reference in the Company's Annual Reports on Form 10-K for such fiscal years;</w:t>
      </w:r>
    </w:p>
    <w:p>
      <w:pPr>
        <w:spacing w:after="0" w:line="208" w:lineRule="exact"/>
        <w:rPr>
          <w:sz w:val="20"/>
          <w:szCs w:val="20"/>
          <w:color w:val="auto"/>
        </w:rPr>
      </w:pPr>
    </w:p>
    <w:p>
      <w:pPr>
        <w:ind w:right="1779" w:firstLine="521"/>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compared the information in the Prospectus under selected captions with the disclosure requirements of Regulation S-K and on the basis of limited procedures specified in such letter nothing came to their attention as a result to the foregoing procedures that caused them to believe that this information does not conform in all material respects with the disclosure requirements of Items 301, 302, 402 and 503(d), respectively, of Regulation S-K;</w:t>
      </w:r>
    </w:p>
    <w:p>
      <w:pPr>
        <w:spacing w:after="0" w:line="211"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215" w:lineRule="exact"/>
        <w:rPr>
          <w:rFonts w:ascii="Courier New" w:cs="Courier New" w:eastAsia="Courier New" w:hAnsi="Courier New"/>
          <w:sz w:val="18"/>
          <w:szCs w:val="18"/>
          <w:color w:val="auto"/>
        </w:rPr>
      </w:pPr>
    </w:p>
    <w:p>
      <w:pPr>
        <w:ind w:left="520" w:right="1779" w:firstLine="423"/>
        <w:spacing w:after="0" w:line="238" w:lineRule="auto"/>
        <w:tabs>
          <w:tab w:leader="none" w:pos="157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201" w:lineRule="exact"/>
        <w:rPr>
          <w:rFonts w:ascii="Courier New" w:cs="Courier New" w:eastAsia="Courier New" w:hAnsi="Courier New"/>
          <w:sz w:val="18"/>
          <w:szCs w:val="18"/>
          <w:color w:val="auto"/>
        </w:rPr>
      </w:pPr>
    </w:p>
    <w:p>
      <w:pPr>
        <w:ind w:left="1580" w:hanging="637"/>
        <w:spacing w:after="0"/>
        <w:tabs>
          <w:tab w:leader="none" w:pos="15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unaudited income statement data and balance</w:t>
      </w:r>
    </w:p>
    <w:p>
      <w:pPr>
        <w:spacing w:after="0" w:line="4"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212" w:lineRule="exact"/>
        <w:rPr>
          <w:sz w:val="20"/>
          <w:szCs w:val="20"/>
          <w:color w:val="auto"/>
        </w:rPr>
      </w:pPr>
    </w:p>
    <w:p>
      <w:pPr>
        <w:ind w:left="520" w:right="1879" w:firstLine="423"/>
        <w:spacing w:after="0" w:line="271" w:lineRule="auto"/>
        <w:tabs>
          <w:tab w:leader="none" w:pos="157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679"/>
          </w:cols>
          <w:pgMar w:left="780" w:top="723" w:right="1440" w:bottom="1440" w:gutter="0" w:footer="0" w:header="0"/>
        </w:sectPr>
      </w:pPr>
    </w:p>
    <w:bookmarkStart w:id="37" w:name="page38"/>
    <w:bookmarkEnd w:id="37"/>
    <w:p>
      <w:pPr>
        <w:ind w:left="-1" w:right="1779" w:firstLine="423"/>
        <w:spacing w:after="0" w:line="237" w:lineRule="auto"/>
        <w:tabs>
          <w:tab w:leader="none" w:pos="1052"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211" w:lineRule="exact"/>
        <w:rPr>
          <w:rFonts w:ascii="Courier New" w:cs="Courier New" w:eastAsia="Courier New" w:hAnsi="Courier New"/>
          <w:sz w:val="18"/>
          <w:szCs w:val="18"/>
          <w:color w:val="auto"/>
        </w:rPr>
      </w:pPr>
    </w:p>
    <w:p>
      <w:pPr>
        <w:ind w:left="-1" w:right="1779" w:firstLine="423"/>
        <w:spacing w:after="0" w:line="270" w:lineRule="auto"/>
        <w:tabs>
          <w:tab w:leader="none" w:pos="1052"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three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or any decreases in consolidated net current assets or net assets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386" w:lineRule="exact"/>
        <w:rPr>
          <w:rFonts w:ascii="Courier New" w:cs="Courier New" w:eastAsia="Courier New" w:hAnsi="Courier New"/>
          <w:sz w:val="16"/>
          <w:szCs w:val="16"/>
          <w:color w:val="auto"/>
        </w:rPr>
      </w:pPr>
    </w:p>
    <w:p>
      <w:pPr>
        <w:ind w:left="-1" w:right="1879" w:firstLine="423"/>
        <w:spacing w:after="0" w:line="270" w:lineRule="auto"/>
        <w:tabs>
          <w:tab w:leader="none" w:pos="1052"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Prospectus to the specified date referred to in clause (e) there were any decreases in revenue, or in income before gain on sale of real estate and extraordinary items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390" w:lineRule="exact"/>
        <w:rPr>
          <w:rFonts w:ascii="Courier New" w:cs="Courier New" w:eastAsia="Courier New" w:hAnsi="Courier New"/>
          <w:sz w:val="16"/>
          <w:szCs w:val="16"/>
          <w:color w:val="auto"/>
        </w:rPr>
      </w:pPr>
    </w:p>
    <w:p>
      <w:pPr>
        <w:ind w:left="-521" w:right="1779" w:firstLine="521"/>
        <w:spacing w:after="0" w:line="270" w:lineRule="auto"/>
        <w:tabs>
          <w:tab w:leader="none" w:pos="42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audit referred to in their reports included or incorporated by reference in the Prospectus and the limited procedures, inspection of minute books, inquiries and other procedures referred to in paragraphs (3) and (4)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381"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158"/>
          </w:cols>
          <w:pgMar w:left="1301" w:top="723" w:right="1440" w:bottom="1440" w:gutter="0" w:footer="0" w:header="0"/>
        </w:sectPr>
      </w:pPr>
    </w:p>
    <w:bookmarkStart w:id="38" w:name="page39"/>
    <w:bookmarkEnd w:id="38"/>
    <w:p>
      <w:pPr>
        <w:ind w:right="1779" w:firstLine="527"/>
        <w:spacing w:after="0" w:line="271" w:lineRule="auto"/>
        <w:rPr>
          <w:sz w:val="20"/>
          <w:szCs w:val="20"/>
          <w:color w:val="auto"/>
        </w:rPr>
      </w:pPr>
      <w:r>
        <w:rPr>
          <w:rFonts w:ascii="Courier New" w:cs="Courier New" w:eastAsia="Courier New" w:hAnsi="Courier New"/>
          <w:sz w:val="16"/>
          <w:szCs w:val="16"/>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Shares for purposes of the letter delivered at the Time of Delivery for such Designated Shares.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ANNEX III</w:t>
            </w:r>
          </w:p>
        </w:tc>
      </w:tr>
      <w:tr>
        <w:trPr>
          <w:trHeight w:val="405"/>
        </w:trPr>
        <w:tc>
          <w:tcPr>
            <w:tcW w:w="5480" w:type="dxa"/>
            <w:vAlign w:val="bottom"/>
          </w:tcPr>
          <w:p>
            <w:pPr>
              <w:spacing w:after="0"/>
              <w:rPr>
                <w:sz w:val="24"/>
                <w:szCs w:val="24"/>
                <w:color w:val="auto"/>
              </w:rPr>
            </w:pPr>
          </w:p>
        </w:tc>
        <w:tc>
          <w:tcPr>
            <w:tcW w:w="31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Company's Direct or</w:t>
            </w:r>
          </w:p>
        </w:tc>
      </w:tr>
      <w:tr>
        <w:trPr>
          <w:trHeight w:val="203"/>
        </w:trPr>
        <w:tc>
          <w:tcPr>
            <w:tcW w:w="5480" w:type="dxa"/>
            <w:vAlign w:val="bottom"/>
          </w:tcPr>
          <w:p>
            <w:pPr>
              <w:spacing w:after="0"/>
              <w:rPr>
                <w:sz w:val="17"/>
                <w:szCs w:val="17"/>
                <w:color w:val="auto"/>
              </w:rPr>
            </w:pPr>
          </w:p>
        </w:tc>
        <w:tc>
          <w:tcPr>
            <w:tcW w:w="31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Indirect Ownership</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INVESTMENT TRUST</w:t>
            </w:r>
          </w:p>
        </w:tc>
        <w:tc>
          <w:tcPr>
            <w:tcW w:w="640" w:type="dxa"/>
            <w:vAlign w:val="bottom"/>
          </w:tcPr>
          <w:p>
            <w:pPr>
              <w:spacing w:after="0"/>
              <w:rPr>
                <w:sz w:val="17"/>
                <w:szCs w:val="17"/>
                <w:color w:val="auto"/>
              </w:rPr>
            </w:pPr>
          </w:p>
        </w:tc>
        <w:tc>
          <w:tcPr>
            <w:tcW w:w="252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Interest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FR Associates Limited Partnership ("FR")</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Andorra Associates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 FR)</w:t>
            </w:r>
          </w:p>
        </w:tc>
        <w:tc>
          <w:tcPr>
            <w:tcW w:w="17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Governor Plaza Associates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 FR)</w:t>
            </w:r>
          </w:p>
        </w:tc>
        <w:tc>
          <w:tcPr>
            <w:tcW w:w="17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Shopping Center Associates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 FR)</w:t>
            </w:r>
          </w:p>
        </w:tc>
        <w:tc>
          <w:tcPr>
            <w:tcW w:w="17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Berman Enterprises II Limited Partnership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 FR)</w:t>
            </w: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FRIT Escondido Promenade, LLC</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FRIT Leasing &amp; Development Services, Inc.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Congressional Plaza Associates</w:t>
            </w: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55.7065%</w:t>
            </w: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FR Pike 7 Limited Partnership (DownREIT)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Partners L. P. (Master DownREIT-</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576,669 units outstanding - 164,952</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40 units (FedRP Inc.)</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units have been redeemed)</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40 units (FRLP Inc.)</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Partners, Inc.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Loehmann's Plaza Limited Partnership (Down</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REIT - 250,000 units outstanding)</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60,000 units (FedRP Inc.)</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FRLP, Inc.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FR Leesburg Plaza, LLC</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100%</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FR Leesburg Plaza, LP (DownREIT-352,500 total</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units issued - 7,816 units have been redeemed)</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214,500 units (LLC)</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FRIT Property Services, Inc. (f/k/a Terranomics</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Retail Services, Inc. f/k/a TRS Acquisition, Inc.)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nonvoting stock</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Ravenswood Development Services, Inc.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nonvoting stock</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Management Services, Inc.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FR Federal Plaza, Inc.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FR Federal Plaza, LLC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(FedPlaza Inc.)</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Inc.</w:t>
            </w: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 voting stock</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STREET RETAIL, INC. ("SRI")</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SRI Old Town, LLC</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100%</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Forest Hills I, LLC</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100%</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Forest Hills II, LLC</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100%</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Tempe I, LLC</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85%</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Retail West GP, Inc. ("SRWGP")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100%</w:t>
            </w: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voting stock</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Street Retail West I, L.P.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17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SRI)</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Street Retail West II, L.P.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17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SRI)</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Street Retail West 3, L.P.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17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SRI)</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Street Retail West 4, L.P.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Street Retail West 6, L.P.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Street Retail West 7, L.P.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Street Retail West 10, L.P.</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gridSpan w:val="2"/>
          </w:tcPr>
          <w:p>
            <w:pPr>
              <w:spacing w:after="0"/>
              <w:rPr>
                <w:sz w:val="20"/>
                <w:szCs w:val="20"/>
                <w:color w:val="auto"/>
              </w:rPr>
            </w:pPr>
            <w:r>
              <w:rPr>
                <w:rFonts w:ascii="Courier New" w:cs="Courier New" w:eastAsia="Courier New" w:hAnsi="Courier New"/>
                <w:sz w:val="18"/>
                <w:szCs w:val="18"/>
                <w:color w:val="auto"/>
              </w:rPr>
              <w:t>Street Retail San Antonio, LP</w:t>
            </w:r>
          </w:p>
        </w:tc>
        <w:tc>
          <w:tcPr>
            <w:tcW w:w="3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 (SRI San Anton)</w:t>
            </w:r>
          </w:p>
        </w:tc>
      </w:tr>
      <w:tr>
        <w:trPr>
          <w:trHeight w:val="203"/>
        </w:trPr>
        <w:tc>
          <w:tcPr>
            <w:tcW w:w="12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99.9% (SRI Texas)</w:t>
            </w:r>
          </w:p>
        </w:tc>
      </w:tr>
      <w:tr>
        <w:trPr>
          <w:trHeight w:val="203"/>
        </w:trPr>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SRI San Antonio, Inc. (f/k/a Dim Sum, Inc.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 stock</w:t>
            </w:r>
          </w:p>
        </w:tc>
      </w:tr>
      <w:tr>
        <w:trPr>
          <w:trHeight w:val="203"/>
        </w:trPr>
        <w:tc>
          <w:tcPr>
            <w:tcW w:w="51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f/k/a FR Acquisition Holding Co., Inc.)</w:t>
            </w:r>
          </w:p>
        </w:tc>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SRI Texas, Inc.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 stock</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JS&amp;DB, Inc.</w:t>
            </w:r>
          </w:p>
        </w:tc>
        <w:tc>
          <w:tcPr>
            <w:tcW w:w="3940" w:type="dxa"/>
            <w:vAlign w:val="bottom"/>
          </w:tcPr>
          <w:p>
            <w:pPr>
              <w:spacing w:after="0"/>
              <w:rPr>
                <w:sz w:val="17"/>
                <w:szCs w:val="17"/>
                <w:color w:val="auto"/>
              </w:rPr>
            </w:pP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 stock</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SRI Holding</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Inc.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nonvoting stock</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Street</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Retail West 9, L.P.</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(SRI Holding)</w:t>
            </w:r>
          </w:p>
        </w:tc>
      </w:tr>
      <w:tr>
        <w:trPr>
          <w:trHeight w:val="203"/>
        </w:trPr>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FRIT San Jose Town and Country Village, LLC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220" w:type="dxa"/>
            <w:vAlign w:val="bottom"/>
          </w:tcPr>
          <w:p>
            <w:pPr>
              <w:spacing w:after="0"/>
              <w:rPr>
                <w:sz w:val="17"/>
                <w:szCs w:val="17"/>
                <w:color w:val="auto"/>
              </w:rPr>
            </w:pPr>
          </w:p>
        </w:tc>
      </w:tr>
      <w:tr>
        <w:trPr>
          <w:trHeight w:val="203"/>
        </w:trPr>
        <w:tc>
          <w:tcPr>
            <w:tcW w:w="51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San Jose Residential, Inc.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nonvoting stock (LLC)</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Santana Row</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Services, Inc.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Santana Row</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ROF, Inc.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voting</w:t>
            </w:r>
          </w:p>
        </w:tc>
      </w:tr>
      <w:tr>
        <w:trPr>
          <w:trHeight w:val="203"/>
        </w:trPr>
        <w:tc>
          <w:tcPr>
            <w:tcW w:w="51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La Rive Gauche San Jose, LLC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37.5%</w:t>
            </w:r>
          </w:p>
        </w:tc>
        <w:tc>
          <w:tcPr>
            <w:tcW w:w="2220" w:type="dxa"/>
            <w:vAlign w:val="bottom"/>
          </w:tcPr>
          <w:p>
            <w:pPr>
              <w:spacing w:after="0"/>
              <w:rPr>
                <w:sz w:val="17"/>
                <w:szCs w:val="17"/>
                <w:color w:val="auto"/>
              </w:rPr>
            </w:pPr>
          </w:p>
        </w:tc>
      </w:tr>
      <w:tr>
        <w:trPr>
          <w:trHeight w:val="203"/>
        </w:trPr>
        <w:tc>
          <w:tcPr>
            <w:tcW w:w="51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Straits Santana Row, LLC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90%</w:t>
            </w:r>
          </w:p>
        </w:tc>
        <w:tc>
          <w:tcPr>
            <w:tcW w:w="2220" w:type="dxa"/>
            <w:vAlign w:val="bottom"/>
          </w:tcPr>
          <w:p>
            <w:pPr>
              <w:spacing w:after="0"/>
              <w:rPr>
                <w:sz w:val="17"/>
                <w:szCs w:val="17"/>
                <w:color w:val="auto"/>
              </w:rPr>
            </w:pPr>
          </w:p>
        </w:tc>
      </w:tr>
      <w:tr>
        <w:trPr>
          <w:trHeight w:val="203"/>
        </w:trPr>
        <w:tc>
          <w:tcPr>
            <w:tcW w:w="51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Blowfish SR, LLC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30%</w:t>
            </w:r>
          </w:p>
        </w:tc>
        <w:tc>
          <w:tcPr>
            <w:tcW w:w="2220" w:type="dxa"/>
            <w:vAlign w:val="bottom"/>
          </w:tcPr>
          <w:p>
            <w:pPr>
              <w:spacing w:after="0"/>
              <w:rPr>
                <w:sz w:val="17"/>
                <w:szCs w:val="17"/>
                <w:color w:val="auto"/>
              </w:rPr>
            </w:pPr>
          </w:p>
        </w:tc>
      </w:tr>
      <w:tr>
        <w:trPr>
          <w:trHeight w:val="203"/>
        </w:trPr>
        <w:tc>
          <w:tcPr>
            <w:tcW w:w="51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Village Cafe Santana Row, LLC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48.3%</w:t>
            </w:r>
          </w:p>
        </w:tc>
        <w:tc>
          <w:tcPr>
            <w:tcW w:w="2220" w:type="dxa"/>
            <w:vAlign w:val="bottom"/>
          </w:tcPr>
          <w:p>
            <w:pPr>
              <w:spacing w:after="0"/>
              <w:rPr>
                <w:sz w:val="17"/>
                <w:szCs w:val="17"/>
                <w:color w:val="auto"/>
              </w:rPr>
            </w:pP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Yankee</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Pier Santana Row, LLC</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75%</w:t>
            </w:r>
          </w:p>
        </w:tc>
        <w:tc>
          <w:tcPr>
            <w:tcW w:w="22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Santana Row</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Association, a California non-profit mutual benefit corporation</w:t>
            </w:r>
          </w:p>
        </w:tc>
      </w:tr>
      <w:tr>
        <w:trPr>
          <w:trHeight w:val="405"/>
        </w:trPr>
        <w:tc>
          <w:tcPr>
            <w:tcW w:w="1220" w:type="dxa"/>
            <w:vAlign w:val="bottom"/>
          </w:tcPr>
          <w:p>
            <w:pPr>
              <w:spacing w:after="0"/>
              <w:rPr>
                <w:sz w:val="24"/>
                <w:szCs w:val="24"/>
                <w:color w:val="auto"/>
              </w:rPr>
            </w:pPr>
          </w:p>
        </w:tc>
        <w:tc>
          <w:tcPr>
            <w:tcW w:w="3940" w:type="dxa"/>
            <w:vAlign w:val="bottom"/>
          </w:tcPr>
          <w:p>
            <w:pPr>
              <w:ind w:left="2800"/>
              <w:spacing w:after="0"/>
              <w:rPr>
                <w:sz w:val="20"/>
                <w:szCs w:val="20"/>
                <w:color w:val="auto"/>
              </w:rPr>
            </w:pPr>
            <w:r>
              <w:rPr>
                <w:rFonts w:ascii="Courier New" w:cs="Courier New" w:eastAsia="Courier New" w:hAnsi="Courier New"/>
                <w:sz w:val="18"/>
                <w:szCs w:val="18"/>
                <w:color w:val="auto"/>
              </w:rPr>
              <w:t>IV-2</w:t>
            </w: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0219"/>
          </w:cols>
          <w:pgMar w:left="240" w:top="920"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ANNEX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Lock-Up Agreement]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2540"/>
        <w:spacing w:after="0" w:line="238" w:lineRule="auto"/>
        <w:rPr>
          <w:sz w:val="20"/>
          <w:szCs w:val="20"/>
          <w:color w:val="auto"/>
        </w:rPr>
      </w:pPr>
      <w:r>
        <w:rPr>
          <w:rFonts w:ascii="Courier New" w:cs="Courier New" w:eastAsia="Courier New" w:hAnsi="Courier New"/>
          <w:sz w:val="18"/>
          <w:szCs w:val="18"/>
          <w:color w:val="auto"/>
        </w:rPr>
        <w:t>Public Offering of Common Shares</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38" w:lineRule="auto"/>
        <w:rPr>
          <w:sz w:val="20"/>
          <w:szCs w:val="20"/>
          <w:color w:val="auto"/>
        </w:rPr>
      </w:pPr>
      <w:r>
        <w:rPr>
          <w:rFonts w:ascii="Courier New" w:cs="Courier New" w:eastAsia="Courier New" w:hAnsi="Courier New"/>
          <w:sz w:val="18"/>
          <w:szCs w:val="18"/>
          <w:color w:val="auto"/>
        </w:rPr>
        <w:t>As Representative of the several Underwriters</w:t>
      </w:r>
    </w:p>
    <w:p>
      <w:pPr>
        <w:ind w:left="960"/>
        <w:spacing w:after="0"/>
        <w:rPr>
          <w:sz w:val="20"/>
          <w:szCs w:val="20"/>
          <w:color w:val="auto"/>
        </w:rPr>
      </w:pPr>
      <w:r>
        <w:rPr>
          <w:rFonts w:ascii="Courier New" w:cs="Courier New" w:eastAsia="Courier New" w:hAnsi="Courier New"/>
          <w:sz w:val="18"/>
          <w:szCs w:val="18"/>
          <w:color w:val="auto"/>
        </w:rPr>
        <w:t>c/o First Union Securities, Inc.</w:t>
      </w:r>
    </w:p>
    <w:p>
      <w:pPr>
        <w:ind w:left="960"/>
        <w:spacing w:after="0" w:line="237" w:lineRule="auto"/>
        <w:rPr>
          <w:sz w:val="20"/>
          <w:szCs w:val="20"/>
          <w:color w:val="auto"/>
        </w:rPr>
      </w:pPr>
      <w:r>
        <w:rPr>
          <w:rFonts w:ascii="Courier New" w:cs="Courier New" w:eastAsia="Courier New" w:hAnsi="Courier New"/>
          <w:sz w:val="18"/>
          <w:szCs w:val="18"/>
          <w:color w:val="auto"/>
        </w:rPr>
        <w:t>7 St. Paul Street</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Baltimore, MD</w:t>
      </w:r>
      <w:r>
        <w:rPr>
          <w:sz w:val="20"/>
          <w:szCs w:val="20"/>
          <w:color w:val="auto"/>
        </w:rPr>
        <w:tab/>
      </w:r>
      <w:r>
        <w:rPr>
          <w:rFonts w:ascii="Courier New" w:cs="Courier New" w:eastAsia="Courier New" w:hAnsi="Courier New"/>
          <w:sz w:val="16"/>
          <w:szCs w:val="16"/>
          <w:color w:val="auto"/>
        </w:rPr>
        <w:t>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This letter is being delivered to you in connection with the proposed Pricing Agreement dated as of June 6, 2002 (the "Agreement"), between Federal</w:t>
      </w:r>
    </w:p>
    <w:tbl>
      <w:tblPr>
        <w:tblLayout w:type="fixed"/>
        <w:tblInd w:w="0" w:type="dxa"/>
        <w:tblCellMar>
          <w:top w:w="0" w:type="dxa"/>
          <w:left w:w="0" w:type="dxa"/>
          <w:bottom w:w="0" w:type="dxa"/>
          <w:right w:w="0" w:type="dxa"/>
        </w:tblCellMar>
      </w:tblPr>
      <w:tr>
        <w:trPr>
          <w:trHeight w:val="199"/>
        </w:trPr>
        <w:tc>
          <w:tcPr>
            <w:tcW w:w="370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7"/>
              </w:rPr>
              <w:t>Realty Investment Trust, a Maryland</w:t>
            </w:r>
          </w:p>
        </w:tc>
        <w:tc>
          <w:tcPr>
            <w:tcW w:w="1320" w:type="dxa"/>
            <w:vAlign w:val="bottom"/>
            <w:gridSpan w:val="2"/>
          </w:tcPr>
          <w:p>
            <w:pPr>
              <w:ind w:left="100"/>
              <w:spacing w:after="0" w:line="198" w:lineRule="exact"/>
              <w:rPr>
                <w:sz w:val="20"/>
                <w:szCs w:val="20"/>
                <w:color w:val="auto"/>
              </w:rPr>
            </w:pPr>
            <w:r>
              <w:rPr>
                <w:rFonts w:ascii="Courier New" w:cs="Courier New" w:eastAsia="Courier New" w:hAnsi="Courier New"/>
                <w:sz w:val="18"/>
                <w:szCs w:val="18"/>
                <w:color w:val="auto"/>
              </w:rPr>
              <w:t>real estate</w:t>
            </w:r>
          </w:p>
        </w:tc>
        <w:tc>
          <w:tcPr>
            <w:tcW w:w="1780" w:type="dxa"/>
            <w:vAlign w:val="bottom"/>
            <w:gridSpan w:val="3"/>
          </w:tcPr>
          <w:p>
            <w:pPr>
              <w:jc w:val="right"/>
              <w:spacing w:after="0" w:line="198" w:lineRule="exact"/>
              <w:rPr>
                <w:sz w:val="20"/>
                <w:szCs w:val="20"/>
                <w:color w:val="auto"/>
              </w:rPr>
            </w:pPr>
            <w:r>
              <w:rPr>
                <w:rFonts w:ascii="Courier New" w:cs="Courier New" w:eastAsia="Courier New" w:hAnsi="Courier New"/>
                <w:sz w:val="18"/>
                <w:szCs w:val="18"/>
                <w:color w:val="auto"/>
                <w:w w:val="98"/>
              </w:rPr>
              <w:t>investment trust</w:t>
            </w:r>
          </w:p>
        </w:tc>
        <w:tc>
          <w:tcPr>
            <w:tcW w:w="1220" w:type="dxa"/>
            <w:vAlign w:val="bottom"/>
          </w:tcPr>
          <w:p>
            <w:pPr>
              <w:jc w:val="right"/>
              <w:ind w:right="652"/>
              <w:spacing w:after="0" w:line="198" w:lineRule="exact"/>
              <w:rPr>
                <w:sz w:val="20"/>
                <w:szCs w:val="20"/>
                <w:color w:val="auto"/>
              </w:rPr>
            </w:pPr>
            <w:r>
              <w:rPr>
                <w:rFonts w:ascii="Courier New" w:cs="Courier New" w:eastAsia="Courier New" w:hAnsi="Courier New"/>
                <w:sz w:val="18"/>
                <w:szCs w:val="18"/>
                <w:color w:val="auto"/>
              </w:rPr>
              <w:t>(the</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"Company"), and you, relating to an</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underwritten public</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Company's common shares</w:t>
            </w:r>
          </w:p>
        </w:tc>
        <w:tc>
          <w:tcPr>
            <w:tcW w:w="2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of beneficial interest,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par value</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$0.01 (the "Common</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 [Note: If the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Designated</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 are</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Preferred</w:t>
            </w:r>
          </w:p>
        </w:tc>
        <w:tc>
          <w:tcPr>
            <w:tcW w:w="216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Shares, change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references from "Common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to</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"Preferred</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Shares", as</w:t>
            </w: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appropriate.]</w:t>
            </w:r>
          </w:p>
        </w:tc>
      </w:tr>
    </w:tbl>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order to induce you to enter into the Agreement, the undersigned will not, without the prior written consent of First Union Securities, Inc., offer, sell, contract to sell, pledge or otherwise dispose of (or enter into any transaction that is designed to, or might reasonably be expected to, result in the disposition (whether by actual disposition or effective economic disposition due to cash settlement or otherwise) by the undersigned),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shares of capital stock of the Company or any securities convertible into or exercisable or exchangeable for such capital stock, or publicly announce an intention to effect any such transaction, for a period beginning on and including the date of the Agreement through and including the date which is 60 days after the date of the Agreement; provided, however, that nothing contained herein shall prohibit the exercise of stock options by the undersigned under the Company's stock option plans for employees or trustees or other purchases by the undersigned of shares of capital stock of the Company or any securities convertible into or exercisable or exchangeable for such capital stock under the Company's stock purchase plan for employees or</w:t>
      </w:r>
    </w:p>
    <w:p>
      <w:pPr>
        <w:sectPr>
          <w:pgSz w:w="11900" w:h="16838" w:orient="portrait"/>
          <w:cols w:equalWidth="0" w:num="1">
            <w:col w:w="10219"/>
          </w:cols>
          <w:pgMar w:left="240" w:top="717" w:right="1440" w:bottom="1440" w:gutter="0" w:footer="0" w:header="0"/>
        </w:sectPr>
      </w:pPr>
    </w:p>
    <w:bookmarkStart w:id="42" w:name="page43"/>
    <w:bookmarkEnd w:id="42"/>
    <w:p>
      <w:pPr>
        <w:ind w:right="1779"/>
        <w:spacing w:after="0" w:line="269" w:lineRule="auto"/>
        <w:rPr>
          <w:sz w:val="20"/>
          <w:szCs w:val="20"/>
          <w:color w:val="auto"/>
        </w:rPr>
      </w:pPr>
      <w:r>
        <w:rPr>
          <w:rFonts w:ascii="Courier New" w:cs="Courier New" w:eastAsia="Courier New" w:hAnsi="Courier New"/>
          <w:sz w:val="16"/>
          <w:szCs w:val="16"/>
          <w:color w:val="auto"/>
        </w:rPr>
        <w:t>trustees, in each case as such plans are in effect on the date of the Agreement (provided that the undersigned understands and agrees that any and all shares of capital stock of the Company and securities convertible into or exercisable or exchangeable for such capital stock that the undersigned acquires upon the exercise of stock options or purchases under the Company's stock purchase plan for employees or trustees shall be subject to the terms and provisions of this Agreement and, without limitation to the foregoing, the undersigned further understands and agrees that the undersigned will not transfer, sell or otherwise dispose of, directly or indirectly (including, without limitation, through a broker or dealer), any shares of capital stock of the Company or any securities convertible into or exercisable or exchangeable for such capital stock in payment of all or any portion of the exercise price of any such stock options exercised by the undersigned under any such stock option plans or in payment of all or any portion of the purchase price of any such shares of such capital stock or other securities purchased by the undersigned under any such stock purchase plans or otherwise effect a so-called "cashless" exercise or purchase); and provided, further, however, that the undersigned may donate any shares of capital stock of the Company or any securities convertible into or exercisable or exchangeable for such capital stock to members of the undersigned's immediate family, to a trust the beneficiaries of which are exclusively the undersigned or members of the undersigned's immediate family or to charitable or educational organizations without the prior written consent of First Union Securities, Inc. if, in each case (i) such donation is a bona fide gift, (ii) the undersigned provides written notice of such gift to First Union Securities, Inc. no later than three business days prior to such gift, and (iii) the donee executes and delivers to First Union Securities, Inc., prior to or contemporaneously with such gift, a letter agreement, in form and substance reasonably satisfactory to First Union Securities, Inc., in substantially the form of this letter agreement. [Note: any such letter executed by a donee who receives shares from Mr. Steven J. Guttman shall omit following paragraph] For purposes of this paragraph, "immediate family" shall mean a spouse, lineal descendent, father, mother, brother or sister of the transferor.</w:t>
      </w:r>
    </w:p>
    <w:p>
      <w:pPr>
        <w:spacing w:after="0" w:line="200" w:lineRule="exact"/>
        <w:rPr>
          <w:sz w:val="20"/>
          <w:szCs w:val="20"/>
          <w:color w:val="auto"/>
        </w:rPr>
      </w:pPr>
    </w:p>
    <w:p>
      <w:pPr>
        <w:spacing w:after="0" w:line="39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paragraph to be included only in the lock-up agreement dated on or about June., 2002 signed by Mr. Steven J. Guttman.] Notwithstanding the provisions of the immediately preceding paragraph, the undersigned may, at any time beginning on and including the 31st day after the date of the Agreement, acquire up to 200,000 Common Shares (the "Acquired Shares") upon the exercise of stock options held by the undersigned under the Company's stock option plans for employees or trustees, as such plans are in effect on the date of this Agreement, and thereafter sell all or a portion of the Acquired Shares as part of a so-called "cashless exercise" or otherwise; provided that anything herein to the contrary notwithstanding, the aggregate number of Common Shares sold by the undersigned shall in no event exceed 200,000 Common Shares.</w:t>
      </w:r>
    </w:p>
    <w:p>
      <w:pPr>
        <w:spacing w:after="0" w:line="216"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If for any reason the Agreement shall be terminated prior to the Time of Delivery (as defined in the Agreement), the agreement set forth above shall likewise be terminated.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Immediately Follows]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IV-2</w:t>
      </w:r>
    </w:p>
    <w:p>
      <w:pPr>
        <w:sectPr>
          <w:pgSz w:w="11900" w:h="16838" w:orient="portrait"/>
          <w:cols w:equalWidth="0" w:num="1">
            <w:col w:w="10219"/>
          </w:cols>
          <w:pgMar w:left="240" w:top="723" w:right="1440" w:bottom="1440" w:gutter="0" w:footer="0" w:header="0"/>
        </w:sectPr>
      </w:pPr>
    </w:p>
    <w:bookmarkStart w:id="43" w:name="page44"/>
    <w:bookmarkEnd w:id="43"/>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and delivered this letter agreement as of the day and year set forth above.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Yours very truly,</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1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Print Name: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IV-3</w:t>
      </w:r>
    </w:p>
    <w:p>
      <w:pPr>
        <w:sectPr>
          <w:pgSz w:w="11900" w:h="16838" w:orient="portrait"/>
          <w:cols w:equalWidth="0" w:num="1">
            <w:col w:w="10219"/>
          </w:cols>
          <w:pgMar w:left="240" w:top="723" w:right="1440" w:bottom="1440" w:gutter="0" w:footer="0" w:header="0"/>
        </w:sectPr>
      </w:pPr>
    </w:p>
    <w:bookmarkStart w:id="44" w:name="page45"/>
    <w:bookmarkEnd w:id="44"/>
    <w:p>
      <w:pPr>
        <w:jc w:val="right"/>
        <w:ind w:right="1779"/>
        <w:spacing w:after="0"/>
        <w:rPr>
          <w:sz w:val="20"/>
          <w:szCs w:val="20"/>
          <w:color w:val="auto"/>
        </w:rPr>
      </w:pPr>
      <w:r>
        <w:rPr>
          <w:rFonts w:ascii="Courier New" w:cs="Courier New" w:eastAsia="Courier New" w:hAnsi="Courier New"/>
          <w:sz w:val="18"/>
          <w:szCs w:val="18"/>
          <w:color w:val="auto"/>
        </w:rPr>
        <w:t>Exhibit 1.2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Pricing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6,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38" w:lineRule="auto"/>
        <w:rPr>
          <w:sz w:val="20"/>
          <w:szCs w:val="20"/>
          <w:color w:val="auto"/>
        </w:rPr>
      </w:pPr>
      <w:r>
        <w:rPr>
          <w:rFonts w:ascii="Courier New" w:cs="Courier New" w:eastAsia="Courier New" w:hAnsi="Courier New"/>
          <w:sz w:val="18"/>
          <w:szCs w:val="18"/>
          <w:color w:val="auto"/>
        </w:rPr>
        <w:t>As representative of the Underwriter named in Schedule I hereto</w:t>
      </w:r>
    </w:p>
    <w:p>
      <w:pPr>
        <w:spacing w:after="0"/>
        <w:rPr>
          <w:sz w:val="20"/>
          <w:szCs w:val="20"/>
          <w:color w:val="auto"/>
        </w:rPr>
      </w:pPr>
      <w:r>
        <w:rPr>
          <w:rFonts w:ascii="Courier New" w:cs="Courier New" w:eastAsia="Courier New" w:hAnsi="Courier New"/>
          <w:sz w:val="18"/>
          <w:szCs w:val="18"/>
          <w:color w:val="auto"/>
        </w:rPr>
        <w:t>7 St. Paul Street</w:t>
      </w:r>
    </w:p>
    <w:p>
      <w:pPr>
        <w:spacing w:after="0" w:line="237" w:lineRule="auto"/>
        <w:rPr>
          <w:sz w:val="20"/>
          <w:szCs w:val="20"/>
          <w:color w:val="auto"/>
        </w:rPr>
      </w:pPr>
      <w:r>
        <w:rPr>
          <w:rFonts w:ascii="Courier New" w:cs="Courier New" w:eastAsia="Courier New" w:hAnsi="Courier New"/>
          <w:sz w:val="18"/>
          <w:szCs w:val="18"/>
          <w:color w:val="auto"/>
        </w:rPr>
        <w:t>Baltimore, Maryland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Federal Realty Investment Trust, a Maryland real estate investment trust (the "Company"), proposes, subject to the terms and conditions stated herein and in the Underwriting Agreement, dated June 6, 2002 (the "Underwriting Agreement"), between the Company on the one hand and First Union Securities, Inc. on the other hand, to issue and sell to the Underwriter named in Schedule I hereto (the "Underwriter")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except that all reference in the Underwriting Agreement to the "Underwriters" (and all similar reference) shall be deemed to refer to the Underwriter, mutatis mutandis;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 herein and to the Representatives in the provisions of the Underwriting Agreement so incorporated by reference shall be deemed to refer to you. Unless otherwise defined herein, terms defined in the Underwriting Agreement are used herein as therein defined. The Representative designated to act on behalf of the Underwriter of the Designated Shares pursuant to Section 12 of the Underwriting Agreement and the address of the Representative referred to in such Section 12 are set forth in Schedule II hereto.</w:t>
      </w:r>
    </w:p>
    <w:p>
      <w:pPr>
        <w:spacing w:after="0" w:line="200" w:lineRule="exact"/>
        <w:rPr>
          <w:sz w:val="20"/>
          <w:szCs w:val="20"/>
          <w:color w:val="auto"/>
        </w:rPr>
      </w:pPr>
    </w:p>
    <w:p>
      <w:pPr>
        <w:spacing w:after="0" w:line="393"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A supplement to the Prospectus relating to the Designated Shares, in the form heretofore delivered to you, is now proposed to be filed with the Commission.</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the terms and conditions set forth herein and in the Underwriting Agreement incorporated herein by reference, the Company agrees to issue and sell to the Underwriter, and the Underwriter agrees to purchase from the Company, at the Time of Delivery and place and at the purchase price to the Underwriter set forth in Schedule II hereto, the number of Initial Shares</w:t>
      </w:r>
    </w:p>
    <w:p>
      <w:pPr>
        <w:sectPr>
          <w:pgSz w:w="11900" w:h="16838" w:orient="portrait"/>
          <w:cols w:equalWidth="0" w:num="1">
            <w:col w:w="10219"/>
          </w:cols>
          <w:pgMar w:left="240" w:top="744" w:right="1440" w:bottom="1440" w:gutter="0" w:footer="0" w:header="0"/>
        </w:sectPr>
      </w:pPr>
    </w:p>
    <w:bookmarkStart w:id="45" w:name="page46"/>
    <w:bookmarkEnd w:id="45"/>
    <w:p>
      <w:pPr>
        <w:ind w:right="2839"/>
        <w:spacing w:after="0" w:line="235" w:lineRule="auto"/>
        <w:rPr>
          <w:sz w:val="20"/>
          <w:szCs w:val="20"/>
          <w:color w:val="auto"/>
        </w:rPr>
      </w:pPr>
      <w:r>
        <w:rPr>
          <w:rFonts w:ascii="Courier New" w:cs="Courier New" w:eastAsia="Courier New" w:hAnsi="Courier New"/>
          <w:sz w:val="18"/>
          <w:szCs w:val="18"/>
          <w:color w:val="auto"/>
        </w:rPr>
        <w:t>(as defined in Schedule II hereto) set forth opposite the name of such Underwriter in Schedule I hereto.</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addition, subject to the terms and conditions set forth herein and in the Underwriting Agreement incorporated herein by reference, the Company hereby grants an option to the Underwriter to purchase up to the number of Option Shares (as defined in Schedule II hereto) specified in Schedule II hereto at the place and purchase price to the Underwriter set forth in Schedule II hereto and at the Option Closing Time specified by the Representative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 to the Company setting forth the number of Option Shares as to which the Underwriter is then exercising the option and the Option Closing Time for such Option Shares. Any such Option Closing Time shall be determined by the Representative but shall not be later than seven full business days after the exercise of such option nor in any event prior to the Time of Delivery. If the option is exercised as to all or any portion of the Option Shares, the Underwriter will be obligated to purchase such number of Option Shares then being purchased, and the Company shall be obligated to issue and sell such Option Shares to the Underwriter, in each case subject to the terms and conditions set forth herein and in the Underwriting Agreement incorporated by reference herein.</w:t>
      </w: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Pricing Agreement shall be governed by and construed in accordance with the laws of the State of New York.</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[REMAINDER OF THIS PAGE INTENTIONALLY LEFT BLANK]</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6" w:name="page47"/>
    <w:bookmarkEnd w:id="46"/>
    <w:p>
      <w:pPr>
        <w:ind w:right="1879"/>
        <w:spacing w:after="0" w:line="237" w:lineRule="auto"/>
        <w:rPr>
          <w:sz w:val="20"/>
          <w:szCs w:val="20"/>
          <w:color w:val="auto"/>
        </w:rPr>
      </w:pPr>
      <w:r>
        <w:rPr>
          <w:rFonts w:ascii="Courier New" w:cs="Courier New" w:eastAsia="Courier New" w:hAnsi="Courier New"/>
          <w:sz w:val="18"/>
          <w:szCs w:val="18"/>
          <w:color w:val="auto"/>
        </w:rPr>
        <w:t>If the foregoing is in accordance with your understanding, please sign and return this Pricing Agreement to us, and upon acceptance hereof by you, on behalf of the Underwriter, this Pricing Agreement and such acceptance hereof, including the provisions of the Underwriting Agreement incorporated herein by reference, shall constitute a binding agreement between the Underwriter and the Company.</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4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Larry E. Finger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Larry E. Finger</w:t>
      </w:r>
    </w:p>
    <w:p>
      <w:pPr>
        <w:ind w:left="3800"/>
        <w:spacing w:after="0" w:line="238" w:lineRule="auto"/>
        <w:rPr>
          <w:sz w:val="20"/>
          <w:szCs w:val="20"/>
          <w:color w:val="auto"/>
        </w:rPr>
      </w:pPr>
      <w:r>
        <w:rPr>
          <w:rFonts w:ascii="Courier New" w:cs="Courier New" w:eastAsia="Courier New" w:hAnsi="Courier New"/>
          <w:sz w:val="18"/>
          <w:szCs w:val="18"/>
          <w:color w:val="auto"/>
        </w:rPr>
        <w:t>Title: Senior Vice President - Chief</w:t>
      </w:r>
    </w:p>
    <w:p>
      <w:pPr>
        <w:ind w:left="4540"/>
        <w:spacing w:after="0"/>
        <w:rPr>
          <w:sz w:val="20"/>
          <w:szCs w:val="20"/>
          <w:color w:val="auto"/>
        </w:rPr>
      </w:pPr>
      <w:r>
        <w:rPr>
          <w:rFonts w:ascii="Courier New" w:cs="Courier New" w:eastAsia="Courier New" w:hAnsi="Courier New"/>
          <w:sz w:val="18"/>
          <w:szCs w:val="18"/>
          <w:color w:val="auto"/>
        </w:rPr>
        <w:t>Financial Officer and Treasurer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 Brit Stephens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4739"/>
        <w:spacing w:after="0"/>
        <w:rPr>
          <w:sz w:val="20"/>
          <w:szCs w:val="20"/>
          <w:color w:val="auto"/>
        </w:rPr>
      </w:pPr>
      <w:r>
        <w:rPr>
          <w:rFonts w:ascii="Courier New" w:cs="Courier New" w:eastAsia="Courier New" w:hAnsi="Courier New"/>
          <w:sz w:val="18"/>
          <w:szCs w:val="18"/>
          <w:color w:val="auto"/>
        </w:rPr>
        <w:t>J. Brit Stephens</w:t>
      </w:r>
    </w:p>
    <w:p>
      <w:pPr>
        <w:ind w:left="860"/>
        <w:spacing w:after="0" w:line="237" w:lineRule="auto"/>
        <w:rPr>
          <w:sz w:val="20"/>
          <w:szCs w:val="20"/>
          <w:color w:val="auto"/>
        </w:rPr>
      </w:pPr>
      <w:r>
        <w:rPr>
          <w:rFonts w:ascii="Courier New" w:cs="Courier New" w:eastAsia="Courier New" w:hAnsi="Courier New"/>
          <w:sz w:val="18"/>
          <w:szCs w:val="18"/>
          <w:color w:val="auto"/>
        </w:rPr>
        <w:t>Managing Director - Equity Syndicate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7" w:name="page48"/>
    <w:bookmarkEnd w:id="47"/>
    <w:p>
      <w:pPr>
        <w:ind w:left="370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Underwriter</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Initial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400" w:space="720"/>
            <w:col w:w="40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Union Securities, Inc.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720" w:space="720"/>
            <w:col w:w="3779"/>
          </w:cols>
          <w:pgMar w:left="240" w:top="723"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Total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720" w:space="720"/>
            <w:col w:w="3779"/>
          </w:cols>
          <w:pgMar w:left="240" w:top="723" w:right="1440" w:bottom="1440" w:gutter="0" w:footer="0" w:header="0"/>
          <w:type w:val="continuous"/>
        </w:sectPr>
      </w:pPr>
    </w:p>
    <w:bookmarkStart w:id="48" w:name="page49"/>
    <w:bookmarkEnd w:id="48"/>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Designated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Designated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Initial Offering Price to Public Per Share for Designated Shares</w:t>
      </w:r>
    </w:p>
    <w:p>
      <w:pPr>
        <w:spacing w:after="0" w:line="170" w:lineRule="exact"/>
        <w:rPr>
          <w:sz w:val="20"/>
          <w:szCs w:val="20"/>
          <w:color w:val="auto"/>
        </w:rPr>
      </w:pPr>
    </w:p>
    <w:p>
      <w:pPr>
        <w:ind w:right="100"/>
        <w:spacing w:after="0" w:line="236" w:lineRule="auto"/>
        <w:rPr>
          <w:sz w:val="20"/>
          <w:szCs w:val="20"/>
          <w:color w:val="auto"/>
        </w:rPr>
      </w:pPr>
      <w:r>
        <w:rPr>
          <w:rFonts w:ascii="Courier New" w:cs="Courier New" w:eastAsia="Courier New" w:hAnsi="Courier New"/>
          <w:sz w:val="18"/>
          <w:szCs w:val="18"/>
          <w:color w:val="auto"/>
        </w:rPr>
        <w:t>Purchase Price per Share for Designated Shares to be Paid by the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and addresses of</w:t>
      </w:r>
    </w:p>
    <w:p>
      <w:pPr>
        <w:spacing w:after="0" w:line="238" w:lineRule="auto"/>
        <w:rPr>
          <w:sz w:val="20"/>
          <w:szCs w:val="20"/>
          <w:color w:val="auto"/>
        </w:rPr>
      </w:pPr>
      <w:r>
        <w:rPr>
          <w:rFonts w:ascii="Courier New" w:cs="Courier New" w:eastAsia="Courier New" w:hAnsi="Courier New"/>
          <w:sz w:val="18"/>
          <w:szCs w:val="18"/>
          <w:color w:val="auto"/>
        </w:rPr>
        <w:t>Representative: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for Notices, etc.: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of Delivery:</w:t>
      </w:r>
    </w:p>
    <w:p>
      <w:pPr>
        <w:spacing w:after="0" w:line="200" w:lineRule="exact"/>
        <w:rPr>
          <w:sz w:val="20"/>
          <w:szCs w:val="20"/>
          <w:color w:val="auto"/>
        </w:rPr>
      </w:pPr>
    </w:p>
    <w:p>
      <w:pPr>
        <w:spacing w:after="0" w:line="209" w:lineRule="exact"/>
        <w:rPr>
          <w:sz w:val="20"/>
          <w:szCs w:val="20"/>
          <w:color w:val="auto"/>
        </w:rPr>
      </w:pPr>
    </w:p>
    <w:p>
      <w:pPr>
        <w:ind w:right="100"/>
        <w:spacing w:after="0" w:line="235" w:lineRule="auto"/>
        <w:rPr>
          <w:sz w:val="20"/>
          <w:szCs w:val="20"/>
          <w:color w:val="auto"/>
        </w:rPr>
      </w:pPr>
      <w:r>
        <w:rPr>
          <w:rFonts w:ascii="Courier New" w:cs="Courier New" w:eastAsia="Courier New" w:hAnsi="Courier New"/>
          <w:sz w:val="18"/>
          <w:szCs w:val="18"/>
          <w:color w:val="auto"/>
        </w:rPr>
        <w:t>Place of Delivery of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2,185,000 shares. The Designated Shares consist of an aggregate of 1,900,000 Designated Shares (the "Initial Shares") that the Underwriter has agreed to purchase and that the Company has agreed to sell and an aggregate of up to 285,000 Designated Shares (the "Option Shares") that the Underwriter has the option to purchase from the Company, all subject to the terms and conditions set forth in this Pricing Agreement and the Underwriting Agreement incorporated by reference herein.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$26.50 per share.</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$25.9825 per share; provided, however, that the purchase price per share for any Option Shares purchased by the Underwriter shall be reduced by an amount per share equal to the aggregate amount per share of any dividends or distributions declared, paid or payable with respect to the Initial Shares but not payable with respect to such Option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38" w:lineRule="auto"/>
        <w:rPr>
          <w:sz w:val="20"/>
          <w:szCs w:val="20"/>
          <w:color w:val="auto"/>
        </w:rPr>
      </w:pPr>
      <w:r>
        <w:rPr>
          <w:rFonts w:ascii="Courier New" w:cs="Courier New" w:eastAsia="Courier New" w:hAnsi="Courier New"/>
          <w:sz w:val="18"/>
          <w:szCs w:val="18"/>
          <w:color w:val="auto"/>
        </w:rPr>
        <w:t>7 St. Paul Street</w:t>
      </w:r>
    </w:p>
    <w:p>
      <w:pPr>
        <w:spacing w:after="0"/>
        <w:tabs>
          <w:tab w:leader="none" w:pos="2180" w:val="left"/>
        </w:tabs>
        <w:rPr>
          <w:sz w:val="20"/>
          <w:szCs w:val="20"/>
          <w:color w:val="auto"/>
        </w:rPr>
      </w:pPr>
      <w:r>
        <w:rPr>
          <w:rFonts w:ascii="Courier New" w:cs="Courier New" w:eastAsia="Courier New" w:hAnsi="Courier New"/>
          <w:sz w:val="18"/>
          <w:szCs w:val="18"/>
          <w:color w:val="auto"/>
        </w:rPr>
        <w:t>Baltimore, Maryland</w:t>
        <w:tab/>
        <w:t>21202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38" w:lineRule="auto"/>
        <w:rPr>
          <w:sz w:val="20"/>
          <w:szCs w:val="20"/>
          <w:color w:val="auto"/>
        </w:rPr>
      </w:pPr>
      <w:r>
        <w:rPr>
          <w:rFonts w:ascii="Courier New" w:cs="Courier New" w:eastAsia="Courier New" w:hAnsi="Courier New"/>
          <w:sz w:val="18"/>
          <w:szCs w:val="18"/>
          <w:color w:val="auto"/>
        </w:rPr>
        <w:t>7 St. Paul Street</w:t>
      </w:r>
    </w:p>
    <w:p>
      <w:pPr>
        <w:spacing w:after="0"/>
        <w:tabs>
          <w:tab w:leader="none" w:pos="2180" w:val="left"/>
        </w:tabs>
        <w:rPr>
          <w:sz w:val="20"/>
          <w:szCs w:val="20"/>
          <w:color w:val="auto"/>
        </w:rPr>
      </w:pPr>
      <w:r>
        <w:rPr>
          <w:rFonts w:ascii="Courier New" w:cs="Courier New" w:eastAsia="Courier New" w:hAnsi="Courier New"/>
          <w:sz w:val="18"/>
          <w:szCs w:val="18"/>
          <w:color w:val="auto"/>
        </w:rPr>
        <w:t>Baltimore, Maryland</w:t>
        <w:tab/>
        <w:t>21202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9:00 a.m. (New York City time) on June 12,</w:t>
      </w:r>
    </w:p>
    <w:p>
      <w:pPr>
        <w:spacing w:after="0" w:line="238" w:lineRule="auto"/>
        <w:rPr>
          <w:sz w:val="20"/>
          <w:szCs w:val="20"/>
          <w:color w:val="auto"/>
        </w:rPr>
      </w:pPr>
      <w:r>
        <w:rPr>
          <w:rFonts w:ascii="Courier New" w:cs="Courier New" w:eastAsia="Courier New" w:hAnsi="Courier New"/>
          <w:sz w:val="18"/>
          <w:szCs w:val="18"/>
          <w:color w:val="auto"/>
        </w:rPr>
        <w:t>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2">
            <w:col w:w="3380" w:space="320"/>
            <w:col w:w="6519"/>
          </w:cols>
          <w:pgMar w:left="240" w:top="717" w:right="1440" w:bottom="1440" w:gutter="0" w:footer="0" w:header="0"/>
        </w:sectPr>
      </w:pPr>
    </w:p>
    <w:bookmarkStart w:id="49" w:name="page50"/>
    <w:bookmarkEnd w:id="49"/>
    <w:p>
      <w:pPr>
        <w:jc w:val="center"/>
        <w:ind w:right="1759"/>
        <w:spacing w:after="0"/>
        <w:rPr>
          <w:sz w:val="20"/>
          <w:szCs w:val="20"/>
          <w:color w:val="auto"/>
        </w:rPr>
      </w:pPr>
      <w:r>
        <w:rPr>
          <w:rFonts w:ascii="Courier New" w:cs="Courier New" w:eastAsia="Courier New" w:hAnsi="Courier New"/>
          <w:sz w:val="18"/>
          <w:szCs w:val="18"/>
          <w:color w:val="auto"/>
        </w:rPr>
        <w:t>SCHEDULE III</w:t>
      </w:r>
    </w:p>
    <w:p>
      <w:pPr>
        <w:spacing w:after="0" w:line="201"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List of Persons Subject to Lock-Up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J. Guttman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C. Wood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Larry E. Finger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50" w:name="page51"/>
    <w:bookmarkEnd w:id="50"/>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[LETTERHEAD OF HOGAN &amp; HARTSON L.L.P.]</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June 11,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firm has acted as counsel to Federal Realty Investment Trust, a Maryland real estate investment trust (the "Trust"), in connection with the offer and sale of up to 2,185,000 Common Shares of Beneficial Interest, par value $.01 per share of the Trust (the "Shares"), issued pursuant to an underwritten public offering of the Trust in the manner and upon the terms set forth in the Registration Statement on Form S-3 filed by the Trust with the Securities and Exchange Commission under the Securities Act of 1933, as amended, and which became effective on September 30, 1998 (the "Registration Statement"), as well as the Prospectus dated September 30, 1998 and the Prospectus Supplement thereto dated June 6, 2002 (collectively, the "Prospectus"). This opinion letter is furnished to you at your request to enable you to fulfill the requirements of Item 601(b)(5) of Regulation S-K, 17 C.F.R. ss. 229.601(b)(5), in connection with the Registration Statement.</w:t>
      </w:r>
    </w:p>
    <w:p>
      <w:pPr>
        <w:spacing w:after="0" w:line="207" w:lineRule="exact"/>
        <w:rPr>
          <w:sz w:val="20"/>
          <w:szCs w:val="20"/>
          <w:color w:val="auto"/>
        </w:rPr>
      </w:pPr>
    </w:p>
    <w:p>
      <w:pPr>
        <w:ind w:right="2099" w:firstLine="1475"/>
        <w:spacing w:after="0" w:line="235" w:lineRule="auto"/>
        <w:rPr>
          <w:sz w:val="20"/>
          <w:szCs w:val="20"/>
          <w:color w:val="auto"/>
        </w:rPr>
      </w:pPr>
      <w:r>
        <w:rPr>
          <w:rFonts w:ascii="Courier New" w:cs="Courier New" w:eastAsia="Courier New" w:hAnsi="Courier New"/>
          <w:sz w:val="18"/>
          <w:szCs w:val="18"/>
          <w:color w:val="auto"/>
        </w:rPr>
        <w:t>For purposes of this opinion letter, we have examined copies of the following documents (the "Documents"):</w:t>
      </w:r>
    </w:p>
    <w:p>
      <w:pPr>
        <w:spacing w:after="0" w:line="203" w:lineRule="exact"/>
        <w:rPr>
          <w:sz w:val="20"/>
          <w:szCs w:val="20"/>
          <w:color w:val="auto"/>
        </w:rPr>
      </w:pPr>
    </w:p>
    <w:p>
      <w:pPr>
        <w:ind w:left="2000" w:hanging="517"/>
        <w:spacing w:after="0"/>
        <w:tabs>
          <w:tab w:leader="none" w:pos="20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Registration Statement.</w:t>
      </w:r>
    </w:p>
    <w:p>
      <w:pPr>
        <w:spacing w:after="0" w:line="206" w:lineRule="exact"/>
        <w:rPr>
          <w:rFonts w:ascii="Courier New" w:cs="Courier New" w:eastAsia="Courier New" w:hAnsi="Courier New"/>
          <w:sz w:val="18"/>
          <w:szCs w:val="18"/>
          <w:color w:val="auto"/>
        </w:rPr>
      </w:pPr>
    </w:p>
    <w:p>
      <w:pPr>
        <w:ind w:left="2000" w:right="2099" w:hanging="517"/>
        <w:spacing w:after="0" w:line="275" w:lineRule="auto"/>
        <w:tabs>
          <w:tab w:leader="none" w:pos="20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Declaration of Trust of the Trust, as certified by the Maryland State Department of Assessments and Taxation on May 3, 2002 and the Secretary of the Trust on the date hereof as being complete, accurate and in effect.</w:t>
      </w:r>
    </w:p>
    <w:p>
      <w:pPr>
        <w:spacing w:after="0" w:line="182" w:lineRule="exact"/>
        <w:rPr>
          <w:rFonts w:ascii="Courier New" w:cs="Courier New" w:eastAsia="Courier New" w:hAnsi="Courier New"/>
          <w:sz w:val="16"/>
          <w:szCs w:val="16"/>
          <w:color w:val="auto"/>
        </w:rPr>
      </w:pPr>
    </w:p>
    <w:p>
      <w:pPr>
        <w:ind w:left="2000" w:right="1779" w:hanging="517"/>
        <w:spacing w:after="0" w:line="236" w:lineRule="auto"/>
        <w:tabs>
          <w:tab w:leader="none" w:pos="20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Trust, as certified by the Secretary of the Trust on the date hereof as being complete, accurate and in effect.</w:t>
      </w:r>
    </w:p>
    <w:p>
      <w:pPr>
        <w:spacing w:after="0" w:line="208" w:lineRule="exact"/>
        <w:rPr>
          <w:rFonts w:ascii="Courier New" w:cs="Courier New" w:eastAsia="Courier New" w:hAnsi="Courier New"/>
          <w:sz w:val="18"/>
          <w:szCs w:val="18"/>
          <w:color w:val="auto"/>
        </w:rPr>
      </w:pPr>
    </w:p>
    <w:p>
      <w:pPr>
        <w:ind w:left="2000" w:right="1779" w:hanging="517"/>
        <w:spacing w:after="0" w:line="236" w:lineRule="auto"/>
        <w:tabs>
          <w:tab w:leader="none" w:pos="20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Board of Trustees of the Trust adopted by written consent on May 3, 2002, and resolutions of the Trust's Pricing</w:t>
      </w:r>
    </w:p>
    <w:p>
      <w:pPr>
        <w:sectPr>
          <w:pgSz w:w="11900" w:h="16838" w:orient="portrait"/>
          <w:cols w:equalWidth="0" w:num="1">
            <w:col w:w="10219"/>
          </w:cols>
          <w:pgMar w:left="240" w:top="541"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June 11, 2002</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7" w:lineRule="exact"/>
        <w:rPr>
          <w:sz w:val="20"/>
          <w:szCs w:val="20"/>
          <w:color w:val="auto"/>
        </w:rPr>
      </w:pPr>
    </w:p>
    <w:p>
      <w:pPr>
        <w:ind w:left="2120" w:right="1999"/>
        <w:spacing w:after="0" w:line="237" w:lineRule="auto"/>
        <w:rPr>
          <w:sz w:val="20"/>
          <w:szCs w:val="20"/>
          <w:color w:val="auto"/>
        </w:rPr>
      </w:pPr>
      <w:r>
        <w:rPr>
          <w:rFonts w:ascii="Courier New" w:cs="Courier New" w:eastAsia="Courier New" w:hAnsi="Courier New"/>
          <w:sz w:val="18"/>
          <w:szCs w:val="18"/>
          <w:color w:val="auto"/>
        </w:rPr>
        <w:t>Committee adopted by written consent on June 6, 2002, each as certified by the Secretary of the Trust on the date hereof as being complete, accurate and in effect, relating to, among other things, the issuance of the Shares and arrangements in connection therewith.</w:t>
      </w:r>
    </w:p>
    <w:p>
      <w:pPr>
        <w:spacing w:after="0" w:line="209" w:lineRule="exact"/>
        <w:rPr>
          <w:sz w:val="20"/>
          <w:szCs w:val="20"/>
          <w:color w:val="auto"/>
        </w:rPr>
      </w:pPr>
    </w:p>
    <w:p>
      <w:pPr>
        <w:ind w:left="2120" w:right="1779" w:hanging="637"/>
        <w:spacing w:after="0" w:line="237" w:lineRule="auto"/>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Underwriting Agreement and related Pricing Agreement, each dated June 6, 2002, by and among the Trust and First Union Securities, Inc., as underwriter (collectively, the "Underwriting Agreement").</w:t>
      </w:r>
    </w:p>
    <w:p>
      <w:pPr>
        <w:spacing w:after="0" w:line="207" w:lineRule="exact"/>
        <w:rPr>
          <w:rFonts w:ascii="Courier New" w:cs="Courier New" w:eastAsia="Courier New" w:hAnsi="Courier New"/>
          <w:sz w:val="18"/>
          <w:szCs w:val="18"/>
          <w:color w:val="auto"/>
        </w:rPr>
      </w:pPr>
    </w:p>
    <w:p>
      <w:pPr>
        <w:ind w:left="2120" w:right="1779" w:hanging="637"/>
        <w:spacing w:after="0" w:line="279" w:lineRule="auto"/>
        <w:tabs>
          <w:tab w:leader="none" w:pos="21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memorandum to the file dated November 24, 1999 relating to oral confirmation by the Commission that the Registration Statement became effective on September 30, 1998.</w:t>
      </w:r>
    </w:p>
    <w:p>
      <w:pPr>
        <w:spacing w:after="0" w:line="178" w:lineRule="exact"/>
        <w:rPr>
          <w:sz w:val="20"/>
          <w:szCs w:val="20"/>
          <w:color w:val="auto"/>
        </w:rPr>
      </w:pPr>
    </w:p>
    <w:p>
      <w:pPr>
        <w:ind w:right="1779" w:firstLine="1475"/>
        <w:spacing w:after="0" w:line="238" w:lineRule="auto"/>
        <w:rPr>
          <w:sz w:val="20"/>
          <w:szCs w:val="20"/>
          <w:color w:val="auto"/>
        </w:rPr>
      </w:pPr>
      <w:r>
        <w:rPr>
          <w:rFonts w:ascii="Courier New" w:cs="Courier New" w:eastAsia="Courier New" w:hAnsi="Courier New"/>
          <w:sz w:val="18"/>
          <w:szCs w:val="18"/>
          <w:color w:val="auto"/>
        </w:rPr>
        <w:t>In our examination of the Documents, we have assumed the genuineness of all signatures, the legal capacity of all natural persons, the accuracy and completeness of all of the Documents, the authenticity of all original of the Documents and the conformity to authentic original documents of all of the Documents submitted to us as copies (including telecopies). We have also assumed the validity and constitutionality of each relevant statute, rule, regulation and agency action covered by this opinion letter. In addition, we further have assumed that none of the Shares will be issued in violation of the ownership limit contained in the Declaration of Trust. As to matters of fact relevant to the opinions expressed herein, we have relied on the representations and statements of fact made in the Documents, we have not independently established the facts so relied on, and we have not made any investigation or inquiry other than our examination of the Documents. The opinions are given in the context of the foregoing.</w:t>
      </w:r>
    </w:p>
    <w:p>
      <w:pPr>
        <w:spacing w:after="0" w:line="208"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This opinion letter is based as to matters of law on applicable provisions of Title 8 of the Corporations and Associations Article of the Annotated Code of Maryland, as amended, and applicable provisions of the Maryland General Corporation Law, as amended. We express no opinion herein as to any other laws, statutes, ordinances, rules or regulations. As used herein, the terms "Title 8 of the Corporations and Associations Article of the Annotated Code of Maryland, as amended" and "Maryland General Corporation Law, as amended" include the applicable statutory provisions contained therein and all applicable provisions of the Maryland Constitution and reported judicial decisions interpreting these laws.</w:t>
      </w:r>
    </w:p>
    <w:p>
      <w:pPr>
        <w:spacing w:after="0" w:line="215"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Based upon, subject to and limited by the foregoing, we are of the opinion that the Shares are duly authorized and, when issued and delivered pursuant to the terms of the Underwriting Agreement upon receipt by the Trust of the consideration for the Shares specified in the resolutions described in paragraph 4 above, the Shares will be validly issued, fully paid and nonassessable.</w:t>
      </w:r>
    </w:p>
    <w:p>
      <w:pPr>
        <w:sectPr>
          <w:pgSz w:w="11900" w:h="16838" w:orient="portrait"/>
          <w:cols w:equalWidth="0" w:num="1">
            <w:col w:w="10219"/>
          </w:cols>
          <w:pgMar w:left="240" w:top="7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June 11, 2002</w:t>
      </w:r>
    </w:p>
    <w:p>
      <w:pPr>
        <w:spacing w:after="0" w:line="237" w:lineRule="auto"/>
        <w:rPr>
          <w:sz w:val="20"/>
          <w:szCs w:val="20"/>
          <w:color w:val="auto"/>
        </w:rPr>
      </w:pPr>
      <w:r>
        <w:rPr>
          <w:rFonts w:ascii="Courier New" w:cs="Courier New" w:eastAsia="Courier New" w:hAnsi="Courier New"/>
          <w:sz w:val="18"/>
          <w:szCs w:val="18"/>
          <w:color w:val="auto"/>
        </w:rPr>
        <w:t>Page 3</w:t>
      </w:r>
    </w:p>
    <w:p>
      <w:pPr>
        <w:spacing w:after="0" w:line="207"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This opinion letter has been prepared for your use in connection with the offering and sale of the Shares and speaks as of the date hereof. We assume no obligation to advise you of any changes in the foregoing subsequent to the delivery of this opinion letter.</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We hereby consent to the filing of this opinion letter as Exhibit 5.1 to the Registration Statement and to the reference to this firm under the caption "Legal Matters" in the Prospectus Supplement. In giving this consent, we do not thereby admit that we are an "expert" within the meaning of the Securities Act of 1933, as amended.</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Hogan &amp; Hartson L.L.P.</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HOGAN &amp; HARTSON L.L.P.</w:t>
      </w:r>
    </w:p>
    <w:p>
      <w:pPr>
        <w:sectPr>
          <w:pgSz w:w="11900" w:h="16838" w:orient="portrait"/>
          <w:cols w:equalWidth="0" w:num="1">
            <w:col w:w="10219"/>
          </w:cols>
          <w:pgMar w:left="240" w:top="717" w:right="1440" w:bottom="1440" w:gutter="0" w:footer="0" w:header="0"/>
        </w:sectPr>
      </w:pPr>
    </w:p>
    <w:bookmarkStart w:id="53" w:name="page54"/>
    <w:bookmarkEnd w:id="53"/>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[LETTERHEAD OF HOGAN &amp; HARTSON L.L.P.]</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June 11,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MD 20852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acted as special tax counsel to Federal Realty Investment Trust, a Maryland real estate investment trust (the "Company"), in connection with the sale and issuance of up to 2,185,000 shares of the Company's common shares of beneficial interest, par value $0.01 per share (the "Shares") pursuant to the terms of the Underwriting Agreement dated June 6, 2002 by and between the Company and First Union Securities, Inc., as more fully described in the Company's prospectus supplement dated June 6, 2002 (the "Prospectus Supplement", which includes the documents incorporated therein by reference, including without limitation the Company's Current Report on Form 8-K filed with the Securities and Exchange Commission on March 28, 2002 (the "Company's Form</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8-K")), to the Company's prospectus dated September 30, 1998 (the "Prospectus"). In connection therewith, we have been asked to provide you with an opinion regarding certain federal income tax matters related to the Company. Unless otherwise defined herein or the context hereof otherwise requires, each term used herein with initial capitalized letters has the meaning given to such term in the Prospectus and Prospectus Supplement.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for Opinions</w:t>
      </w:r>
    </w:p>
    <w:p>
      <w:pPr>
        <w:spacing w:after="0" w:line="207"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The opinions set forth in this letter are based on relevant current provisions of the Internal Revenue Code of 1986, as amended (the "Code"), Treasury regulations thereunder (including proposed and temporary Treasury regulations), and interpretations of the foregoing as expressed in court decisions, legislative history, and administrative determinations of the Internal Revenue Service (the "IRS") (including its practices and policies in issuing private letter rulings, which are not binding on the IRS, except with respect to a taxpayer that receives such a ruling), all as of the date hereof. These provisions and interpretations are subject to changes (which may apply retroactively) that might result in material modifications of our opinions.</w:t>
      </w:r>
    </w:p>
    <w:p>
      <w:pPr>
        <w:spacing w:after="0" w:line="18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Our opinions do not foreclose the possibility of a contrary determination by the IRS or a court of competent jurisdiction, or of a contrary position by the IRS or the Treasury Department in regulations or rulings issued in the future. In this regard, although we believe that our opinions set forth herein will be sustained if challenged, an opinion of counsel with respect to an issue is not binding on the IRS or the courts, and is not a guarantee that the IRS will not assert a contrary position with respect to such issue or that a court will not sustain such a position asserted by the IRS.</w:t>
      </w:r>
    </w:p>
    <w:p>
      <w:pPr>
        <w:sectPr>
          <w:pgSz w:w="11900" w:h="16838" w:orient="portrait"/>
          <w:cols w:equalWidth="0" w:num="1">
            <w:col w:w="10219"/>
          </w:cols>
          <w:pgMar w:left="240" w:top="744"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June 10, 2002</w:t>
      </w:r>
    </w:p>
    <w:p>
      <w:pPr>
        <w:spacing w:after="0"/>
        <w:rPr>
          <w:sz w:val="20"/>
          <w:szCs w:val="20"/>
          <w:color w:val="auto"/>
        </w:rPr>
      </w:pPr>
      <w:r>
        <w:rPr>
          <w:rFonts w:ascii="Courier New" w:cs="Courier New" w:eastAsia="Courier New" w:hAnsi="Courier New"/>
          <w:sz w:val="18"/>
          <w:szCs w:val="18"/>
          <w:color w:val="auto"/>
        </w:rPr>
        <w:t>Page 2 of 5</w:t>
      </w:r>
    </w:p>
    <w:p>
      <w:pPr>
        <w:spacing w:after="0" w:line="20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rendering the following opinions, we have examined such statutes, regulations, records, certificates and other documents as we have considered necessary or appropriate as a basis for such opinions, including (but not limited to) the following:</w:t>
      </w:r>
    </w:p>
    <w:p>
      <w:pPr>
        <w:spacing w:after="0" w:line="207" w:lineRule="exact"/>
        <w:rPr>
          <w:sz w:val="20"/>
          <w:szCs w:val="20"/>
          <w:color w:val="auto"/>
        </w:rPr>
      </w:pPr>
    </w:p>
    <w:p>
      <w:pPr>
        <w:ind w:right="2519" w:firstLine="1904"/>
        <w:spacing w:after="0" w:line="235"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 Prospectus Supplement and Company's Form 8-K, as amended through the date hereof;</w:t>
      </w:r>
    </w:p>
    <w:p>
      <w:pPr>
        <w:spacing w:after="0" w:line="208"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Company dated May 5, 1999, as amended through the date hereof (the "Declaration of Trust");</w:t>
      </w:r>
    </w:p>
    <w:p>
      <w:pPr>
        <w:spacing w:after="0" w:line="208"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Company, as amended to the date hereof;</w:t>
      </w:r>
    </w:p>
    <w:p>
      <w:pPr>
        <w:spacing w:after="0" w:line="223" w:lineRule="exact"/>
        <w:rPr>
          <w:rFonts w:ascii="Courier New" w:cs="Courier New" w:eastAsia="Courier New" w:hAnsi="Courier New"/>
          <w:sz w:val="16"/>
          <w:szCs w:val="16"/>
          <w:color w:val="auto"/>
        </w:rPr>
      </w:pPr>
    </w:p>
    <w:p>
      <w:pPr>
        <w:ind w:right="1779" w:firstLine="1904"/>
        <w:spacing w:after="0" w:line="271" w:lineRule="auto"/>
        <w:tabs>
          <w:tab w:leader="none" w:pos="23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of incorporation, bylaws and stock ownership information for Street Retail, Inc., Street Retail West GP, Inc., SRI San Antonio, Inc., SRI Texas, Inc., Federal Realty Partners, Inc., FRLP, Inc., FR Federal Plaza, Inc., JS&amp;DB, Inc., FRIT Leasing &amp; Development Services, Inc., SRI Holding Co., Inc., San Jose Residential, Inc., Ravenswood Development Services, Inc., FRIT Property Services, Inc.; Federal Realty Management Services, Inc.; Santana Row Services, Inc.; and Santana Row ROF, Inc.;</w:t>
      </w:r>
    </w:p>
    <w:p>
      <w:pPr>
        <w:spacing w:after="0" w:line="187" w:lineRule="exact"/>
        <w:rPr>
          <w:rFonts w:ascii="Courier New" w:cs="Courier New" w:eastAsia="Courier New" w:hAnsi="Courier New"/>
          <w:sz w:val="16"/>
          <w:szCs w:val="16"/>
          <w:color w:val="auto"/>
        </w:rPr>
      </w:pPr>
    </w:p>
    <w:p>
      <w:pPr>
        <w:ind w:right="2099" w:firstLine="1904"/>
        <w:spacing w:after="0" w:line="237"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agreement or limited liability company operating agreement, as applicable, used to organize and operate the partnerships or limited liability companies in which the Company owns an interest (the "Partnership Subsidiaries") as set forth in Schedule A attached hereto; and</w:t>
      </w:r>
    </w:p>
    <w:p>
      <w:pPr>
        <w:spacing w:after="0" w:line="208" w:lineRule="exact"/>
        <w:rPr>
          <w:rFonts w:ascii="Courier New" w:cs="Courier New" w:eastAsia="Courier New" w:hAnsi="Courier New"/>
          <w:sz w:val="18"/>
          <w:szCs w:val="18"/>
          <w:color w:val="auto"/>
        </w:rPr>
      </w:pPr>
    </w:p>
    <w:p>
      <w:pPr>
        <w:ind w:right="2519" w:firstLine="1904"/>
        <w:spacing w:after="0" w:line="236"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instruments and documents related to the organization and operation of the Company as we have deemed necessary or appropriate.</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opinions set forth in this letter also are premised on certain written representations of the Company contained in a letter to us on or about the date hereof regarding the assets, operations and activities of the Company (the "Management Representation Letter").</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For purposes of rendering our opinions, we have not made an independent investigation or audit of the facts set forth in the above referenced documents, including the Prospectus, Prospectus Supplement, Company's Form 8-K and the Management Representation Letter. We consequently have relied upon the representations in the Management Representation Letter that the information presented in such documents or otherwise furnished to us is accurate and assumed that the information presented in such documents or otherwise furnished to us is accurate and complete in all material respects. After reasonable inquiry, however, we are not aware of any material facts or circumstances contrary to, or inconsistent with, the representations we have relied upon as described herein or other assumptions set forth herein. Finally, our opinion is limited to the tax matters specifically covered herein, and we have not addressed, nor have we been asked to address, any other tax matters relevant to the Company.</w:t>
      </w:r>
    </w:p>
    <w:p>
      <w:pPr>
        <w:sectPr>
          <w:pgSz w:w="11900" w:h="16838" w:orient="portrait"/>
          <w:cols w:equalWidth="0" w:num="1">
            <w:col w:w="10219"/>
          </w:cols>
          <w:pgMar w:left="240" w:top="7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June 10, 2002</w:t>
      </w:r>
    </w:p>
    <w:p>
      <w:pPr>
        <w:spacing w:after="0"/>
        <w:rPr>
          <w:sz w:val="20"/>
          <w:szCs w:val="20"/>
          <w:color w:val="auto"/>
        </w:rPr>
      </w:pPr>
      <w:r>
        <w:rPr>
          <w:rFonts w:ascii="Courier New" w:cs="Courier New" w:eastAsia="Courier New" w:hAnsi="Courier New"/>
          <w:sz w:val="18"/>
          <w:szCs w:val="18"/>
          <w:color w:val="auto"/>
        </w:rPr>
        <w:t>Page 3 of 5</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connection with our opinion, we have assumed, with your consent:</w:t>
      </w:r>
    </w:p>
    <w:p>
      <w:pPr>
        <w:spacing w:after="0" w:line="207" w:lineRule="exact"/>
        <w:rPr>
          <w:sz w:val="20"/>
          <w:szCs w:val="20"/>
          <w:color w:val="auto"/>
        </w:rPr>
      </w:pPr>
    </w:p>
    <w:p>
      <w:pPr>
        <w:ind w:left="1580" w:right="1879" w:hanging="519"/>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all of the representations and statements set forth in the documents (including, without limitation, the Management Representation Letter) we reviewed are true and correct, and all of the obligations imposed by any such documents on the parties thereto, including obligations imposed under the Company's declaration of trust, have been and will be performed or satisfied in accordance with their terms;</w:t>
      </w:r>
    </w:p>
    <w:p>
      <w:pPr>
        <w:spacing w:after="0" w:line="211"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and each of the partnership, limited liability company or corporate subsidiary entities have been and will continue to be operated in the manner described in the relevant partnership agreement, articles (or certificate) of incorporation or other organizational documents and in the Prospectus, Prospectus Supplement, Form 8-K and Management Representation Letter; and</w:t>
      </w:r>
    </w:p>
    <w:p>
      <w:pPr>
        <w:spacing w:after="0" w:line="211" w:lineRule="exact"/>
        <w:rPr>
          <w:rFonts w:ascii="Courier New" w:cs="Courier New" w:eastAsia="Courier New" w:hAnsi="Courier New"/>
          <w:sz w:val="18"/>
          <w:szCs w:val="18"/>
          <w:color w:val="auto"/>
        </w:rPr>
      </w:pPr>
    </w:p>
    <w:p>
      <w:pPr>
        <w:ind w:left="1580" w:right="1779" w:hanging="519"/>
        <w:spacing w:after="0" w:line="268" w:lineRule="auto"/>
        <w:tabs>
          <w:tab w:leader="none" w:pos="1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been provided with all written agreements related to the ownership of the stock of any corporations in which the Company owns an interest, directly or indirectly (the "Corporate Affiliates") and no oral agreements or understandings exist or have existed between the Company and other securityholders of any of the Corporate Affiliates or the Corporate Affiliates themselves that are inconsistent with the Company being considered to be the beneficial owner, directly or indirectly, of 10% or less of either (a) the outstanding voting securities or</w:t>
      </w:r>
    </w:p>
    <w:p>
      <w:pPr>
        <w:spacing w:after="0" w:line="1" w:lineRule="exact"/>
        <w:rPr>
          <w:rFonts w:ascii="Courier New" w:cs="Courier New" w:eastAsia="Courier New" w:hAnsi="Courier New"/>
          <w:sz w:val="16"/>
          <w:szCs w:val="16"/>
          <w:color w:val="auto"/>
        </w:rPr>
      </w:pPr>
    </w:p>
    <w:p>
      <w:pPr>
        <w:ind w:left="1580" w:right="1999" w:firstLine="8"/>
        <w:spacing w:after="0" w:line="237" w:lineRule="auto"/>
        <w:tabs>
          <w:tab w:leader="none" w:pos="200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end of any calendar quarter beginning on or after January 1, 2001, the total value of the outstanding securities, of any Corporate Affiliate that does not qualify as either a "qualified REIT subsidiary" as defined in Section 856(i) of the Code or, after January 1, 2001, a "taxable REIT subsidiary" as defined in Section 856(l) of the Code.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w:t>
      </w:r>
    </w:p>
    <w:p>
      <w:pPr>
        <w:spacing w:after="0" w:line="207" w:lineRule="exact"/>
        <w:rPr>
          <w:sz w:val="20"/>
          <w:szCs w:val="20"/>
          <w:color w:val="auto"/>
        </w:rPr>
      </w:pPr>
    </w:p>
    <w:p>
      <w:pPr>
        <w:ind w:right="3039" w:firstLine="1053"/>
        <w:spacing w:after="0" w:line="235" w:lineRule="auto"/>
        <w:rPr>
          <w:sz w:val="20"/>
          <w:szCs w:val="20"/>
          <w:color w:val="auto"/>
        </w:rPr>
      </w:pPr>
      <w:r>
        <w:rPr>
          <w:rFonts w:ascii="Courier New" w:cs="Courier New" w:eastAsia="Courier New" w:hAnsi="Courier New"/>
          <w:sz w:val="18"/>
          <w:szCs w:val="18"/>
          <w:color w:val="auto"/>
        </w:rPr>
        <w:t>Based upon, subject to, and limited by the assumptions and qualifications set forth herein, we are of the opinion that:</w:t>
      </w:r>
    </w:p>
    <w:p>
      <w:pPr>
        <w:sectPr>
          <w:pgSz w:w="11900" w:h="16838" w:orient="portrait"/>
          <w:cols w:equalWidth="0" w:num="1">
            <w:col w:w="10219"/>
          </w:cols>
          <w:pgMar w:left="240" w:top="7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June 10, 2002</w:t>
      </w:r>
    </w:p>
    <w:p>
      <w:pPr>
        <w:spacing w:after="0"/>
        <w:rPr>
          <w:sz w:val="20"/>
          <w:szCs w:val="20"/>
          <w:color w:val="auto"/>
        </w:rPr>
      </w:pPr>
      <w:r>
        <w:rPr>
          <w:rFonts w:ascii="Courier New" w:cs="Courier New" w:eastAsia="Courier New" w:hAnsi="Courier New"/>
          <w:sz w:val="18"/>
          <w:szCs w:val="18"/>
          <w:color w:val="auto"/>
        </w:rPr>
        <w:t>Page 4 of 5</w:t>
      </w:r>
    </w:p>
    <w:p>
      <w:pPr>
        <w:spacing w:after="0" w:line="206" w:lineRule="exact"/>
        <w:rPr>
          <w:sz w:val="20"/>
          <w:szCs w:val="20"/>
          <w:color w:val="auto"/>
        </w:rPr>
      </w:pPr>
    </w:p>
    <w:p>
      <w:pPr>
        <w:ind w:right="1879" w:firstLine="1061"/>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organized and has operated in conformity with the requirements for qualification as a real estate investment trust ("REIT") under the Code for its taxable years ended December 31, 1997, December 31, 1998, December 31, 1999, December 31, 2000 and December 31, 2001 and the Company's organization and proposed method of operation (as described in the Prospectus, Prospectus Supplement, Company's Form 8-K and Management Representation Letter) will enable it to continue to meet the requirements for qualification and taxation as a REIT under the Code; and</w:t>
      </w:r>
    </w:p>
    <w:p>
      <w:pPr>
        <w:spacing w:after="0" w:line="212"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discussion in the Company's Form 8-K under the caption "Federal Income Tax Consequences", which is incorporated by reference into the Prospectus, accurately describes in all material respects, the federal income tax consequences anticipated to be material to a purchaser of Shares in the offering pursuant to the Prospectus Supplement with respect to the acquisition, ownership, and disposition of Shares.</w:t>
      </w:r>
    </w:p>
    <w:p>
      <w:pPr>
        <w:spacing w:after="0" w:line="21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An opinion of counsel merely represents counsel's best judgment with respect to the probable outcome on the merits and is not binding on the IRS or the courts. There can be no assurance that positions contrary to our opinion will not be taken by the IRS or that a court considering the issues would not hold contrary to such opinion.</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We assume no obligation to advise you of any changes in our opinions or of any new developments in the application or interpretation of the federal income tax laws subsequent to the date of this opinion letter. The Company's qualification and taxation as a REIT depend upon the Company's ability to meet on a continuing basis, through actual annual operating and other results, the various requirements under the Code with regard to, among other things, the sources of its gross income, the composition of its assets, the level of its distributions to stockholders, and the diversity of its stock ownership. We will not review the Company's compliance with these requirements on a continuing basis. Accordingly, no assurance can be given that the actual results of the operations of the Company, the Corporate Affiliates and Partnership Subsidiaries, the sources of their income, the nature of their assets, the level of the Company's distributions to its stockholders and the diversity of the Company's stock ownership for any given taxable year will satisfy the requirements under the Code for qualification and taxation as a REIT.</w:t>
      </w:r>
    </w:p>
    <w:p>
      <w:pPr>
        <w:sectPr>
          <w:pgSz w:w="11900" w:h="16838" w:orient="portrait"/>
          <w:cols w:equalWidth="0" w:num="1">
            <w:col w:w="10219"/>
          </w:cols>
          <w:pgMar w:left="240" w:top="71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June 10, 2002</w:t>
      </w:r>
    </w:p>
    <w:p>
      <w:pPr>
        <w:spacing w:after="0"/>
        <w:rPr>
          <w:sz w:val="20"/>
          <w:szCs w:val="20"/>
          <w:color w:val="auto"/>
        </w:rPr>
      </w:pPr>
      <w:r>
        <w:rPr>
          <w:rFonts w:ascii="Courier New" w:cs="Courier New" w:eastAsia="Courier New" w:hAnsi="Courier New"/>
          <w:sz w:val="18"/>
          <w:szCs w:val="18"/>
          <w:color w:val="auto"/>
        </w:rPr>
        <w:t>Page 5 of 5</w:t>
      </w:r>
    </w:p>
    <w:p>
      <w:pPr>
        <w:spacing w:after="0" w:line="206"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This opinion letter has been prepared solely for your use in connection with the sale and issuance of the Shares and speaks only as of the date hereof. This opinion may not be relied upon by you or any other person other than in connection with the sale and issuance of the Shares. We hereby consent to the filing of this opinion letter as Exhibit 8.1 to the Registration Statement and to the reference to Hogan &amp; Hartson L.L.P. under the caption "Legal Matters" in the Prospectus Supplement. In giving this consent, however, we do not admit thereby that we are an "expert" within the meaning of the Securities Act of 1933, as amended.</w:t>
      </w: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Hogan &amp; Hartson L.L.P.</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HOGAN &amp; HARTSON L.L.P.</w:t>
      </w:r>
    </w:p>
    <w:p>
      <w:pPr>
        <w:sectPr>
          <w:pgSz w:w="11900" w:h="16838" w:orient="portrait"/>
          <w:cols w:equalWidth="0" w:num="1">
            <w:col w:w="10219"/>
          </w:cols>
          <w:pgMar w:left="240" w:top="717" w:right="1440" w:bottom="1440" w:gutter="0" w:footer="0" w:header="0"/>
        </w:sectPr>
      </w:pPr>
    </w:p>
    <w:bookmarkStart w:id="58" w:name="page59"/>
    <w:bookmarkEnd w:id="58"/>
    <w:p>
      <w:pPr>
        <w:jc w:val="right"/>
        <w:ind w:right="54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Street Retail West I, L.P.</w:t>
      </w:r>
    </w:p>
    <w:p>
      <w:pPr>
        <w:spacing w:after="0" w:line="238" w:lineRule="auto"/>
        <w:rPr>
          <w:sz w:val="20"/>
          <w:szCs w:val="20"/>
          <w:color w:val="auto"/>
        </w:rPr>
      </w:pPr>
      <w:r>
        <w:rPr>
          <w:rFonts w:ascii="Courier New" w:cs="Courier New" w:eastAsia="Courier New" w:hAnsi="Courier New"/>
          <w:sz w:val="18"/>
          <w:szCs w:val="18"/>
          <w:color w:val="auto"/>
        </w:rPr>
        <w:t>Street Retail West II, L.P.</w:t>
      </w:r>
    </w:p>
    <w:p>
      <w:pPr>
        <w:spacing w:after="0"/>
        <w:rPr>
          <w:sz w:val="20"/>
          <w:szCs w:val="20"/>
          <w:color w:val="auto"/>
        </w:rPr>
      </w:pPr>
      <w:r>
        <w:rPr>
          <w:rFonts w:ascii="Courier New" w:cs="Courier New" w:eastAsia="Courier New" w:hAnsi="Courier New"/>
          <w:sz w:val="18"/>
          <w:szCs w:val="18"/>
          <w:color w:val="auto"/>
        </w:rPr>
        <w:t>Street Retail West 3, L.P.</w:t>
      </w:r>
    </w:p>
    <w:p>
      <w:pPr>
        <w:spacing w:after="0" w:line="237" w:lineRule="auto"/>
        <w:rPr>
          <w:sz w:val="20"/>
          <w:szCs w:val="20"/>
          <w:color w:val="auto"/>
        </w:rPr>
      </w:pPr>
      <w:r>
        <w:rPr>
          <w:rFonts w:ascii="Courier New" w:cs="Courier New" w:eastAsia="Courier New" w:hAnsi="Courier New"/>
          <w:sz w:val="18"/>
          <w:szCs w:val="18"/>
          <w:color w:val="auto"/>
        </w:rPr>
        <w:t>Street Retail West 4, L.P.</w:t>
      </w:r>
    </w:p>
    <w:p>
      <w:pPr>
        <w:spacing w:after="0" w:line="238" w:lineRule="auto"/>
        <w:rPr>
          <w:sz w:val="20"/>
          <w:szCs w:val="20"/>
          <w:color w:val="auto"/>
        </w:rPr>
      </w:pPr>
      <w:r>
        <w:rPr>
          <w:rFonts w:ascii="Courier New" w:cs="Courier New" w:eastAsia="Courier New" w:hAnsi="Courier New"/>
          <w:sz w:val="18"/>
          <w:szCs w:val="18"/>
          <w:color w:val="auto"/>
        </w:rPr>
        <w:t>Street Retail West 6, L.P.</w:t>
      </w:r>
    </w:p>
    <w:p>
      <w:pPr>
        <w:spacing w:after="0"/>
        <w:rPr>
          <w:sz w:val="20"/>
          <w:szCs w:val="20"/>
          <w:color w:val="auto"/>
        </w:rPr>
      </w:pPr>
      <w:r>
        <w:rPr>
          <w:rFonts w:ascii="Courier New" w:cs="Courier New" w:eastAsia="Courier New" w:hAnsi="Courier New"/>
          <w:sz w:val="18"/>
          <w:szCs w:val="18"/>
          <w:color w:val="auto"/>
        </w:rPr>
        <w:t>Street Retail West 7, L.P.</w:t>
      </w:r>
    </w:p>
    <w:p>
      <w:pPr>
        <w:spacing w:after="0" w:line="237" w:lineRule="auto"/>
        <w:rPr>
          <w:sz w:val="20"/>
          <w:szCs w:val="20"/>
          <w:color w:val="auto"/>
        </w:rPr>
      </w:pPr>
      <w:r>
        <w:rPr>
          <w:rFonts w:ascii="Courier New" w:cs="Courier New" w:eastAsia="Courier New" w:hAnsi="Courier New"/>
          <w:sz w:val="18"/>
          <w:szCs w:val="18"/>
          <w:color w:val="auto"/>
        </w:rPr>
        <w:t>Street Retail West 9, L.P.</w:t>
      </w:r>
    </w:p>
    <w:p>
      <w:pPr>
        <w:spacing w:after="0"/>
        <w:rPr>
          <w:sz w:val="20"/>
          <w:szCs w:val="20"/>
          <w:color w:val="auto"/>
        </w:rPr>
      </w:pPr>
      <w:r>
        <w:rPr>
          <w:rFonts w:ascii="Courier New" w:cs="Courier New" w:eastAsia="Courier New" w:hAnsi="Courier New"/>
          <w:sz w:val="18"/>
          <w:szCs w:val="18"/>
          <w:color w:val="auto"/>
        </w:rPr>
        <w:t>Street Retail West 10, L.P.</w:t>
      </w:r>
    </w:p>
    <w:p>
      <w:pPr>
        <w:spacing w:after="0" w:line="237" w:lineRule="auto"/>
        <w:rPr>
          <w:sz w:val="20"/>
          <w:szCs w:val="20"/>
          <w:color w:val="auto"/>
        </w:rPr>
      </w:pPr>
      <w:r>
        <w:rPr>
          <w:rFonts w:ascii="Courier New" w:cs="Courier New" w:eastAsia="Courier New" w:hAnsi="Courier New"/>
          <w:sz w:val="18"/>
          <w:szCs w:val="18"/>
          <w:color w:val="auto"/>
        </w:rPr>
        <w:t>Street Retail Tempe I, LLC</w:t>
      </w:r>
    </w:p>
    <w:p>
      <w:pPr>
        <w:spacing w:after="0"/>
        <w:rPr>
          <w:sz w:val="20"/>
          <w:szCs w:val="20"/>
          <w:color w:val="auto"/>
        </w:rPr>
      </w:pPr>
      <w:r>
        <w:rPr>
          <w:rFonts w:ascii="Courier New" w:cs="Courier New" w:eastAsia="Courier New" w:hAnsi="Courier New"/>
          <w:sz w:val="18"/>
          <w:szCs w:val="18"/>
          <w:color w:val="auto"/>
        </w:rPr>
        <w:t>Street Retail Forest Hills I, LLC</w:t>
      </w:r>
    </w:p>
    <w:p>
      <w:pPr>
        <w:spacing w:after="0" w:line="237" w:lineRule="auto"/>
        <w:rPr>
          <w:sz w:val="20"/>
          <w:szCs w:val="20"/>
          <w:color w:val="auto"/>
        </w:rPr>
      </w:pPr>
      <w:r>
        <w:rPr>
          <w:rFonts w:ascii="Courier New" w:cs="Courier New" w:eastAsia="Courier New" w:hAnsi="Courier New"/>
          <w:sz w:val="18"/>
          <w:szCs w:val="18"/>
          <w:color w:val="auto"/>
        </w:rPr>
        <w:t>Street Retail Forest Hills II, LLC</w:t>
      </w:r>
    </w:p>
    <w:p>
      <w:pPr>
        <w:spacing w:after="0" w:line="238" w:lineRule="auto"/>
        <w:rPr>
          <w:sz w:val="20"/>
          <w:szCs w:val="20"/>
          <w:color w:val="auto"/>
        </w:rPr>
      </w:pPr>
      <w:r>
        <w:rPr>
          <w:rFonts w:ascii="Courier New" w:cs="Courier New" w:eastAsia="Courier New" w:hAnsi="Courier New"/>
          <w:sz w:val="18"/>
          <w:szCs w:val="18"/>
          <w:color w:val="auto"/>
        </w:rPr>
        <w:t>Street Retail San Antonio, LP</w:t>
      </w:r>
    </w:p>
    <w:p>
      <w:pPr>
        <w:spacing w:after="0"/>
        <w:rPr>
          <w:sz w:val="20"/>
          <w:szCs w:val="20"/>
          <w:color w:val="auto"/>
        </w:rPr>
      </w:pPr>
      <w:r>
        <w:rPr>
          <w:rFonts w:ascii="Courier New" w:cs="Courier New" w:eastAsia="Courier New" w:hAnsi="Courier New"/>
          <w:sz w:val="18"/>
          <w:szCs w:val="18"/>
          <w:color w:val="auto"/>
        </w:rPr>
        <w:t>FR Pike 7 Limited Partnership</w:t>
      </w:r>
    </w:p>
    <w:p>
      <w:pPr>
        <w:spacing w:after="0" w:line="237" w:lineRule="auto"/>
        <w:rPr>
          <w:sz w:val="20"/>
          <w:szCs w:val="20"/>
          <w:color w:val="auto"/>
        </w:rPr>
      </w:pPr>
      <w:r>
        <w:rPr>
          <w:rFonts w:ascii="Courier New" w:cs="Courier New" w:eastAsia="Courier New" w:hAnsi="Courier New"/>
          <w:sz w:val="18"/>
          <w:szCs w:val="18"/>
          <w:color w:val="auto"/>
        </w:rPr>
        <w:t>FR Leesburg Plaza, LLC</w:t>
      </w:r>
    </w:p>
    <w:p>
      <w:pPr>
        <w:spacing w:after="0"/>
        <w:rPr>
          <w:sz w:val="20"/>
          <w:szCs w:val="20"/>
          <w:color w:val="auto"/>
        </w:rPr>
      </w:pPr>
      <w:r>
        <w:rPr>
          <w:rFonts w:ascii="Courier New" w:cs="Courier New" w:eastAsia="Courier New" w:hAnsi="Courier New"/>
          <w:sz w:val="18"/>
          <w:szCs w:val="18"/>
          <w:color w:val="auto"/>
        </w:rPr>
        <w:t>FR Leesburg Plaza, LP</w:t>
      </w:r>
    </w:p>
    <w:p>
      <w:pPr>
        <w:spacing w:after="0" w:line="237" w:lineRule="auto"/>
        <w:rPr>
          <w:sz w:val="20"/>
          <w:szCs w:val="20"/>
          <w:color w:val="auto"/>
        </w:rPr>
      </w:pPr>
      <w:r>
        <w:rPr>
          <w:rFonts w:ascii="Courier New" w:cs="Courier New" w:eastAsia="Courier New" w:hAnsi="Courier New"/>
          <w:sz w:val="18"/>
          <w:szCs w:val="18"/>
          <w:color w:val="auto"/>
        </w:rPr>
        <w:t>Federal Realty Partners L.P.</w:t>
      </w:r>
    </w:p>
    <w:p>
      <w:pPr>
        <w:spacing w:after="0"/>
        <w:rPr>
          <w:sz w:val="20"/>
          <w:szCs w:val="20"/>
          <w:color w:val="auto"/>
        </w:rPr>
      </w:pPr>
      <w:r>
        <w:rPr>
          <w:rFonts w:ascii="Courier New" w:cs="Courier New" w:eastAsia="Courier New" w:hAnsi="Courier New"/>
          <w:sz w:val="18"/>
          <w:szCs w:val="18"/>
          <w:color w:val="auto"/>
        </w:rPr>
        <w:t>SRI Old Town, LLC</w:t>
      </w:r>
    </w:p>
    <w:p>
      <w:pPr>
        <w:spacing w:after="0" w:line="237" w:lineRule="auto"/>
        <w:rPr>
          <w:sz w:val="20"/>
          <w:szCs w:val="20"/>
          <w:color w:val="auto"/>
        </w:rPr>
      </w:pPr>
      <w:r>
        <w:rPr>
          <w:rFonts w:ascii="Courier New" w:cs="Courier New" w:eastAsia="Courier New" w:hAnsi="Courier New"/>
          <w:sz w:val="18"/>
          <w:szCs w:val="18"/>
          <w:color w:val="auto"/>
        </w:rPr>
        <w:t>Loehmann's Plaza Limited Partnership</w:t>
      </w:r>
    </w:p>
    <w:p>
      <w:pPr>
        <w:spacing w:after="0" w:line="238" w:lineRule="auto"/>
        <w:rPr>
          <w:sz w:val="20"/>
          <w:szCs w:val="20"/>
          <w:color w:val="auto"/>
        </w:rPr>
      </w:pPr>
      <w:r>
        <w:rPr>
          <w:rFonts w:ascii="Courier New" w:cs="Courier New" w:eastAsia="Courier New" w:hAnsi="Courier New"/>
          <w:sz w:val="18"/>
          <w:szCs w:val="18"/>
          <w:color w:val="auto"/>
        </w:rPr>
        <w:t>FR Associates Limited Partnership</w:t>
      </w:r>
    </w:p>
    <w:p>
      <w:pPr>
        <w:spacing w:after="0"/>
        <w:rPr>
          <w:sz w:val="20"/>
          <w:szCs w:val="20"/>
          <w:color w:val="auto"/>
        </w:rPr>
      </w:pPr>
      <w:r>
        <w:rPr>
          <w:rFonts w:ascii="Courier New" w:cs="Courier New" w:eastAsia="Courier New" w:hAnsi="Courier New"/>
          <w:sz w:val="18"/>
          <w:szCs w:val="18"/>
          <w:color w:val="auto"/>
        </w:rPr>
        <w:t>Andorra Associates</w:t>
      </w:r>
    </w:p>
    <w:p>
      <w:pPr>
        <w:spacing w:after="0" w:line="237" w:lineRule="auto"/>
        <w:rPr>
          <w:sz w:val="20"/>
          <w:szCs w:val="20"/>
          <w:color w:val="auto"/>
        </w:rPr>
      </w:pPr>
      <w:r>
        <w:rPr>
          <w:rFonts w:ascii="Courier New" w:cs="Courier New" w:eastAsia="Courier New" w:hAnsi="Courier New"/>
          <w:sz w:val="18"/>
          <w:szCs w:val="18"/>
          <w:color w:val="auto"/>
        </w:rPr>
        <w:t>Berman Enterprises II Limited Partnership</w:t>
      </w:r>
    </w:p>
    <w:p>
      <w:pPr>
        <w:spacing w:after="0"/>
        <w:rPr>
          <w:sz w:val="20"/>
          <w:szCs w:val="20"/>
          <w:color w:val="auto"/>
        </w:rPr>
      </w:pPr>
      <w:r>
        <w:rPr>
          <w:rFonts w:ascii="Courier New" w:cs="Courier New" w:eastAsia="Courier New" w:hAnsi="Courier New"/>
          <w:sz w:val="18"/>
          <w:szCs w:val="18"/>
          <w:color w:val="auto"/>
        </w:rPr>
        <w:t>Governor Plaza Associates</w:t>
      </w:r>
    </w:p>
    <w:p>
      <w:pPr>
        <w:spacing w:after="0" w:line="237" w:lineRule="auto"/>
        <w:rPr>
          <w:sz w:val="20"/>
          <w:szCs w:val="20"/>
          <w:color w:val="auto"/>
        </w:rPr>
      </w:pPr>
      <w:r>
        <w:rPr>
          <w:rFonts w:ascii="Courier New" w:cs="Courier New" w:eastAsia="Courier New" w:hAnsi="Courier New"/>
          <w:sz w:val="18"/>
          <w:szCs w:val="18"/>
          <w:color w:val="auto"/>
        </w:rPr>
        <w:t>Shopping Center Associates</w:t>
      </w:r>
    </w:p>
    <w:p>
      <w:pPr>
        <w:spacing w:after="0"/>
        <w:rPr>
          <w:sz w:val="20"/>
          <w:szCs w:val="20"/>
          <w:color w:val="auto"/>
        </w:rPr>
      </w:pPr>
      <w:r>
        <w:rPr>
          <w:rFonts w:ascii="Courier New" w:cs="Courier New" w:eastAsia="Courier New" w:hAnsi="Courier New"/>
          <w:sz w:val="18"/>
          <w:szCs w:val="18"/>
          <w:color w:val="auto"/>
        </w:rPr>
        <w:t>FRIT Escondido Promenade, LLC</w:t>
      </w:r>
    </w:p>
    <w:p>
      <w:pPr>
        <w:spacing w:after="0" w:line="237" w:lineRule="auto"/>
        <w:rPr>
          <w:sz w:val="20"/>
          <w:szCs w:val="20"/>
          <w:color w:val="auto"/>
        </w:rPr>
      </w:pPr>
      <w:r>
        <w:rPr>
          <w:rFonts w:ascii="Courier New" w:cs="Courier New" w:eastAsia="Courier New" w:hAnsi="Courier New"/>
          <w:sz w:val="18"/>
          <w:szCs w:val="18"/>
          <w:color w:val="auto"/>
        </w:rPr>
        <w:t>Congressional Plaza Associates</w:t>
      </w:r>
    </w:p>
    <w:p>
      <w:pPr>
        <w:spacing w:after="0"/>
        <w:rPr>
          <w:sz w:val="20"/>
          <w:szCs w:val="20"/>
          <w:color w:val="auto"/>
        </w:rPr>
      </w:pPr>
      <w:r>
        <w:rPr>
          <w:rFonts w:ascii="Courier New" w:cs="Courier New" w:eastAsia="Courier New" w:hAnsi="Courier New"/>
          <w:sz w:val="18"/>
          <w:szCs w:val="18"/>
          <w:color w:val="auto"/>
        </w:rPr>
        <w:t>FR Federal Plaza, LLC</w:t>
      </w:r>
    </w:p>
    <w:p>
      <w:pPr>
        <w:spacing w:after="0" w:line="237" w:lineRule="auto"/>
        <w:rPr>
          <w:sz w:val="20"/>
          <w:szCs w:val="20"/>
          <w:color w:val="auto"/>
        </w:rPr>
      </w:pPr>
      <w:r>
        <w:rPr>
          <w:rFonts w:ascii="Courier New" w:cs="Courier New" w:eastAsia="Courier New" w:hAnsi="Courier New"/>
          <w:sz w:val="18"/>
          <w:szCs w:val="18"/>
          <w:color w:val="auto"/>
        </w:rPr>
        <w:t>FRIT San Jose Town and Country Village, LLC</w:t>
      </w:r>
    </w:p>
    <w:p>
      <w:pPr>
        <w:spacing w:after="0" w:line="238" w:lineRule="auto"/>
        <w:rPr>
          <w:sz w:val="20"/>
          <w:szCs w:val="20"/>
          <w:color w:val="auto"/>
        </w:rPr>
      </w:pPr>
      <w:r>
        <w:rPr>
          <w:rFonts w:ascii="Courier New" w:cs="Courier New" w:eastAsia="Courier New" w:hAnsi="Courier New"/>
          <w:sz w:val="18"/>
          <w:szCs w:val="18"/>
          <w:color w:val="auto"/>
        </w:rPr>
        <w:t>La Rive Gauche San Jose, LLC</w:t>
      </w:r>
    </w:p>
    <w:p>
      <w:pPr>
        <w:spacing w:after="0"/>
        <w:rPr>
          <w:sz w:val="20"/>
          <w:szCs w:val="20"/>
          <w:color w:val="auto"/>
        </w:rPr>
      </w:pPr>
      <w:r>
        <w:rPr>
          <w:rFonts w:ascii="Courier New" w:cs="Courier New" w:eastAsia="Courier New" w:hAnsi="Courier New"/>
          <w:sz w:val="18"/>
          <w:szCs w:val="18"/>
          <w:color w:val="auto"/>
        </w:rPr>
        <w:t>Straits Santana Row, LLC</w:t>
      </w:r>
    </w:p>
    <w:p>
      <w:pPr>
        <w:spacing w:after="0" w:line="237" w:lineRule="auto"/>
        <w:rPr>
          <w:sz w:val="20"/>
          <w:szCs w:val="20"/>
          <w:color w:val="auto"/>
        </w:rPr>
      </w:pPr>
      <w:r>
        <w:rPr>
          <w:rFonts w:ascii="Courier New" w:cs="Courier New" w:eastAsia="Courier New" w:hAnsi="Courier New"/>
          <w:sz w:val="18"/>
          <w:szCs w:val="18"/>
          <w:color w:val="auto"/>
        </w:rPr>
        <w:t>Village Cafe Santana Row, LLC</w:t>
      </w:r>
    </w:p>
    <w:p>
      <w:pPr>
        <w:spacing w:after="0"/>
        <w:rPr>
          <w:sz w:val="20"/>
          <w:szCs w:val="20"/>
          <w:color w:val="auto"/>
        </w:rPr>
      </w:pPr>
      <w:r>
        <w:rPr>
          <w:rFonts w:ascii="Courier New" w:cs="Courier New" w:eastAsia="Courier New" w:hAnsi="Courier New"/>
          <w:sz w:val="18"/>
          <w:szCs w:val="18"/>
          <w:color w:val="auto"/>
        </w:rPr>
        <w:t>Blowfish SR, LLC</w:t>
      </w:r>
    </w:p>
    <w:p>
      <w:pPr>
        <w:spacing w:after="0" w:line="237" w:lineRule="auto"/>
        <w:rPr>
          <w:sz w:val="20"/>
          <w:szCs w:val="20"/>
          <w:color w:val="auto"/>
        </w:rPr>
      </w:pPr>
      <w:r>
        <w:rPr>
          <w:rFonts w:ascii="Courier New" w:cs="Courier New" w:eastAsia="Courier New" w:hAnsi="Courier New"/>
          <w:sz w:val="18"/>
          <w:szCs w:val="18"/>
          <w:color w:val="auto"/>
        </w:rPr>
        <w:t>Yankee Pier Santana Row, LLC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decimal"/>
      <w:start w:val="2"/>
    </w:lvl>
    <w:lvl w:ilvl="1">
      <w:lvlJc w:val="left"/>
      <w:lvlText w:val="(%2)"/>
      <w:numFmt w:val="lowerLetter"/>
      <w:start w:val="1"/>
    </w:lvl>
  </w:abstractNum>
  <w:abstractNum w:abstractNumId="2">
    <w:nsid w:val="2D1D5AE9"/>
    <w:multiLevelType w:val="hybridMultilevel"/>
    <w:lvl w:ilvl="0">
      <w:lvlJc w:val="left"/>
      <w:lvlText w:val="(%1)"/>
      <w:numFmt w:val="lowerLetter"/>
      <w:start w:val="2"/>
    </w:lvl>
  </w:abstractNum>
  <w:abstractNum w:abstractNumId="3">
    <w:nsid w:val="6763845E"/>
    <w:multiLevelType w:val="hybridMultilevel"/>
    <w:lvl w:ilvl="0">
      <w:lvlJc w:val="left"/>
      <w:lvlText w:val="%1"/>
      <w:numFmt w:val="lowerLetter"/>
      <w:start w:val="1"/>
    </w:lvl>
    <w:lvl w:ilvl="1">
      <w:lvlJc w:val="left"/>
      <w:lvlText w:val="(%2)"/>
      <w:numFmt w:val="lowerLetter"/>
      <w:start w:val="4"/>
    </w:lvl>
  </w:abstractNum>
  <w:abstractNum w:abstractNumId="4">
    <w:nsid w:val="75A2A8D4"/>
    <w:multiLevelType w:val="hybridMultilevel"/>
    <w:lvl w:ilvl="0">
      <w:lvlJc w:val="left"/>
      <w:lvlText w:val="(%1)"/>
      <w:numFmt w:val="lowerLetter"/>
      <w:start w:val="25"/>
    </w:lvl>
    <w:lvl w:ilvl="1">
      <w:lvlJc w:val="left"/>
      <w:lvlText w:val="%2"/>
      <w:numFmt w:val="lowerLetter"/>
      <w:start w:val="1"/>
    </w:lvl>
  </w:abstractNum>
  <w:abstractNum w:abstractNumId="5">
    <w:nsid w:val="8EDBDAB"/>
    <w:multiLevelType w:val="hybridMultilevel"/>
    <w:lvl w:ilvl="0">
      <w:lvlJc w:val="left"/>
      <w:lvlText w:val="(%1)"/>
      <w:numFmt w:val="lowerLetter"/>
      <w:start w:val="6"/>
    </w:lvl>
  </w:abstractNum>
  <w:abstractNum w:abstractNumId="6">
    <w:nsid w:val="79838CB2"/>
    <w:multiLevelType w:val="hybridMultilevel"/>
    <w:lvl w:ilvl="0">
      <w:lvlJc w:val="left"/>
      <w:lvlText w:val="(%1)"/>
      <w:numFmt w:val="lowerLetter"/>
      <w:start w:val="9"/>
    </w:lvl>
  </w:abstractNum>
  <w:abstractNum w:abstractNumId="7">
    <w:nsid w:val="4353D0CD"/>
    <w:multiLevelType w:val="hybridMultilevel"/>
    <w:lvl w:ilvl="0">
      <w:lvlJc w:val="left"/>
      <w:lvlText w:val="%1"/>
      <w:numFmt w:val="decimal"/>
      <w:start w:val="1"/>
    </w:lvl>
    <w:lvl w:ilvl="1">
      <w:lvlJc w:val="left"/>
      <w:lvlText w:val="(%2)"/>
      <w:numFmt w:val="lowerLetter"/>
      <w:start w:val="15"/>
    </w:lvl>
  </w:abstractNum>
  <w:abstractNum w:abstractNumId="8">
    <w:nsid w:val="B03E0C6"/>
    <w:multiLevelType w:val="hybridMultilevel"/>
    <w:lvl w:ilvl="0">
      <w:lvlJc w:val="left"/>
      <w:lvlText w:val="%1."/>
      <w:numFmt w:val="decimal"/>
      <w:start w:val="3"/>
    </w:lvl>
    <w:lvl w:ilvl="1">
      <w:lvlJc w:val="left"/>
      <w:lvlText w:val="%2"/>
      <w:numFmt w:val="lowerLetter"/>
      <w:start w:val="1"/>
    </w:lvl>
  </w:abstractNum>
  <w:abstractNum w:abstractNumId="9">
    <w:nsid w:val="189A769B"/>
    <w:multiLevelType w:val="hybridMultilevel"/>
    <w:lvl w:ilvl="0">
      <w:lvlJc w:val="left"/>
      <w:lvlText w:val="%1."/>
      <w:numFmt w:val="decimal"/>
      <w:start w:val="5"/>
    </w:lvl>
    <w:lvl w:ilvl="1">
      <w:lvlJc w:val="left"/>
      <w:lvlText w:val="(%2)"/>
      <w:numFmt w:val="lowerLetter"/>
      <w:start w:val="1"/>
    </w:lvl>
  </w:abstractNum>
  <w:abstractNum w:abstractNumId="10">
    <w:nsid w:val="54E49EB4"/>
    <w:multiLevelType w:val="hybridMultilevel"/>
    <w:lvl w:ilvl="0">
      <w:lvlJc w:val="left"/>
      <w:lvlText w:val="(%1)"/>
      <w:numFmt w:val="lowerLetter"/>
      <w:start w:val="2"/>
    </w:lvl>
  </w:abstractNum>
  <w:abstractNum w:abstractNumId="11">
    <w:nsid w:val="71F32454"/>
    <w:multiLevelType w:val="hybridMultilevel"/>
    <w:lvl w:ilvl="0">
      <w:lvlJc w:val="left"/>
      <w:lvlText w:val="%1"/>
      <w:numFmt w:val="upperLetter"/>
      <w:start w:val="61"/>
    </w:lvl>
    <w:lvl w:ilvl="1">
      <w:lvlJc w:val="left"/>
      <w:lvlText w:val="(%2)"/>
      <w:numFmt w:val="lowerLetter"/>
      <w:start w:val="6"/>
    </w:lvl>
  </w:abstractNum>
  <w:abstractNum w:abstractNumId="12">
    <w:nsid w:val="2CA88611"/>
    <w:multiLevelType w:val="hybridMultilevel"/>
    <w:lvl w:ilvl="0">
      <w:lvlJc w:val="left"/>
      <w:lvlText w:val="%1."/>
      <w:numFmt w:val="decimal"/>
      <w:start w:val="6"/>
    </w:lvl>
  </w:abstractNum>
  <w:abstractNum w:abstractNumId="13">
    <w:nsid w:val="836C40E"/>
    <w:multiLevelType w:val="hybridMultilevel"/>
    <w:lvl w:ilvl="0">
      <w:lvlJc w:val="left"/>
      <w:lvlText w:val="(%1)"/>
      <w:numFmt w:val="lowerRoman"/>
      <w:start w:val="7"/>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4">
    <w:nsid w:val="2901D82"/>
    <w:multiLevelType w:val="hybridMultilevel"/>
    <w:lvl w:ilvl="0">
      <w:lvlJc w:val="left"/>
      <w:lvlText w:val="(%1)"/>
      <w:numFmt w:val="lowerRoman"/>
      <w:start w:val="2"/>
    </w:lvl>
  </w:abstractNum>
  <w:abstractNum w:abstractNumId="15">
    <w:nsid w:val="3A95F874"/>
    <w:multiLevelType w:val="hybridMultilevel"/>
    <w:lvl w:ilvl="0">
      <w:lvlJc w:val="left"/>
      <w:lvlText w:val="(%1)"/>
      <w:numFmt w:val="lowerRoman"/>
      <w:start w:val="7"/>
    </w:lvl>
  </w:abstractNum>
  <w:abstractNum w:abstractNumId="16">
    <w:nsid w:val="8138641"/>
    <w:multiLevelType w:val="hybridMultilevel"/>
    <w:lvl w:ilvl="0">
      <w:lvlJc w:val="left"/>
      <w:lvlText w:val="(%1)"/>
      <w:numFmt w:val="lowerRoman"/>
      <w:start w:val="12"/>
    </w:lvl>
  </w:abstractNum>
  <w:abstractNum w:abstractNumId="17">
    <w:nsid w:val="1E7FF521"/>
    <w:multiLevelType w:val="hybridMultilevel"/>
    <w:lvl w:ilvl="0">
      <w:lvlJc w:val="left"/>
      <w:lvlText w:val="(%1)"/>
      <w:numFmt w:val="lowerLetter"/>
      <w:start w:val="4"/>
    </w:lvl>
  </w:abstractNum>
  <w:abstractNum w:abstractNumId="18">
    <w:nsid w:val="7C3DBD3D"/>
    <w:multiLevelType w:val="hybridMultilevel"/>
    <w:lvl w:ilvl="0">
      <w:lvlJc w:val="left"/>
      <w:lvlText w:val="(%1)"/>
      <w:numFmt w:val="lowerLetter"/>
      <w:start w:val="5"/>
    </w:lvl>
  </w:abstractNum>
  <w:abstractNum w:abstractNumId="19">
    <w:nsid w:val="737B8DDC"/>
    <w:multiLevelType w:val="hybridMultilevel"/>
    <w:lvl w:ilvl="0">
      <w:lvlJc w:val="left"/>
      <w:lvlText w:val="%1"/>
      <w:numFmt w:val="lowerLetter"/>
      <w:start w:val="1"/>
    </w:lvl>
    <w:lvl w:ilvl="1">
      <w:lvlJc w:val="left"/>
      <w:lvlText w:val="(%2)"/>
      <w:numFmt w:val="lowerLetter"/>
      <w:start w:val="7"/>
    </w:lvl>
  </w:abstractNum>
  <w:abstractNum w:abstractNumId="20">
    <w:nsid w:val="6CEAF087"/>
    <w:multiLevelType w:val="hybridMultilevel"/>
    <w:lvl w:ilvl="0">
      <w:lvlJc w:val="left"/>
      <w:lvlText w:val="(%1)"/>
      <w:numFmt w:val="lowerLetter"/>
      <w:start w:val="35"/>
    </w:lvl>
    <w:lvl w:ilvl="1">
      <w:lvlJc w:val="left"/>
      <w:lvlText w:val="(%2)"/>
      <w:numFmt w:val="lowerLetter"/>
      <w:start w:val="8"/>
    </w:lvl>
  </w:abstractNum>
  <w:abstractNum w:abstractNumId="21">
    <w:nsid w:val="22221A70"/>
    <w:multiLevelType w:val="hybridMultilevel"/>
    <w:lvl w:ilvl="0">
      <w:lvlJc w:val="left"/>
      <w:lvlText w:val="%1."/>
      <w:numFmt w:val="decimal"/>
      <w:start w:val="8"/>
    </w:lvl>
  </w:abstractNum>
  <w:abstractNum w:abstractNumId="22">
    <w:nsid w:val="4516DDE9"/>
    <w:multiLevelType w:val="hybridMultilevel"/>
    <w:lvl w:ilvl="0">
      <w:lvlJc w:val="left"/>
      <w:lvlText w:val="(%1)"/>
      <w:numFmt w:val="lowerLetter"/>
      <w:start w:val="2"/>
    </w:lvl>
  </w:abstractNum>
  <w:abstractNum w:abstractNumId="23">
    <w:nsid w:val="3006C83E"/>
    <w:multiLevelType w:val="hybridMultilevel"/>
    <w:lvl w:ilvl="0">
      <w:lvlJc w:val="left"/>
      <w:lvlText w:val="%1"/>
      <w:numFmt w:val="lowerLetter"/>
      <w:start w:val="1"/>
    </w:lvl>
    <w:lvl w:ilvl="1">
      <w:lvlJc w:val="left"/>
      <w:lvlText w:val="(%2)"/>
      <w:numFmt w:val="lowerLetter"/>
      <w:start w:val="3"/>
    </w:lvl>
  </w:abstractNum>
  <w:abstractNum w:abstractNumId="24">
    <w:nsid w:val="614FD4A1"/>
    <w:multiLevelType w:val="hybridMultilevel"/>
    <w:lvl w:ilvl="0">
      <w:lvlJc w:val="left"/>
      <w:lvlText w:val="(%1)"/>
      <w:numFmt w:val="lowerLetter"/>
      <w:start w:val="2"/>
    </w:lvl>
    <w:lvl w:ilvl="1">
      <w:lvlJc w:val="left"/>
      <w:lvlText w:val="(%2)"/>
      <w:numFmt w:val="lowerLetter"/>
      <w:start w:val="4"/>
    </w:lvl>
  </w:abstractNum>
  <w:abstractNum w:abstractNumId="25">
    <w:nsid w:val="419AC241"/>
    <w:multiLevelType w:val="hybridMultilevel"/>
    <w:lvl w:ilvl="0">
      <w:lvlJc w:val="left"/>
      <w:lvlText w:val="(%1)"/>
      <w:numFmt w:val="lowerLetter"/>
      <w:start w:val="2"/>
    </w:lvl>
    <w:lvl w:ilvl="1">
      <w:lvlJc w:val="left"/>
      <w:lvlText w:val="%2"/>
      <w:numFmt w:val="lowerLetter"/>
      <w:start w:val="1"/>
    </w:lvl>
  </w:abstractNum>
  <w:abstractNum w:abstractNumId="26">
    <w:nsid w:val="5577F8E1"/>
    <w:multiLevelType w:val="hybridMultilevel"/>
    <w:lvl w:ilvl="0">
      <w:lvlJc w:val="left"/>
      <w:lvlText w:val="(%1)"/>
      <w:numFmt w:val="lowerLetter"/>
      <w:start w:val="5"/>
    </w:lvl>
  </w:abstractNum>
  <w:abstractNum w:abstractNumId="27">
    <w:nsid w:val="440BADFC"/>
    <w:multiLevelType w:val="hybridMultilevel"/>
    <w:lvl w:ilvl="0">
      <w:lvlJc w:val="left"/>
      <w:lvlText w:val="%1."/>
      <w:numFmt w:val="decimal"/>
      <w:start w:val="9"/>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decimal"/>
      <w:start w:val="10"/>
    </w:lvl>
  </w:abstractNum>
  <w:abstractNum w:abstractNumId="30">
    <w:nsid w:val="77465F01"/>
    <w:multiLevelType w:val="hybridMultilevel"/>
    <w:lvl w:ilvl="0">
      <w:lvlJc w:val="left"/>
      <w:lvlText w:val="%1."/>
      <w:numFmt w:val="decimal"/>
      <w:start w:val="12"/>
    </w:lvl>
  </w:abstractNum>
  <w:abstractNum w:abstractNumId="31">
    <w:nsid w:val="7724C67E"/>
    <w:multiLevelType w:val="hybridMultilevel"/>
    <w:lvl w:ilvl="0">
      <w:lvlJc w:val="left"/>
      <w:lvlText w:val="%1."/>
      <w:numFmt w:val="decimal"/>
      <w:start w:val="13"/>
    </w:lvl>
  </w:abstractNum>
  <w:abstractNum w:abstractNumId="32">
    <w:nsid w:val="5C482A97"/>
    <w:multiLevelType w:val="hybridMultilevel"/>
    <w:lvl w:ilvl="0">
      <w:lvlJc w:val="left"/>
      <w:lvlText w:val="%1."/>
      <w:numFmt w:val="decimal"/>
      <w:start w:val="16"/>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5"/>
    </w:lvl>
    <w:lvl w:ilvl="1">
      <w:lvlJc w:val="left"/>
      <w:lvlText w:val="(%2)"/>
      <w:numFmt w:val="lowerLetter"/>
      <w:start w:val="1"/>
    </w:lvl>
  </w:abstractNum>
  <w:abstractNum w:abstractNumId="35">
    <w:nsid w:val="51EAD36B"/>
    <w:multiLevelType w:val="hybridMultilevel"/>
    <w:lvl w:ilvl="0">
      <w:lvlJc w:val="left"/>
      <w:lvlText w:val="(%1)"/>
      <w:numFmt w:val="lowerLetter"/>
      <w:start w:val="3"/>
    </w:lvl>
  </w:abstractNum>
  <w:abstractNum w:abstractNumId="36">
    <w:nsid w:val="2D517796"/>
    <w:multiLevelType w:val="hybridMultilevel"/>
    <w:lvl w:ilvl="0">
      <w:lvlJc w:val="left"/>
      <w:lvlText w:val="%1"/>
      <w:numFmt w:val="decimal"/>
      <w:start w:val="1"/>
    </w:lvl>
    <w:lvl w:ilvl="1">
      <w:lvlJc w:val="left"/>
      <w:lvlText w:val="(%2)"/>
      <w:numFmt w:val="lowerLetter"/>
      <w:start w:val="4"/>
    </w:lvl>
  </w:abstractNum>
  <w:abstractNum w:abstractNumId="37">
    <w:nsid w:val="580BD78F"/>
    <w:multiLevelType w:val="hybridMultilevel"/>
    <w:lvl w:ilvl="0">
      <w:lvlJc w:val="left"/>
      <w:lvlText w:val="%1."/>
      <w:numFmt w:val="decimal"/>
      <w:start w:val="7"/>
    </w:lvl>
    <w:lvl w:ilvl="1">
      <w:lvlJc w:val="left"/>
      <w:lvlText w:val="%2"/>
      <w:numFmt w:val="lowerLetter"/>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2"/>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2019-12-13T00:50:59Z</dcterms:created>
  <dcterms:modified xsi:type="dcterms:W3CDTF">2019-12-13T00:50:59Z</dcterms:modified>
</cp:coreProperties>
</file>