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399"/>
        <w:spacing w:after="0"/>
        <w:rPr>
          <w:sz w:val="20"/>
          <w:szCs w:val="20"/>
          <w:color w:val="auto"/>
        </w:rPr>
      </w:pPr>
      <w:r>
        <w:rPr>
          <w:rFonts w:ascii="Courier New" w:cs="Courier New" w:eastAsia="Courier New" w:hAnsi="Courier New"/>
          <w:sz w:val="16"/>
          <w:szCs w:val="16"/>
          <w:color w:val="auto"/>
        </w:rPr>
        <w:t>Filed pursuant to Rule 424(b)(3)</w:t>
      </w:r>
    </w:p>
    <w:p>
      <w:pPr>
        <w:spacing w:after="0" w:line="7" w:lineRule="exact"/>
        <w:rPr>
          <w:sz w:val="24"/>
          <w:szCs w:val="24"/>
          <w:color w:val="auto"/>
        </w:rPr>
      </w:pPr>
    </w:p>
    <w:p>
      <w:pPr>
        <w:jc w:val="right"/>
        <w:ind w:right="2399"/>
        <w:spacing w:after="0"/>
        <w:rPr>
          <w:sz w:val="20"/>
          <w:szCs w:val="20"/>
          <w:color w:val="auto"/>
        </w:rPr>
      </w:pPr>
      <w:r>
        <w:rPr>
          <w:rFonts w:ascii="Courier New" w:cs="Courier New" w:eastAsia="Courier New" w:hAnsi="Courier New"/>
          <w:sz w:val="16"/>
          <w:szCs w:val="16"/>
          <w:color w:val="auto"/>
        </w:rPr>
        <w:t>Registration No. 333-63619</w:t>
      </w:r>
    </w:p>
    <w:p>
      <w:pPr>
        <w:spacing w:after="0" w:line="195" w:lineRule="exact"/>
        <w:rPr>
          <w:sz w:val="24"/>
          <w:szCs w:val="24"/>
          <w:color w:val="auto"/>
        </w:rPr>
      </w:pPr>
    </w:p>
    <w:p>
      <w:pPr>
        <w:ind w:right="4059" w:firstLine="1662"/>
        <w:spacing w:after="0" w:line="248" w:lineRule="auto"/>
        <w:rPr>
          <w:sz w:val="20"/>
          <w:szCs w:val="20"/>
          <w:color w:val="auto"/>
        </w:rPr>
      </w:pPr>
      <w:r>
        <w:rPr>
          <w:rFonts w:ascii="Courier New" w:cs="Courier New" w:eastAsia="Courier New" w:hAnsi="Courier New"/>
          <w:sz w:val="16"/>
          <w:szCs w:val="16"/>
          <w:color w:val="auto"/>
        </w:rPr>
        <w:t>Subject to Completion, dated November 16, 1999 Prospectus Supplement</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30, 1998)</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[LOGO OF FEDERAL REALTY INVESTMENT TRUST]</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 Notes due</w:t>
      </w:r>
    </w:p>
    <w:p>
      <w:pPr>
        <w:sectPr>
          <w:pgSz w:w="11900" w:h="16838" w:orient="portrait"/>
          <w:cols w:equalWidth="0" w:num="1">
            <w:col w:w="10219"/>
          </w:cols>
          <w:pgMar w:left="240" w:top="618" w:right="1440" w:bottom="1440" w:gutter="0" w:footer="0" w:header="0"/>
        </w:sectPr>
      </w:pPr>
    </w:p>
    <w:p>
      <w:pPr>
        <w:spacing w:after="0" w:line="195" w:lineRule="exact"/>
        <w:rPr>
          <w:sz w:val="24"/>
          <w:szCs w:val="24"/>
          <w:color w:val="auto"/>
        </w:rPr>
      </w:pPr>
    </w:p>
    <w:p>
      <w:pPr>
        <w:jc w:val="center"/>
        <w:ind w:left="100"/>
        <w:spacing w:after="0" w:line="252" w:lineRule="auto"/>
        <w:rPr>
          <w:sz w:val="20"/>
          <w:szCs w:val="20"/>
          <w:color w:val="auto"/>
        </w:rPr>
      </w:pPr>
      <w:r>
        <w:rPr>
          <w:rFonts w:ascii="Courier New" w:cs="Courier New" w:eastAsia="Courier New" w:hAnsi="Courier New"/>
          <w:sz w:val="16"/>
          <w:szCs w:val="16"/>
          <w:color w:val="auto"/>
        </w:rPr>
        <w:t>. We will pay interest on the notes on a semi-annual basis on each year, beginning      , 2000. Interest will accrue from</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1999.</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w:t>
      </w:r>
    </w:p>
    <w:p>
      <w:pPr>
        <w:spacing w:after="0" w:line="382" w:lineRule="exact"/>
        <w:rPr>
          <w:sz w:val="24"/>
          <w:szCs w:val="24"/>
          <w:color w:val="auto"/>
        </w:rPr>
      </w:pPr>
    </w:p>
    <w:p>
      <w:pPr>
        <w:sectPr>
          <w:pgSz w:w="11900" w:h="16838" w:orient="portrait"/>
          <w:cols w:equalWidth="0" w:num="3">
            <w:col w:w="6060" w:space="480"/>
            <w:col w:w="700" w:space="280"/>
            <w:col w:w="2699"/>
          </w:cols>
          <w:pgMar w:left="240" w:top="618" w:right="1440" w:bottom="1440" w:gutter="0" w:footer="0" w:header="0"/>
          <w:type w:val="continuous"/>
        </w:sectPr>
      </w:pPr>
    </w:p>
    <w:p>
      <w:pPr>
        <w:ind w:left="200" w:right="2699" w:hanging="102"/>
        <w:spacing w:after="0" w:line="252" w:lineRule="auto"/>
        <w:tabs>
          <w:tab w:leader="none" w:pos="29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redeem the notes in whole or in part at any time before maturity at the redemption price described on page S-21.</w:t>
      </w:r>
    </w:p>
    <w:p>
      <w:pPr>
        <w:spacing w:after="0" w:line="183" w:lineRule="exact"/>
        <w:rPr>
          <w:sz w:val="24"/>
          <w:szCs w:val="24"/>
          <w:color w:val="auto"/>
        </w:rPr>
      </w:pPr>
    </w:p>
    <w:p>
      <w:pPr>
        <w:ind w:left="200" w:right="2979" w:hanging="102"/>
        <w:spacing w:after="0" w:line="252" w:lineRule="auto"/>
        <w:tabs>
          <w:tab w:leader="none" w:pos="298"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will be unsecured and will rank equally with all of our other unsecured senior indebtedness.</w:t>
      </w:r>
    </w:p>
    <w:p>
      <w:pPr>
        <w:spacing w:after="0" w:line="183" w:lineRule="exact"/>
        <w:rPr>
          <w:rFonts w:ascii="Courier New" w:cs="Courier New" w:eastAsia="Courier New" w:hAnsi="Courier New"/>
          <w:sz w:val="16"/>
          <w:szCs w:val="16"/>
          <w:color w:val="auto"/>
        </w:rPr>
      </w:pPr>
    </w:p>
    <w:p>
      <w:pPr>
        <w:ind w:left="200" w:hanging="200"/>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83"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Price to Discounts and Proceeds to</w:t>
      </w:r>
    </w:p>
    <w:p>
      <w:pPr>
        <w:spacing w:after="0" w:line="7" w:lineRule="exact"/>
        <w:rPr>
          <w:sz w:val="24"/>
          <w:szCs w:val="24"/>
          <w:color w:val="auto"/>
        </w:rPr>
      </w:pPr>
    </w:p>
    <w:p>
      <w:pPr>
        <w:ind w:left="980"/>
        <w:spacing w:after="0"/>
        <w:tabs>
          <w:tab w:leader="none" w:pos="1840" w:val="left"/>
          <w:tab w:leader="none" w:pos="3200" w:val="left"/>
        </w:tabs>
        <w:rPr>
          <w:sz w:val="20"/>
          <w:szCs w:val="20"/>
          <w:color w:val="auto"/>
        </w:rPr>
      </w:pPr>
      <w:r>
        <w:rPr>
          <w:rFonts w:ascii="Courier New" w:cs="Courier New" w:eastAsia="Courier New" w:hAnsi="Courier New"/>
          <w:sz w:val="16"/>
          <w:szCs w:val="16"/>
          <w:color w:val="auto"/>
        </w:rPr>
        <w:t>Public</w:t>
      </w:r>
      <w:r>
        <w:rPr>
          <w:sz w:val="20"/>
          <w:szCs w:val="20"/>
          <w:color w:val="auto"/>
        </w:rPr>
        <w:tab/>
      </w:r>
      <w:r>
        <w:rPr>
          <w:rFonts w:ascii="Courier New" w:cs="Courier New" w:eastAsia="Courier New" w:hAnsi="Courier New"/>
          <w:sz w:val="16"/>
          <w:szCs w:val="16"/>
          <w:color w:val="auto"/>
        </w:rPr>
        <w:t>Commissions</w:t>
        <w:tab/>
        <w:t>us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4"/>
          <w:szCs w:val="24"/>
          <w:color w:val="auto"/>
        </w:rPr>
      </w:pPr>
    </w:p>
    <w:p>
      <w:pPr>
        <w:spacing w:after="0"/>
        <w:tabs>
          <w:tab w:leader="none" w:pos="1260" w:val="left"/>
          <w:tab w:leader="none" w:pos="2420" w:val="left"/>
          <w:tab w:leader="none" w:pos="3700" w:val="left"/>
        </w:tabs>
        <w:rPr>
          <w:sz w:val="20"/>
          <w:szCs w:val="20"/>
          <w:color w:val="auto"/>
        </w:rPr>
      </w:pPr>
      <w:r>
        <w:rPr>
          <w:rFonts w:ascii="Courier New" w:cs="Courier New" w:eastAsia="Courier New" w:hAnsi="Courier New"/>
          <w:sz w:val="16"/>
          <w:szCs w:val="16"/>
          <w:color w:val="auto"/>
        </w:rPr>
        <w:t>Per note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4"/>
          <w:szCs w:val="24"/>
          <w:color w:val="auto"/>
        </w:rPr>
      </w:pPr>
    </w:p>
    <w:p>
      <w:pPr>
        <w:spacing w:after="0"/>
        <w:tabs>
          <w:tab w:leader="none" w:pos="1160" w:val="left"/>
          <w:tab w:leader="none" w:pos="2420" w:val="left"/>
          <w:tab w:leader="none" w:pos="3700"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18" w:right="1440" w:bottom="1440" w:gutter="0" w:footer="0" w:header="0"/>
          <w:type w:val="continuous"/>
        </w:sectPr>
      </w:pPr>
    </w:p>
    <w:p>
      <w:pPr>
        <w:spacing w:after="0" w:line="383" w:lineRule="exact"/>
        <w:rPr>
          <w:sz w:val="24"/>
          <w:szCs w:val="24"/>
          <w:color w:val="auto"/>
        </w:rPr>
      </w:pPr>
    </w:p>
    <w:p>
      <w:pPr>
        <w:spacing w:after="0" w:line="252" w:lineRule="auto"/>
        <w:rPr>
          <w:sz w:val="20"/>
          <w:szCs w:val="20"/>
          <w:color w:val="auto"/>
        </w:rPr>
      </w:pPr>
      <w:r>
        <w:rPr>
          <w:rFonts w:ascii="Courier New" w:cs="Courier New" w:eastAsia="Courier New" w:hAnsi="Courier New"/>
          <w:sz w:val="16"/>
          <w:szCs w:val="16"/>
          <w:color w:val="auto"/>
        </w:rPr>
        <w:t>(1)Plus accrued interest from date.</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1999, if settlement occurs after that</w:t>
      </w:r>
    </w:p>
    <w:p>
      <w:pPr>
        <w:spacing w:after="0" w:line="382" w:lineRule="exact"/>
        <w:rPr>
          <w:sz w:val="24"/>
          <w:szCs w:val="24"/>
          <w:color w:val="auto"/>
        </w:rPr>
      </w:pPr>
    </w:p>
    <w:p>
      <w:pPr>
        <w:sectPr>
          <w:pgSz w:w="11900" w:h="16838" w:orient="portrait"/>
          <w:cols w:equalWidth="0" w:num="2">
            <w:col w:w="2840" w:space="580"/>
            <w:col w:w="6799"/>
          </w:cols>
          <w:pgMar w:left="240" w:top="618" w:right="1440" w:bottom="1440" w:gutter="0" w:footer="0" w:header="0"/>
          <w:type w:val="continuous"/>
        </w:sectPr>
      </w:pPr>
    </w:p>
    <w:p>
      <w:pPr>
        <w:ind w:right="2499"/>
        <w:spacing w:after="0" w:line="249"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8" w:lineRule="exact"/>
        <w:rPr>
          <w:sz w:val="24"/>
          <w:szCs w:val="24"/>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The notes will be ready for delivery in book-entry form only through The Depos-itory Trust Company on or about , 1999.</w:t>
      </w:r>
    </w:p>
    <w:p>
      <w:pPr>
        <w:sectPr>
          <w:pgSz w:w="11900" w:h="16838" w:orient="portrait"/>
          <w:cols w:equalWidth="0" w:num="1">
            <w:col w:w="10219"/>
          </w:cols>
          <w:pgMar w:left="240" w:top="618" w:right="1440"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J.P. Morgan &amp; Co.</w:t>
      </w:r>
    </w:p>
    <w:p>
      <w:pPr>
        <w:spacing w:after="0" w:line="195" w:lineRule="exact"/>
        <w:rPr>
          <w:sz w:val="24"/>
          <w:szCs w:val="24"/>
          <w:color w:val="auto"/>
        </w:rPr>
      </w:pPr>
    </w:p>
    <w:p>
      <w:pPr>
        <w:sectPr>
          <w:pgSz w:w="11900" w:h="16838" w:orient="portrait"/>
          <w:cols w:equalWidth="0" w:num="2">
            <w:col w:w="5440" w:space="720"/>
            <w:col w:w="4059"/>
          </w:cols>
          <w:pgMar w:left="240" w:top="618" w:right="1440" w:bottom="1440" w:gutter="0" w:footer="0" w:header="0"/>
          <w:type w:val="continuous"/>
        </w:sectPr>
      </w:pPr>
    </w:p>
    <w:p>
      <w:pPr>
        <w:ind w:left="400"/>
        <w:spacing w:after="0"/>
        <w:rPr>
          <w:sz w:val="20"/>
          <w:szCs w:val="20"/>
          <w:color w:val="auto"/>
        </w:rPr>
      </w:pPr>
      <w:r>
        <w:rPr>
          <w:rFonts w:ascii="Courier New" w:cs="Courier New" w:eastAsia="Courier New" w:hAnsi="Courier New"/>
          <w:sz w:val="16"/>
          <w:szCs w:val="16"/>
          <w:color w:val="auto"/>
        </w:rPr>
        <w:t>First Union Securities, Inc.</w:t>
      </w:r>
    </w:p>
    <w:p>
      <w:pPr>
        <w:sectPr>
          <w:pgSz w:w="11900" w:h="16838" w:orient="portrait"/>
          <w:cols w:equalWidth="0" w:num="1">
            <w:col w:w="10219"/>
          </w:cols>
          <w:pgMar w:left="240" w:top="618" w:right="1440" w:bottom="1440" w:gutter="0" w:footer="0" w:header="0"/>
          <w:type w:val="continuous"/>
        </w:sectPr>
      </w:pPr>
    </w:p>
    <w:p>
      <w:pPr>
        <w:spacing w:after="0" w:line="195" w:lineRule="exact"/>
        <w:rPr>
          <w:sz w:val="24"/>
          <w:szCs w:val="24"/>
          <w:color w:val="auto"/>
        </w:rPr>
      </w:pPr>
    </w:p>
    <w:p>
      <w:pPr>
        <w:ind w:left="1360"/>
        <w:spacing w:after="0"/>
        <w:rPr>
          <w:sz w:val="20"/>
          <w:szCs w:val="20"/>
          <w:color w:val="auto"/>
        </w:rPr>
      </w:pPr>
      <w:r>
        <w:rPr>
          <w:rFonts w:ascii="Courier New" w:cs="Courier New" w:eastAsia="Courier New" w:hAnsi="Courier New"/>
          <w:sz w:val="16"/>
          <w:szCs w:val="16"/>
          <w:color w:val="auto"/>
        </w:rPr>
        <w:t>PNC Capital Markets, Inc.</w:t>
      </w:r>
    </w:p>
    <w:p>
      <w:pPr>
        <w:spacing w:after="0" w:line="195"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Warburg Dillon Read LLC</w:t>
      </w:r>
    </w:p>
    <w:p>
      <w:pPr>
        <w:spacing w:after="0" w:line="195" w:lineRule="exact"/>
        <w:rPr>
          <w:sz w:val="24"/>
          <w:szCs w:val="24"/>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November</w:t>
        <w:tab/>
        <w:t>, 1999.</w:t>
      </w:r>
    </w:p>
    <w:p>
      <w:pPr>
        <w:sectPr>
          <w:pgSz w:w="11900" w:h="16838" w:orient="portrait"/>
          <w:cols w:equalWidth="0" w:num="1">
            <w:col w:w="10219"/>
          </w:cols>
          <w:pgMar w:left="240" w:top="618" w:right="1440" w:bottom="1440" w:gutter="0" w:footer="0" w:header="0"/>
          <w:type w:val="continuous"/>
        </w:sectPr>
      </w:pPr>
    </w:p>
    <w:bookmarkStart w:id="1" w:name="page2"/>
    <w:bookmarkEnd w:id="1"/>
    <w:p>
      <w:pPr>
        <w:ind w:right="2699" w:firstLine="293"/>
        <w:spacing w:after="0" w:line="249" w:lineRule="auto"/>
        <w:rPr>
          <w:sz w:val="20"/>
          <w:szCs w:val="20"/>
          <w:color w:val="auto"/>
        </w:rPr>
      </w:pPr>
      <w:r>
        <w:rPr>
          <w:rFonts w:ascii="Courier New" w:cs="Courier New" w:eastAsia="Courier New" w:hAnsi="Courier New"/>
          <w:sz w:val="16"/>
          <w:szCs w:val="16"/>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and the accompanying prospectus is accurate as of their dates. Our business, financial condition, results of operations and prospects may have changed since then.</w:t>
      </w:r>
    </w:p>
    <w:p>
      <w:pPr>
        <w:spacing w:after="0" w:line="18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71"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Prospectus Supplement</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Federal Realty Investment Trust</w:t>
      </w:r>
      <w:r>
        <w:rPr>
          <w:sz w:val="20"/>
          <w:szCs w:val="20"/>
          <w:color w:val="auto"/>
        </w:rPr>
        <w:tab/>
      </w:r>
      <w:r>
        <w:rPr>
          <w:rFonts w:ascii="Courier New" w:cs="Courier New" w:eastAsia="Courier New" w:hAnsi="Courier New"/>
          <w:sz w:val="15"/>
          <w:szCs w:val="15"/>
          <w:color w:val="auto"/>
        </w:rPr>
        <w:t>S-3</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Recent Developments</w:t>
      </w:r>
      <w:r>
        <w:rPr>
          <w:sz w:val="20"/>
          <w:szCs w:val="20"/>
          <w:color w:val="auto"/>
        </w:rPr>
        <w:tab/>
      </w:r>
      <w:r>
        <w:rPr>
          <w:rFonts w:ascii="Courier New" w:cs="Courier New" w:eastAsia="Courier New" w:hAnsi="Courier New"/>
          <w:sz w:val="15"/>
          <w:szCs w:val="15"/>
          <w:color w:val="auto"/>
        </w:rPr>
        <w:t>S-4</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Ratios of Earnings to Fixed Charges</w:t>
      </w:r>
      <w:r>
        <w:rPr>
          <w:sz w:val="20"/>
          <w:szCs w:val="20"/>
          <w:color w:val="auto"/>
        </w:rPr>
        <w:tab/>
      </w:r>
      <w:r>
        <w:rPr>
          <w:rFonts w:ascii="Courier New" w:cs="Courier New" w:eastAsia="Courier New" w:hAnsi="Courier New"/>
          <w:sz w:val="15"/>
          <w:szCs w:val="15"/>
          <w:color w:val="auto"/>
        </w:rPr>
        <w:t>S-5</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5"/>
          <w:szCs w:val="15"/>
          <w:color w:val="auto"/>
        </w:rPr>
        <w:t>S-5</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Capitalization</w:t>
      </w:r>
      <w:r>
        <w:rPr>
          <w:sz w:val="20"/>
          <w:szCs w:val="20"/>
          <w:color w:val="auto"/>
        </w:rPr>
        <w:tab/>
      </w:r>
      <w:r>
        <w:rPr>
          <w:rFonts w:ascii="Courier New" w:cs="Courier New" w:eastAsia="Courier New" w:hAnsi="Courier New"/>
          <w:sz w:val="15"/>
          <w:szCs w:val="15"/>
          <w:color w:val="auto"/>
        </w:rPr>
        <w:t>S-6</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Selected Consolidated Financial Data</w:t>
      </w:r>
      <w:r>
        <w:rPr>
          <w:sz w:val="20"/>
          <w:szCs w:val="20"/>
          <w:color w:val="auto"/>
        </w:rPr>
        <w:tab/>
      </w:r>
      <w:r>
        <w:rPr>
          <w:rFonts w:ascii="Courier New" w:cs="Courier New" w:eastAsia="Courier New" w:hAnsi="Courier New"/>
          <w:sz w:val="15"/>
          <w:szCs w:val="15"/>
          <w:color w:val="auto"/>
        </w:rPr>
        <w:t>S-7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Discussion and Analysis of Financial Condition and Results</w:t>
      </w:r>
    </w:p>
    <w:p>
      <w:pPr>
        <w:spacing w:after="0" w:line="7" w:lineRule="exact"/>
        <w:rPr>
          <w:sz w:val="20"/>
          <w:szCs w:val="20"/>
          <w:color w:val="auto"/>
        </w:rPr>
      </w:pPr>
    </w:p>
    <w:p>
      <w:pPr>
        <w:ind w:left="100"/>
        <w:spacing w:after="0"/>
        <w:tabs>
          <w:tab w:leader="dot" w:pos="7220" w:val="left"/>
        </w:tabs>
        <w:rPr>
          <w:sz w:val="20"/>
          <w:szCs w:val="20"/>
          <w:color w:val="auto"/>
        </w:rPr>
      </w:pPr>
      <w:r>
        <w:rPr>
          <w:rFonts w:ascii="Courier New" w:cs="Courier New" w:eastAsia="Courier New" w:hAnsi="Courier New"/>
          <w:sz w:val="16"/>
          <w:szCs w:val="16"/>
          <w:color w:val="auto"/>
        </w:rPr>
        <w:t>of Operations</w:t>
      </w:r>
      <w:r>
        <w:rPr>
          <w:sz w:val="20"/>
          <w:szCs w:val="20"/>
          <w:color w:val="auto"/>
        </w:rPr>
        <w:tab/>
      </w:r>
      <w:r>
        <w:rPr>
          <w:rFonts w:ascii="Courier New" w:cs="Courier New" w:eastAsia="Courier New" w:hAnsi="Courier New"/>
          <w:sz w:val="15"/>
          <w:szCs w:val="15"/>
          <w:color w:val="auto"/>
        </w:rPr>
        <w:t>S-8</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Business Strategy</w:t>
      </w:r>
      <w:r>
        <w:rPr>
          <w:sz w:val="20"/>
          <w:szCs w:val="20"/>
          <w:color w:val="auto"/>
        </w:rPr>
        <w:tab/>
      </w:r>
      <w:r>
        <w:rPr>
          <w:rFonts w:ascii="Courier New" w:cs="Courier New" w:eastAsia="Courier New" w:hAnsi="Courier New"/>
          <w:sz w:val="15"/>
          <w:szCs w:val="15"/>
          <w:color w:val="auto"/>
        </w:rPr>
        <w:t>S-12</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Management</w:t>
      </w:r>
      <w:r>
        <w:rPr>
          <w:sz w:val="20"/>
          <w:szCs w:val="20"/>
          <w:color w:val="auto"/>
        </w:rPr>
        <w:tab/>
      </w:r>
      <w:r>
        <w:rPr>
          <w:rFonts w:ascii="Courier New" w:cs="Courier New" w:eastAsia="Courier New" w:hAnsi="Courier New"/>
          <w:sz w:val="15"/>
          <w:szCs w:val="15"/>
          <w:color w:val="auto"/>
        </w:rPr>
        <w:t>S-15</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Property Information</w:t>
      </w:r>
      <w:r>
        <w:rPr>
          <w:sz w:val="20"/>
          <w:szCs w:val="20"/>
          <w:color w:val="auto"/>
        </w:rPr>
        <w:tab/>
      </w:r>
      <w:r>
        <w:rPr>
          <w:rFonts w:ascii="Courier New" w:cs="Courier New" w:eastAsia="Courier New" w:hAnsi="Courier New"/>
          <w:sz w:val="15"/>
          <w:szCs w:val="15"/>
          <w:color w:val="auto"/>
        </w:rPr>
        <w:t>S-16</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Description of Notes</w:t>
      </w:r>
      <w:r>
        <w:rPr>
          <w:sz w:val="20"/>
          <w:szCs w:val="20"/>
          <w:color w:val="auto"/>
        </w:rPr>
        <w:tab/>
      </w:r>
      <w:r>
        <w:rPr>
          <w:rFonts w:ascii="Courier New" w:cs="Courier New" w:eastAsia="Courier New" w:hAnsi="Courier New"/>
          <w:sz w:val="15"/>
          <w:szCs w:val="15"/>
          <w:color w:val="auto"/>
        </w:rPr>
        <w:t>S-21</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Federal Income Tax Considerations</w:t>
      </w:r>
      <w:r>
        <w:rPr>
          <w:sz w:val="20"/>
          <w:szCs w:val="20"/>
          <w:color w:val="auto"/>
        </w:rPr>
        <w:tab/>
      </w:r>
      <w:r>
        <w:rPr>
          <w:rFonts w:ascii="Courier New" w:cs="Courier New" w:eastAsia="Courier New" w:hAnsi="Courier New"/>
          <w:sz w:val="15"/>
          <w:szCs w:val="15"/>
          <w:color w:val="auto"/>
        </w:rPr>
        <w:t>S-25</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Underwriting</w:t>
      </w:r>
      <w:r>
        <w:rPr>
          <w:sz w:val="20"/>
          <w:szCs w:val="20"/>
          <w:color w:val="auto"/>
        </w:rPr>
        <w:tab/>
      </w:r>
      <w:r>
        <w:rPr>
          <w:rFonts w:ascii="Courier New" w:cs="Courier New" w:eastAsia="Courier New" w:hAnsi="Courier New"/>
          <w:sz w:val="15"/>
          <w:szCs w:val="15"/>
          <w:color w:val="auto"/>
        </w:rPr>
        <w:t>S-27</w:t>
      </w:r>
    </w:p>
    <w:p>
      <w:pPr>
        <w:spacing w:after="0" w:line="7" w:lineRule="exact"/>
        <w:rPr>
          <w:sz w:val="20"/>
          <w:szCs w:val="20"/>
          <w:color w:val="auto"/>
        </w:rPr>
      </w:pPr>
    </w:p>
    <w:p>
      <w:pPr>
        <w:spacing w:after="0"/>
        <w:tabs>
          <w:tab w:leader="dot" w:pos="722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5"/>
          <w:szCs w:val="15"/>
          <w:color w:val="auto"/>
        </w:rPr>
        <w:t>S-27</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Prospectus</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Available Information</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Incorporation of Certain Documents by Reference</w:t>
      </w:r>
      <w:r>
        <w:rPr>
          <w:sz w:val="20"/>
          <w:szCs w:val="20"/>
          <w:color w:val="auto"/>
        </w:rPr>
        <w:tab/>
      </w:r>
      <w:r>
        <w:rPr>
          <w:rFonts w:ascii="Courier New" w:cs="Courier New" w:eastAsia="Courier New" w:hAnsi="Courier New"/>
          <w:sz w:val="16"/>
          <w:szCs w:val="16"/>
          <w:color w:val="auto"/>
        </w:rPr>
        <w:t>2</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The Trust</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Use of Proceeds</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Ratios of Earnings to Fixed Charges</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spacing w:after="0"/>
        <w:tabs>
          <w:tab w:leader="dot" w:pos="7500" w:val="left"/>
        </w:tabs>
        <w:rPr>
          <w:sz w:val="20"/>
          <w:szCs w:val="20"/>
          <w:color w:val="auto"/>
        </w:rPr>
      </w:pPr>
      <w:r>
        <w:rPr>
          <w:rFonts w:ascii="Courier New" w:cs="Courier New" w:eastAsia="Courier New" w:hAnsi="Courier New"/>
          <w:sz w:val="16"/>
          <w:szCs w:val="16"/>
          <w:color w:val="auto"/>
        </w:rPr>
        <w:t>Description of Debt Securities</w:t>
      </w:r>
      <w:r>
        <w:rPr>
          <w:sz w:val="20"/>
          <w:szCs w:val="20"/>
          <w:color w:val="auto"/>
        </w:rPr>
        <w:tab/>
      </w:r>
      <w:r>
        <w:rPr>
          <w:rFonts w:ascii="Courier New" w:cs="Courier New" w:eastAsia="Courier New" w:hAnsi="Courier New"/>
          <w:sz w:val="16"/>
          <w:szCs w:val="16"/>
          <w:color w:val="auto"/>
        </w:rPr>
        <w:t>4</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Description of Preferred Shares</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Description of Common Shares</w:t>
      </w:r>
      <w:r>
        <w:rPr>
          <w:sz w:val="20"/>
          <w:szCs w:val="20"/>
          <w:color w:val="auto"/>
        </w:rPr>
        <w:tab/>
      </w:r>
      <w:r>
        <w:rPr>
          <w:rFonts w:ascii="Courier New" w:cs="Courier New" w:eastAsia="Courier New" w:hAnsi="Courier New"/>
          <w:sz w:val="16"/>
          <w:szCs w:val="16"/>
          <w:color w:val="auto"/>
        </w:rPr>
        <w:t>22</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Federal Income Tax Considerations</w:t>
      </w:r>
      <w:r>
        <w:rPr>
          <w:sz w:val="20"/>
          <w:szCs w:val="20"/>
          <w:color w:val="auto"/>
        </w:rPr>
        <w:tab/>
      </w:r>
      <w:r>
        <w:rPr>
          <w:rFonts w:ascii="Courier New" w:cs="Courier New" w:eastAsia="Courier New" w:hAnsi="Courier New"/>
          <w:sz w:val="16"/>
          <w:szCs w:val="16"/>
          <w:color w:val="auto"/>
        </w:rPr>
        <w:t>23</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Plan of Distribution</w:t>
      </w:r>
      <w:r>
        <w:rPr>
          <w:sz w:val="20"/>
          <w:szCs w:val="20"/>
          <w:color w:val="auto"/>
        </w:rPr>
        <w:tab/>
      </w:r>
      <w:r>
        <w:rPr>
          <w:rFonts w:ascii="Courier New" w:cs="Courier New" w:eastAsia="Courier New" w:hAnsi="Courier New"/>
          <w:sz w:val="16"/>
          <w:szCs w:val="16"/>
          <w:color w:val="auto"/>
        </w:rPr>
        <w:t>24</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Legal Opinions</w:t>
      </w:r>
      <w:r>
        <w:rPr>
          <w:sz w:val="20"/>
          <w:szCs w:val="20"/>
          <w:color w:val="auto"/>
        </w:rPr>
        <w:tab/>
      </w:r>
      <w:r>
        <w:rPr>
          <w:rFonts w:ascii="Courier New" w:cs="Courier New" w:eastAsia="Courier New" w:hAnsi="Courier New"/>
          <w:sz w:val="16"/>
          <w:szCs w:val="16"/>
          <w:color w:val="auto"/>
        </w:rPr>
        <w:t>25</w:t>
      </w:r>
    </w:p>
    <w:p>
      <w:pPr>
        <w:spacing w:after="0" w:line="7" w:lineRule="exact"/>
        <w:rPr>
          <w:sz w:val="20"/>
          <w:szCs w:val="20"/>
          <w:color w:val="auto"/>
        </w:rPr>
      </w:pPr>
    </w:p>
    <w:p>
      <w:pPr>
        <w:spacing w:after="0"/>
        <w:tabs>
          <w:tab w:leader="dot" w:pos="740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6"/>
          <w:szCs w:val="16"/>
          <w:color w:val="auto"/>
        </w:rPr>
        <w:t>25</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S-2</w:t>
      </w:r>
    </w:p>
    <w:p>
      <w:pPr>
        <w:sectPr>
          <w:pgSz w:w="11900" w:h="16838" w:orient="portrait"/>
          <w:cols w:equalWidth="0" w:num="1">
            <w:col w:w="10219"/>
          </w:cols>
          <w:pgMar w:left="240" w:top="680" w:right="1440" w:bottom="1440" w:gutter="0" w:footer="0" w:header="0"/>
        </w:sectPr>
      </w:pPr>
    </w:p>
    <w:bookmarkStart w:id="2" w:name="page3"/>
    <w:bookmarkEnd w:id="2"/>
    <w:p>
      <w:pPr>
        <w:jc w:val="center"/>
        <w:ind w:right="2499"/>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Founded in 1962, we are a self-administered equity real estate investment trust that owns, manages, develops and redevelops prime retail properties in the Northeast, Mid-Atlantic and West Coast regions. At September 30, 1999, we owned 123 retail properties and one apartment complex. We have traditionally focused our investment efforts on undervalued community and neighborhood shopping centers anchored by supermarkets, drug stores, or high volume, value oriented retailers providing consumer goods. After acquiring these types of properties, we have significantly enhanced their operating performance through renovation, expansion, reconfiguration and retenanting programs. With our investment in late 1993 in four city blocks of downtown Bethesda, Maryland, we began the expansion of our traditional investment focus to include "Main Street Retail" properties--retail buildings and mixed-use properties in prime urban shopping areas. Recognizing a trend of consumer shopping preferences and retailer expansion to main streets, in 1994, we formed a wholly owned subsidiary, Street Retail Inc., to pursue this investment strategy. Today, we are the largest landlord on a number of dynamic main streets. We also have an inventory of land parcels under our control for the purpose of developing multi-use projects that center around the retail component.</w:t>
      </w:r>
    </w:p>
    <w:p>
      <w:pPr>
        <w:spacing w:after="0" w:line="186"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have traditionally operated the company as a single business segment. During the fourth quarter of 1998, however, we changed our operating structure to an asset management model, where small, focused teams are responsible for a portfolio of assets. As a result, we have divided our portfolio of properties into three operating regions: the Northeast, the Mid-Atlantic and the West Coast. Each region is operated under the direction of a regional chief operating officer, with dedicated leasing, property management and financial staffs.</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continually evaluate our properties for renovation, retenanting and expansion opportunities. Similarly, we regularly review our portfolio and from time to time consider selling certain of our properties. Our operating results are affected by general economic and real estate conditions, including conditions specific to the markets where our properties are located.</w:t>
      </w:r>
    </w:p>
    <w:p>
      <w:pPr>
        <w:spacing w:after="0" w:line="187" w:lineRule="exact"/>
        <w:rPr>
          <w:sz w:val="20"/>
          <w:szCs w:val="20"/>
          <w:color w:val="auto"/>
        </w:rPr>
      </w:pPr>
    </w:p>
    <w:p>
      <w:pPr>
        <w:ind w:right="2879" w:firstLine="293"/>
        <w:spacing w:after="0" w:line="252" w:lineRule="auto"/>
        <w:rPr>
          <w:sz w:val="20"/>
          <w:szCs w:val="20"/>
          <w:color w:val="auto"/>
        </w:rPr>
      </w:pPr>
      <w:r>
        <w:rPr>
          <w:rFonts w:ascii="Courier New" w:cs="Courier New" w:eastAsia="Courier New" w:hAnsi="Courier New"/>
          <w:sz w:val="16"/>
          <w:szCs w:val="16"/>
          <w:color w:val="auto"/>
        </w:rPr>
        <w:t>We have benefited, and expect to continue to benefit, from the following characteristics of our operations:</w:t>
      </w:r>
    </w:p>
    <w:p>
      <w:pPr>
        <w:spacing w:after="0" w:line="183" w:lineRule="exact"/>
        <w:rPr>
          <w:sz w:val="20"/>
          <w:szCs w:val="20"/>
          <w:color w:val="auto"/>
        </w:rPr>
      </w:pPr>
    </w:p>
    <w:p>
      <w:pPr>
        <w:ind w:left="400" w:right="3079" w:hanging="204"/>
        <w:spacing w:after="0" w:line="250" w:lineRule="auto"/>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Contractual rents. During the twelve months ended September 30, 1999, 97.6% of our retail rental income was contractual minimum rent plus expense recoveries and was not derived from percentage rents.</w:t>
      </w:r>
    </w:p>
    <w:p>
      <w:pPr>
        <w:spacing w:after="0" w:line="185" w:lineRule="exact"/>
        <w:rPr>
          <w:sz w:val="20"/>
          <w:szCs w:val="20"/>
          <w:color w:val="auto"/>
        </w:rPr>
      </w:pPr>
    </w:p>
    <w:p>
      <w:pPr>
        <w:ind w:left="400" w:right="2879" w:hanging="204"/>
        <w:spacing w:after="0" w:line="250" w:lineRule="auto"/>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Diverse tenant base. In 1998, our retail rental income was derived from approximately 2,300 tenants, with no single tenant or corporate entity accounting for more than 3% of rental income.</w:t>
      </w:r>
    </w:p>
    <w:p>
      <w:pPr>
        <w:spacing w:after="0" w:line="185" w:lineRule="exact"/>
        <w:rPr>
          <w:sz w:val="20"/>
          <w:szCs w:val="20"/>
          <w:color w:val="auto"/>
        </w:rPr>
      </w:pPr>
    </w:p>
    <w:p>
      <w:pPr>
        <w:ind w:left="400" w:right="2699" w:hanging="204"/>
        <w:spacing w:after="0" w:line="249" w:lineRule="auto"/>
        <w:tabs>
          <w:tab w:leader="none" w:pos="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growth. Property net operating income (rental income plus other property income, less rental expenses and real estate taxes) increased at an annual average rate of 7.4% over the past five years, increasing from $83 million in 1994 to $110 million in 1998 for properties owned during all of the periods.</w:t>
      </w:r>
    </w:p>
    <w:p>
      <w:pPr>
        <w:spacing w:after="0" w:line="187" w:lineRule="exact"/>
        <w:rPr>
          <w:sz w:val="20"/>
          <w:szCs w:val="20"/>
          <w:color w:val="auto"/>
        </w:rPr>
      </w:pPr>
    </w:p>
    <w:p>
      <w:pPr>
        <w:ind w:left="400" w:right="2799" w:hanging="204"/>
        <w:spacing w:after="0" w:line="249" w:lineRule="auto"/>
        <w:tabs>
          <w:tab w:leader="none" w:pos="4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Favorable lease structure. Our typical shopping center lease includes provisions for at least partial recapture of property operating expenses and real estate taxes. Through September 30, 1999, we recovered 81% of property operating expenses and 73% of real estate taxes.</w:t>
      </w:r>
    </w:p>
    <w:p>
      <w:pPr>
        <w:spacing w:after="0" w:line="188" w:lineRule="exact"/>
        <w:rPr>
          <w:sz w:val="20"/>
          <w:szCs w:val="20"/>
          <w:color w:val="auto"/>
        </w:rPr>
      </w:pPr>
    </w:p>
    <w:p>
      <w:pPr>
        <w:ind w:left="400" w:right="2699" w:hanging="204"/>
        <w:spacing w:after="0" w:line="249" w:lineRule="auto"/>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Strong demand for our assets. During the twelve months ended September 30, 1999, we signed leases for 1,444,000 square feet of retail space. On a same space basis, we re-leased 1,075,000 square feet of retail space at an average increase in rent per square foot of 20%.</w:t>
      </w:r>
    </w:p>
    <w:p>
      <w:pPr>
        <w:spacing w:after="0" w:line="188" w:lineRule="exact"/>
        <w:rPr>
          <w:sz w:val="20"/>
          <w:szCs w:val="20"/>
          <w:color w:val="auto"/>
        </w:rPr>
      </w:pPr>
    </w:p>
    <w:p>
      <w:pPr>
        <w:ind w:left="400" w:right="2979" w:hanging="204"/>
        <w:spacing w:after="0" w:line="250"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Excellent demographics. Our properties tend to be located in densely populated, affluent markets where limited land availability and zoning restrictions limit the development of new competitive products.</w:t>
      </w:r>
    </w:p>
    <w:p>
      <w:pPr>
        <w:spacing w:after="0" w:line="185" w:lineRule="exact"/>
        <w:rPr>
          <w:sz w:val="20"/>
          <w:szCs w:val="20"/>
          <w:color w:val="auto"/>
        </w:rPr>
      </w:pPr>
    </w:p>
    <w:p>
      <w:pPr>
        <w:ind w:left="400" w:right="2799" w:hanging="204"/>
        <w:spacing w:after="0" w:line="249"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 term operating history. Our revenues have increased consistently since we were founded through many real estate and economic cycles. As a result, we have been able to increase our common dividend each and every year for the past 32 years.</w:t>
      </w:r>
    </w:p>
    <w:p>
      <w:pPr>
        <w:spacing w:after="0" w:line="188" w:lineRule="exact"/>
        <w:rPr>
          <w:sz w:val="20"/>
          <w:szCs w:val="20"/>
          <w:color w:val="auto"/>
        </w:rPr>
      </w:pPr>
    </w:p>
    <w:p>
      <w:pPr>
        <w:jc w:val="both"/>
        <w:ind w:right="2699" w:firstLine="293"/>
        <w:spacing w:after="0" w:line="250" w:lineRule="auto"/>
        <w:rPr>
          <w:sz w:val="20"/>
          <w:szCs w:val="20"/>
          <w:color w:val="auto"/>
        </w:rPr>
      </w:pPr>
      <w:r>
        <w:rPr>
          <w:rFonts w:ascii="Courier New" w:cs="Courier New" w:eastAsia="Courier New" w:hAnsi="Courier New"/>
          <w:sz w:val="16"/>
          <w:szCs w:val="16"/>
          <w:color w:val="auto"/>
        </w:rPr>
        <w:t>We are organized as a Maryland real estate investment trust. Our executive offices are located at 1626 East Jefferson Street, Rockville, Maryland 20852 and our telephone number is (301) 998-8100.</w:t>
      </w:r>
    </w:p>
    <w:p>
      <w:pPr>
        <w:spacing w:after="0" w:line="37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S-3</w:t>
      </w:r>
    </w:p>
    <w:p>
      <w:pPr>
        <w:sectPr>
          <w:pgSz w:w="11900" w:h="16838" w:orient="portrait"/>
          <w:cols w:equalWidth="0" w:num="1">
            <w:col w:w="10219"/>
          </w:cols>
          <w:pgMar w:left="240" w:top="680" w:right="1440" w:bottom="939" w:gutter="0" w:footer="0" w:header="0"/>
        </w:sectPr>
      </w:pPr>
    </w:p>
    <w:bookmarkStart w:id="3" w:name="page4"/>
    <w:bookmarkEnd w:id="3"/>
    <w:p>
      <w:pPr>
        <w:ind w:left="2940"/>
        <w:spacing w:after="0"/>
        <w:rPr>
          <w:sz w:val="20"/>
          <w:szCs w:val="20"/>
          <w:color w:val="auto"/>
        </w:rPr>
      </w:pPr>
      <w:r>
        <w:rPr>
          <w:rFonts w:ascii="Courier New" w:cs="Courier New" w:eastAsia="Courier New" w:hAnsi="Courier New"/>
          <w:sz w:val="16"/>
          <w:szCs w:val="16"/>
          <w:color w:val="auto"/>
        </w:rPr>
        <w:t>RECENT DEVELOPMENTS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Third Quarter Operating Results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On November 3, 1999, we announced our operating results for the third quarter of 1999. Our track record of increasing operating results continued as funds from operations for the third quarter of 1999 increased 14% to $24.4 million from $21.4 million in the third quarter of 1998. Funds from operations also improved for the first nine months of 1999, increasing 14% to $72.3 million from $63.6 million in 1998. At September 30, 1999, our overall stabilized occupancy was 95%. Excluding a property that has been sold since September 30, 1999, the overall stabilized occupancy was 96%. During the third quarter of 1999, we signed leases for 430,000 square feet of retail space. On a same space basis, we re-leased 324,000 square feet of retail space at an average increase in rent per square foot of 27%. The weighted average rent on these leases was $20.34 per square foot compared to the previous average rent of $16.02 per square foot. A comparison of property operations for the third quarter of 1999 versus the third quarter of 1998 shows the following:</w:t>
      </w:r>
    </w:p>
    <w:p>
      <w:pPr>
        <w:spacing w:after="0" w:line="187" w:lineRule="exact"/>
        <w:rPr>
          <w:sz w:val="20"/>
          <w:szCs w:val="20"/>
          <w:color w:val="auto"/>
        </w:rPr>
      </w:pPr>
    </w:p>
    <w:p>
      <w:pPr>
        <w:ind w:left="400" w:right="2879" w:hanging="204"/>
        <w:spacing w:after="0" w:line="249"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Rental income increased 12% to $62.0 million in 1999 from $55.4 million in 1998. When adjusted to exclude properties acquired and sold during 1998 and 1999, rental income increased 7% to $57.9 million in 1999 from $54.2 million in 1998.</w:t>
      </w:r>
    </w:p>
    <w:p>
      <w:pPr>
        <w:spacing w:after="0" w:line="188" w:lineRule="exact"/>
        <w:rPr>
          <w:sz w:val="20"/>
          <w:szCs w:val="20"/>
          <w:color w:val="auto"/>
        </w:rPr>
      </w:pPr>
    </w:p>
    <w:p>
      <w:pPr>
        <w:ind w:left="400" w:right="2879" w:hanging="204"/>
        <w:spacing w:after="0" w:line="250"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operating income increased 17% to $47.8 million in 1999 from $40.9 million in 1998. On a same center basis, net operating income increased 11% to $44.4 million in 1999 from $39.9 million in 1998.</w:t>
      </w:r>
    </w:p>
    <w:p>
      <w:pPr>
        <w:spacing w:after="0" w:line="185" w:lineRule="exact"/>
        <w:rPr>
          <w:sz w:val="20"/>
          <w:szCs w:val="20"/>
          <w:color w:val="auto"/>
        </w:rPr>
      </w:pPr>
    </w:p>
    <w:p>
      <w:pPr>
        <w:ind w:left="400" w:right="3379" w:hanging="204"/>
        <w:spacing w:after="0" w:line="250"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margins, defined as property net operating income as a percentage of property revenues, improved from 68.8% for the third quarter of 1998 to 70.2% for the third quarter of 1999.</w:t>
      </w:r>
    </w:p>
    <w:p>
      <w:pPr>
        <w:spacing w:after="0" w:line="18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Also during the third quarter of 1999, in continuing to explore strategic alternatives to maximize shareholder value, we considered spinning off certain of our assets (primarily those related to the development and operation of our Main Street Retail program) in a taxable transaction to shareholders. Shortly thereafter, our remaining assets were to be merged with another publicly traded shopping center company in exchange for cash and stock consideration. On September 24, 1999, we announced that the merger negotiations were terminated and that the spin off was being reevaluated. Although there are currently no plans to consummate a spin off or merger transaction, management continues to evaluate ways to maximize shareholder values and has renewed its focus on maximizing the profitability of our operating portfolio.</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Creation of Chief Operating Officer Position</w:t>
      </w:r>
    </w:p>
    <w:p>
      <w:pPr>
        <w:spacing w:after="0" w:line="19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On November 3, 1999, we announced the appointment of Donald C. Wood as Chief Operating Officer. Our regional asset management approach, which was implemented in 1998, coupled with a compensation program tied to achievement of regional goals, has been recognized as an effective way to reduce bureaucracy and empower and develop key managers. The Chief Operating Officer will have direct responsibility for the operating and financial performance and the long-term value enhancement of our operating properties.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and Redevelopments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During the first nine months of 1999, we acquired a 90% interest in three buildings in Hollywood, California for a total cash investment by us of $23.7 million. The first two buildings contain 120,000 and 64,000 leasable square feet, respectively. The third building is vacant pending redevelopment. In addition, during the first nine months of 1999, we invested $7.2 million in mortgage notes receivable with an average weighted interest rate of 10%. Though we believe that current market conditions generally do not favor acquisitions, we will continue to purchase assets that support favorable risk-adjusted returns.</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intend to continue our practice of redeveloping and expanding properties within our portfolio. During the first nine months of 1999, we spent $45 million for the renovation and redevelopment of certain properties. We believe that the risk-adjusted returns on these projects are beneficial to shareholders in addition to enhancing the long-term value of these properties.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Financings</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We primarily utilize our $300 million unsecured line of credit to fund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acquisitions and capital expenditures. As of November 1, 1999, there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$205.0 million outstanding under our credit facility. Our credit facility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entered into in December 1997 for a term of five years. Borrowings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facility bear interest at 65 basis points over the London Interbank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Offered Rate ("LIBOR"). The weighted average interest rate on borrowings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nine months ended</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S-4</w:t>
      </w:r>
    </w:p>
    <w:p>
      <w:pPr>
        <w:sectPr>
          <w:pgSz w:w="11900" w:h="16838" w:orient="portrait"/>
          <w:cols w:equalWidth="0" w:num="1">
            <w:col w:w="10219"/>
          </w:cols>
          <w:pgMar w:left="240" w:top="680" w:right="1440" w:bottom="0" w:gutter="0" w:footer="0" w:header="0"/>
        </w:sectPr>
      </w:pPr>
    </w:p>
    <w:bookmarkStart w:id="4" w:name="page5"/>
    <w:bookmarkEnd w:id="4"/>
    <w:p>
      <w:pPr>
        <w:ind w:right="2599"/>
        <w:spacing w:after="0" w:line="250" w:lineRule="auto"/>
        <w:rPr>
          <w:sz w:val="20"/>
          <w:szCs w:val="20"/>
          <w:color w:val="auto"/>
        </w:rPr>
      </w:pPr>
      <w:r>
        <w:rPr>
          <w:rFonts w:ascii="Courier New" w:cs="Courier New" w:eastAsia="Courier New" w:hAnsi="Courier New"/>
          <w:sz w:val="16"/>
          <w:szCs w:val="16"/>
          <w:color w:val="auto"/>
        </w:rPr>
        <w:t>September 30, 1999 was 5.9%. Our credit facility requires fees and has various covenants including maintenance of a minimum shareholders' equity and maximum ratio of debt to net worth.</w:t>
      </w:r>
    </w:p>
    <w:p>
      <w:pPr>
        <w:spacing w:after="0" w:line="185" w:lineRule="exact"/>
        <w:rPr>
          <w:sz w:val="20"/>
          <w:szCs w:val="20"/>
          <w:color w:val="auto"/>
        </w:rPr>
      </w:pPr>
    </w:p>
    <w:p>
      <w:pPr>
        <w:ind w:right="2799" w:firstLine="293"/>
        <w:spacing w:after="0" w:line="249" w:lineRule="auto"/>
        <w:rPr>
          <w:sz w:val="20"/>
          <w:szCs w:val="20"/>
          <w:color w:val="auto"/>
        </w:rPr>
      </w:pPr>
      <w:r>
        <w:rPr>
          <w:rFonts w:ascii="Courier New" w:cs="Courier New" w:eastAsia="Courier New" w:hAnsi="Courier New"/>
          <w:sz w:val="16"/>
          <w:szCs w:val="16"/>
          <w:color w:val="auto"/>
        </w:rPr>
        <w:t>In October 1999, we sold Northeast Plaza Shopping Center in Atlanta, Georgia for $19.6 million in cash, realizing a loss of $6.4 million. Separately, mortgage notes receivable of $5.3 million were repaid in October 1999. The cash proceeds from these transactions were used to pay down our credit facility.</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95" w:lineRule="exact"/>
        <w:rPr>
          <w:sz w:val="20"/>
          <w:szCs w:val="20"/>
          <w:color w:val="auto"/>
        </w:rPr>
      </w:pPr>
    </w:p>
    <w:p>
      <w:pPr>
        <w:ind w:right="2599" w:firstLine="293"/>
        <w:spacing w:after="0" w:line="252" w:lineRule="auto"/>
        <w:rPr>
          <w:sz w:val="20"/>
          <w:szCs w:val="20"/>
          <w:color w:val="auto"/>
        </w:rPr>
      </w:pPr>
      <w:r>
        <w:rPr>
          <w:rFonts w:ascii="Courier New" w:cs="Courier New" w:eastAsia="Courier New" w:hAnsi="Courier New"/>
          <w:sz w:val="16"/>
          <w:szCs w:val="16"/>
          <w:color w:val="auto"/>
        </w:rPr>
        <w:t>The following table sets forth our consolidated ratios of earnings to fixed charges for the periods shown:</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20" w:type="dxa"/>
            <w:vAlign w:val="bottom"/>
          </w:tcPr>
          <w:p>
            <w:pPr>
              <w:ind w:left="300"/>
              <w:spacing w:after="0"/>
              <w:rPr>
                <w:sz w:val="20"/>
                <w:szCs w:val="20"/>
                <w:color w:val="auto"/>
              </w:rPr>
            </w:pPr>
            <w:r>
              <w:rPr>
                <w:rFonts w:ascii="Courier New" w:cs="Courier New" w:eastAsia="Courier New" w:hAnsi="Courier New"/>
                <w:sz w:val="16"/>
                <w:szCs w:val="16"/>
                <w:color w:val="auto"/>
              </w:rPr>
              <w:t>Nine Months Ended</w:t>
            </w:r>
          </w:p>
        </w:tc>
        <w:tc>
          <w:tcPr>
            <w:tcW w:w="820" w:type="dxa"/>
            <w:vAlign w:val="bottom"/>
          </w:tcPr>
          <w:p>
            <w:pPr>
              <w:spacing w:after="0"/>
              <w:rPr>
                <w:sz w:val="15"/>
                <w:szCs w:val="15"/>
                <w:color w:val="auto"/>
              </w:rPr>
            </w:pPr>
          </w:p>
        </w:tc>
      </w:tr>
      <w:tr>
        <w:trPr>
          <w:trHeight w:val="188"/>
        </w:trPr>
        <w:tc>
          <w:tcPr>
            <w:tcW w:w="25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Year Ended December</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31,</w:t>
            </w: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20" w:type="dxa"/>
            <w:vAlign w:val="bottom"/>
          </w:tcPr>
          <w:p>
            <w:pPr>
              <w:ind w:left="500"/>
              <w:spacing w:after="0"/>
              <w:rPr>
                <w:sz w:val="20"/>
                <w:szCs w:val="20"/>
                <w:color w:val="auto"/>
              </w:rPr>
            </w:pPr>
            <w:r>
              <w:rPr>
                <w:rFonts w:ascii="Courier New" w:cs="Courier New" w:eastAsia="Courier New" w:hAnsi="Courier New"/>
                <w:sz w:val="16"/>
                <w:szCs w:val="16"/>
                <w:color w:val="auto"/>
              </w:rPr>
              <w:t>September 30,</w:t>
            </w:r>
          </w:p>
        </w:tc>
        <w:tc>
          <w:tcPr>
            <w:tcW w:w="820" w:type="dxa"/>
            <w:vAlign w:val="bottom"/>
          </w:tcPr>
          <w:p>
            <w:pPr>
              <w:spacing w:after="0"/>
              <w:rPr>
                <w:sz w:val="16"/>
                <w:szCs w:val="16"/>
                <w:color w:val="auto"/>
              </w:rPr>
            </w:pPr>
          </w:p>
        </w:tc>
      </w:tr>
      <w:tr>
        <w:trPr>
          <w:trHeight w:val="188"/>
        </w:trPr>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1994</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c>
          <w:tcPr>
            <w:tcW w:w="1160" w:type="dxa"/>
            <w:vAlign w:val="bottom"/>
          </w:tcPr>
          <w:p>
            <w:pPr>
              <w:ind w:left="280"/>
              <w:spacing w:after="0"/>
              <w:rPr>
                <w:sz w:val="20"/>
                <w:szCs w:val="20"/>
                <w:color w:val="auto"/>
              </w:rPr>
            </w:pPr>
            <w:r>
              <w:rPr>
                <w:rFonts w:ascii="Courier New" w:cs="Courier New" w:eastAsia="Courier New" w:hAnsi="Courier New"/>
                <w:sz w:val="16"/>
                <w:szCs w:val="16"/>
                <w:color w:val="auto"/>
              </w:rPr>
              <w:t>1998</w:t>
            </w:r>
          </w:p>
        </w:tc>
        <w:tc>
          <w:tcPr>
            <w:tcW w:w="2020" w:type="dxa"/>
            <w:vAlign w:val="bottom"/>
          </w:tcPr>
          <w:p>
            <w:pPr>
              <w:ind w:left="700"/>
              <w:spacing w:after="0"/>
              <w:rPr>
                <w:sz w:val="20"/>
                <w:szCs w:val="20"/>
                <w:color w:val="auto"/>
              </w:rPr>
            </w:pPr>
            <w:r>
              <w:rPr>
                <w:rFonts w:ascii="Courier New" w:cs="Courier New" w:eastAsia="Courier New" w:hAnsi="Courier New"/>
                <w:sz w:val="16"/>
                <w:szCs w:val="16"/>
                <w:color w:val="auto"/>
              </w:rPr>
              <w:t>1998</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1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1120" w:type="dxa"/>
            <w:vAlign w:val="bottom"/>
          </w:tcPr>
          <w:p>
            <w:pPr>
              <w:spacing w:after="0"/>
              <w:rPr>
                <w:sz w:val="20"/>
                <w:szCs w:val="20"/>
                <w:color w:val="auto"/>
              </w:rPr>
            </w:pPr>
            <w:r>
              <w:rPr>
                <w:rFonts w:ascii="Courier New" w:cs="Courier New" w:eastAsia="Courier New" w:hAnsi="Courier New"/>
                <w:sz w:val="16"/>
                <w:szCs w:val="16"/>
                <w:color w:val="auto"/>
              </w:rPr>
              <w:t>1.61x</w:t>
            </w:r>
          </w:p>
        </w:tc>
        <w:tc>
          <w:tcPr>
            <w:tcW w:w="1380" w:type="dxa"/>
            <w:vAlign w:val="bottom"/>
          </w:tcPr>
          <w:p>
            <w:pPr>
              <w:ind w:left="240"/>
              <w:spacing w:after="0"/>
              <w:rPr>
                <w:sz w:val="20"/>
                <w:szCs w:val="20"/>
                <w:color w:val="auto"/>
              </w:rPr>
            </w:pPr>
            <w:r>
              <w:rPr>
                <w:rFonts w:ascii="Courier New" w:cs="Courier New" w:eastAsia="Courier New" w:hAnsi="Courier New"/>
                <w:sz w:val="16"/>
                <w:szCs w:val="16"/>
                <w:color w:val="auto"/>
              </w:rPr>
              <w:t>1.55x</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1.59x</w:t>
            </w:r>
          </w:p>
        </w:tc>
        <w:tc>
          <w:tcPr>
            <w:tcW w:w="1180" w:type="dxa"/>
            <w:vAlign w:val="bottom"/>
          </w:tcPr>
          <w:p>
            <w:pPr>
              <w:ind w:left="300"/>
              <w:spacing w:after="0"/>
              <w:rPr>
                <w:sz w:val="20"/>
                <w:szCs w:val="20"/>
                <w:color w:val="auto"/>
              </w:rPr>
            </w:pPr>
            <w:r>
              <w:rPr>
                <w:rFonts w:ascii="Courier New" w:cs="Courier New" w:eastAsia="Courier New" w:hAnsi="Courier New"/>
                <w:sz w:val="16"/>
                <w:szCs w:val="16"/>
                <w:color w:val="auto"/>
              </w:rPr>
              <w:t>1.70x</w:t>
            </w:r>
          </w:p>
        </w:tc>
        <w:tc>
          <w:tcPr>
            <w:tcW w:w="1160" w:type="dxa"/>
            <w:vAlign w:val="bottom"/>
          </w:tcPr>
          <w:p>
            <w:pPr>
              <w:ind w:left="280"/>
              <w:spacing w:after="0"/>
              <w:rPr>
                <w:sz w:val="20"/>
                <w:szCs w:val="20"/>
                <w:color w:val="auto"/>
              </w:rPr>
            </w:pPr>
            <w:r>
              <w:rPr>
                <w:rFonts w:ascii="Courier New" w:cs="Courier New" w:eastAsia="Courier New" w:hAnsi="Courier New"/>
                <w:sz w:val="16"/>
                <w:szCs w:val="16"/>
                <w:color w:val="auto"/>
              </w:rPr>
              <w:t>1.65x</w:t>
            </w:r>
          </w:p>
        </w:tc>
        <w:tc>
          <w:tcPr>
            <w:tcW w:w="2020" w:type="dxa"/>
            <w:vAlign w:val="bottom"/>
          </w:tcPr>
          <w:p>
            <w:pPr>
              <w:ind w:left="700"/>
              <w:spacing w:after="0"/>
              <w:rPr>
                <w:sz w:val="20"/>
                <w:szCs w:val="20"/>
                <w:color w:val="auto"/>
              </w:rPr>
            </w:pPr>
            <w:r>
              <w:rPr>
                <w:rFonts w:ascii="Courier New" w:cs="Courier New" w:eastAsia="Courier New" w:hAnsi="Courier New"/>
                <w:sz w:val="16"/>
                <w:szCs w:val="16"/>
                <w:color w:val="auto"/>
              </w:rPr>
              <w:t>1.63x</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1.71x</w:t>
            </w:r>
          </w:p>
        </w:tc>
      </w:tr>
    </w:tbl>
    <w:p>
      <w:pPr>
        <w:spacing w:after="0" w:line="380"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The ratio of earnings to combined fixed charges and preferred dividends was 1.64x and 1.46x for the years ended December 31, 1997 and 1998 and 1.43x and 1.54x for the nine months ended September 30, 1998 and 1999. There were no preferred dividends paid prior to 1997; as a result, the ratio of earnings to combined fixed charges and preferred dividends for the years ended December 31, 1994 through 1996 are unchanged from the ratios presented above.</w:t>
      </w:r>
    </w:p>
    <w:p>
      <w:pPr>
        <w:spacing w:after="0" w:line="18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USE OF PROCEEDS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net proceeds to us from the sale of the notes offered hereby are estimated to be $ . We intend to use $100 million of the proceeds to repay our senior notes that mature on January 15, 2000 and the remainder to pay down our credit facility.</w:t>
      </w:r>
    </w:p>
    <w:p>
      <w:pPr>
        <w:spacing w:after="0" w:line="188"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At September 30, 1999, the interest rate on our credit facility was 5.9% and at November 1, 1999, there was $205.0 million outstanding. Affiliates of First Union Securities, Inc., PNC Capital Markets, Inc. and Warburg Dillon Read LLC, three of the underwriters of the offering, are lenders on our credit facility and, upon application of the net proceeds from the offering of the notes, will receive their proportionate share of the amount of the credit facility to be repaid.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S-5</w:t>
      </w:r>
    </w:p>
    <w:p>
      <w:pPr>
        <w:sectPr>
          <w:pgSz w:w="11900" w:h="16838" w:orient="portrait"/>
          <w:cols w:equalWidth="0" w:num="1">
            <w:col w:w="10219"/>
          </w:cols>
          <w:pgMar w:left="240" w:top="680" w:right="1440" w:bottom="1440" w:gutter="0" w:footer="0" w:header="0"/>
        </w:sectPr>
      </w:pPr>
    </w:p>
    <w:bookmarkStart w:id="5" w:name="page6"/>
    <w:bookmarkEnd w:id="5"/>
    <w:p>
      <w:pPr>
        <w:jc w:val="center"/>
        <w:ind w:right="2599"/>
        <w:spacing w:after="0"/>
        <w:rPr>
          <w:sz w:val="20"/>
          <w:szCs w:val="20"/>
          <w:color w:val="auto"/>
        </w:rPr>
      </w:pPr>
      <w:r>
        <w:rPr>
          <w:rFonts w:ascii="Courier New" w:cs="Courier New" w:eastAsia="Courier New" w:hAnsi="Courier New"/>
          <w:sz w:val="16"/>
          <w:szCs w:val="16"/>
          <w:color w:val="auto"/>
        </w:rPr>
        <w:t>CAPITALIZATION</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following table sets forth our capitalization as of September 30, 1999, and as adjusted to give effect to the sale of the notes offered hereby and application of a portion of the proceeds therefrom to repay $100 million of senior notes that mature on January 15, 2000.</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25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September 30, 1999</w:t>
            </w:r>
          </w:p>
        </w:tc>
      </w:tr>
      <w:tr>
        <w:trPr>
          <w:trHeight w:val="188"/>
        </w:trPr>
        <w:tc>
          <w:tcPr>
            <w:tcW w:w="5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As</w:t>
            </w:r>
          </w:p>
        </w:tc>
      </w:tr>
      <w:tr>
        <w:trPr>
          <w:trHeight w:val="188"/>
        </w:trPr>
        <w:tc>
          <w:tcPr>
            <w:tcW w:w="5220" w:type="dxa"/>
            <w:vAlign w:val="bottom"/>
          </w:tcPr>
          <w:p>
            <w:pPr>
              <w:spacing w:after="0"/>
              <w:rPr>
                <w:sz w:val="16"/>
                <w:szCs w:val="16"/>
                <w:color w:val="auto"/>
              </w:rPr>
            </w:pP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Historical</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Adjusted</w:t>
            </w:r>
          </w:p>
        </w:tc>
      </w:tr>
      <w:tr>
        <w:trPr>
          <w:trHeight w:val="188"/>
        </w:trPr>
        <w:tc>
          <w:tcPr>
            <w:tcW w:w="5220" w:type="dxa"/>
            <w:vAlign w:val="bottom"/>
          </w:tcPr>
          <w:p>
            <w:pPr>
              <w:spacing w:after="0"/>
              <w:rPr>
                <w:sz w:val="16"/>
                <w:szCs w:val="16"/>
                <w:color w:val="auto"/>
              </w:rPr>
            </w:pP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220" w:type="dxa"/>
            <w:vAlign w:val="bottom"/>
          </w:tcPr>
          <w:p>
            <w:pPr>
              <w:spacing w:after="0"/>
              <w:rPr>
                <w:sz w:val="16"/>
                <w:szCs w:val="16"/>
                <w:color w:val="auto"/>
              </w:rPr>
            </w:pP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(in thousands)</w:t>
            </w:r>
          </w:p>
        </w:tc>
        <w:tc>
          <w:tcPr>
            <w:tcW w:w="920" w:type="dxa"/>
            <w:vAlign w:val="bottom"/>
          </w:tcPr>
          <w:p>
            <w:pPr>
              <w:spacing w:after="0"/>
              <w:rPr>
                <w:sz w:val="16"/>
                <w:szCs w:val="16"/>
                <w:color w:val="auto"/>
              </w:rPr>
            </w:pPr>
          </w:p>
        </w:tc>
      </w:tr>
      <w:tr>
        <w:trPr>
          <w:trHeight w:val="376"/>
        </w:trPr>
        <w:tc>
          <w:tcPr>
            <w:tcW w:w="5220" w:type="dxa"/>
            <w:vAlign w:val="bottom"/>
          </w:tcPr>
          <w:p>
            <w:pPr>
              <w:spacing w:after="0"/>
              <w:rPr>
                <w:sz w:val="20"/>
                <w:szCs w:val="20"/>
                <w:color w:val="auto"/>
              </w:rPr>
            </w:pPr>
            <w:r>
              <w:rPr>
                <w:rFonts w:ascii="Courier New" w:cs="Courier New" w:eastAsia="Courier New" w:hAnsi="Courier New"/>
                <w:sz w:val="16"/>
                <w:szCs w:val="16"/>
                <w:color w:val="auto"/>
              </w:rPr>
              <w:t>Debt:</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8"/>
        </w:trPr>
        <w:tc>
          <w:tcPr>
            <w:tcW w:w="5220" w:type="dxa"/>
            <w:vAlign w:val="bottom"/>
          </w:tcPr>
          <w:p>
            <w:pPr>
              <w:jc w:val="right"/>
              <w:spacing w:after="0"/>
              <w:rPr>
                <w:sz w:val="20"/>
                <w:szCs w:val="20"/>
                <w:color w:val="auto"/>
              </w:rPr>
            </w:pPr>
            <w:r>
              <w:rPr>
                <w:rFonts w:ascii="Courier New" w:cs="Courier New" w:eastAsia="Courier New" w:hAnsi="Courier New"/>
                <w:sz w:val="16"/>
                <w:szCs w:val="16"/>
                <w:color w:val="auto"/>
              </w:rPr>
              <w:t>Mortgages payable..................................</w:t>
            </w: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50,684</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$ 50,684</w:t>
            </w:r>
          </w:p>
        </w:tc>
      </w:tr>
      <w:tr>
        <w:trPr>
          <w:trHeight w:val="188"/>
        </w:trPr>
        <w:tc>
          <w:tcPr>
            <w:tcW w:w="5220" w:type="dxa"/>
            <w:vAlign w:val="bottom"/>
          </w:tcPr>
          <w:p>
            <w:pPr>
              <w:jc w:val="right"/>
              <w:spacing w:after="0"/>
              <w:rPr>
                <w:sz w:val="20"/>
                <w:szCs w:val="20"/>
                <w:color w:val="auto"/>
              </w:rPr>
            </w:pPr>
            <w:r>
              <w:rPr>
                <w:rFonts w:ascii="Courier New" w:cs="Courier New" w:eastAsia="Courier New" w:hAnsi="Courier New"/>
                <w:sz w:val="16"/>
                <w:szCs w:val="16"/>
                <w:color w:val="auto"/>
              </w:rPr>
              <w:t>Obligations under capital leases...................</w:t>
            </w: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122,124</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122,124</w:t>
            </w:r>
          </w:p>
        </w:tc>
      </w:tr>
      <w:tr>
        <w:trPr>
          <w:trHeight w:val="188"/>
        </w:trPr>
        <w:tc>
          <w:tcPr>
            <w:tcW w:w="5220" w:type="dxa"/>
            <w:vAlign w:val="bottom"/>
          </w:tcPr>
          <w:p>
            <w:pPr>
              <w:jc w:val="right"/>
              <w:spacing w:after="0"/>
              <w:rPr>
                <w:sz w:val="20"/>
                <w:szCs w:val="20"/>
                <w:color w:val="auto"/>
              </w:rPr>
            </w:pPr>
            <w:r>
              <w:rPr>
                <w:rFonts w:ascii="Courier New" w:cs="Courier New" w:eastAsia="Courier New" w:hAnsi="Courier New"/>
                <w:sz w:val="16"/>
                <w:szCs w:val="16"/>
                <w:color w:val="auto"/>
              </w:rPr>
              <w:t>Notes payable, primarily bank lines and notes(1)...</w:t>
            </w: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341,805</w:t>
            </w:r>
          </w:p>
        </w:tc>
        <w:tc>
          <w:tcPr>
            <w:tcW w:w="920" w:type="dxa"/>
            <w:vAlign w:val="bottom"/>
          </w:tcPr>
          <w:p>
            <w:pPr>
              <w:spacing w:after="0"/>
              <w:rPr>
                <w:sz w:val="16"/>
                <w:szCs w:val="16"/>
                <w:color w:val="auto"/>
              </w:rPr>
            </w:pPr>
          </w:p>
        </w:tc>
      </w:tr>
      <w:tr>
        <w:trPr>
          <w:trHeight w:val="188"/>
        </w:trPr>
        <w:tc>
          <w:tcPr>
            <w:tcW w:w="5220" w:type="dxa"/>
            <w:vAlign w:val="bottom"/>
          </w:tcPr>
          <w:p>
            <w:pPr>
              <w:jc w:val="right"/>
              <w:spacing w:after="0"/>
              <w:rPr>
                <w:sz w:val="20"/>
                <w:szCs w:val="20"/>
                <w:color w:val="auto"/>
              </w:rPr>
            </w:pPr>
            <w:r>
              <w:rPr>
                <w:rFonts w:ascii="Courier New" w:cs="Courier New" w:eastAsia="Courier New" w:hAnsi="Courier New"/>
                <w:sz w:val="16"/>
                <w:szCs w:val="16"/>
                <w:color w:val="auto"/>
              </w:rPr>
              <w:t>Senior notes.......................................</w:t>
            </w: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335,000</w:t>
            </w:r>
          </w:p>
        </w:tc>
        <w:tc>
          <w:tcPr>
            <w:tcW w:w="920" w:type="dxa"/>
            <w:vAlign w:val="bottom"/>
          </w:tcPr>
          <w:p>
            <w:pPr>
              <w:spacing w:after="0"/>
              <w:rPr>
                <w:sz w:val="16"/>
                <w:szCs w:val="16"/>
                <w:color w:val="auto"/>
              </w:rPr>
            </w:pPr>
          </w:p>
        </w:tc>
      </w:tr>
      <w:tr>
        <w:trPr>
          <w:trHeight w:val="188"/>
        </w:trPr>
        <w:tc>
          <w:tcPr>
            <w:tcW w:w="5220" w:type="dxa"/>
            <w:vAlign w:val="bottom"/>
          </w:tcPr>
          <w:p>
            <w:pPr>
              <w:jc w:val="right"/>
              <w:spacing w:after="0"/>
              <w:rPr>
                <w:sz w:val="20"/>
                <w:szCs w:val="20"/>
                <w:color w:val="auto"/>
              </w:rPr>
            </w:pPr>
            <w:r>
              <w:rPr>
                <w:rFonts w:ascii="Courier New" w:cs="Courier New" w:eastAsia="Courier New" w:hAnsi="Courier New"/>
                <w:sz w:val="16"/>
                <w:szCs w:val="16"/>
                <w:color w:val="auto"/>
              </w:rPr>
              <w:t>Convertible subordinated debentures................</w:t>
            </w: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75,289</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75,289</w:t>
            </w:r>
          </w:p>
        </w:tc>
      </w:tr>
      <w:tr>
        <w:trPr>
          <w:trHeight w:val="376"/>
        </w:trPr>
        <w:tc>
          <w:tcPr>
            <w:tcW w:w="5220" w:type="dxa"/>
            <w:vAlign w:val="bottom"/>
          </w:tcPr>
          <w:p>
            <w:pPr>
              <w:spacing w:after="0"/>
              <w:rPr>
                <w:sz w:val="24"/>
                <w:szCs w:val="24"/>
                <w:color w:val="auto"/>
              </w:rPr>
            </w:pP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220" w:type="dxa"/>
            <w:vAlign w:val="bottom"/>
          </w:tcPr>
          <w:p>
            <w:pPr>
              <w:jc w:val="right"/>
              <w:spacing w:after="0"/>
              <w:rPr>
                <w:sz w:val="20"/>
                <w:szCs w:val="20"/>
                <w:color w:val="auto"/>
              </w:rPr>
            </w:pPr>
            <w:r>
              <w:rPr>
                <w:rFonts w:ascii="Courier New" w:cs="Courier New" w:eastAsia="Courier New" w:hAnsi="Courier New"/>
                <w:sz w:val="16"/>
                <w:szCs w:val="16"/>
                <w:color w:val="auto"/>
              </w:rPr>
              <w:t>Total debt.......................................</w:t>
            </w: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924,902</w:t>
            </w:r>
          </w:p>
        </w:tc>
        <w:tc>
          <w:tcPr>
            <w:tcW w:w="920" w:type="dxa"/>
            <w:vAlign w:val="bottom"/>
          </w:tcPr>
          <w:p>
            <w:pPr>
              <w:spacing w:after="0"/>
              <w:rPr>
                <w:sz w:val="24"/>
                <w:szCs w:val="24"/>
                <w:color w:val="auto"/>
              </w:rPr>
            </w:pPr>
          </w:p>
        </w:tc>
      </w:tr>
      <w:tr>
        <w:trPr>
          <w:trHeight w:val="376"/>
        </w:trPr>
        <w:tc>
          <w:tcPr>
            <w:tcW w:w="5220" w:type="dxa"/>
            <w:vAlign w:val="bottom"/>
          </w:tcPr>
          <w:p>
            <w:pPr>
              <w:spacing w:after="0"/>
              <w:rPr>
                <w:sz w:val="24"/>
                <w:szCs w:val="24"/>
                <w:color w:val="auto"/>
              </w:rPr>
            </w:pP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2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8"/>
        </w:trPr>
        <w:tc>
          <w:tcPr>
            <w:tcW w:w="5220" w:type="dxa"/>
            <w:vAlign w:val="bottom"/>
          </w:tcPr>
          <w:p>
            <w:pPr>
              <w:jc w:val="right"/>
              <w:spacing w:after="0"/>
              <w:rPr>
                <w:sz w:val="20"/>
                <w:szCs w:val="20"/>
                <w:color w:val="auto"/>
              </w:rPr>
            </w:pPr>
            <w:r>
              <w:rPr>
                <w:rFonts w:ascii="Courier New" w:cs="Courier New" w:eastAsia="Courier New" w:hAnsi="Courier New"/>
                <w:sz w:val="16"/>
                <w:szCs w:val="16"/>
                <w:color w:val="auto"/>
              </w:rPr>
              <w:t>Preferred shares...................................</w:t>
            </w: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100,000</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100,000</w:t>
            </w:r>
          </w:p>
        </w:tc>
      </w:tr>
      <w:tr>
        <w:trPr>
          <w:trHeight w:val="188"/>
        </w:trPr>
        <w:tc>
          <w:tcPr>
            <w:tcW w:w="5220" w:type="dxa"/>
            <w:vAlign w:val="bottom"/>
          </w:tcPr>
          <w:p>
            <w:pPr>
              <w:jc w:val="right"/>
              <w:spacing w:after="0"/>
              <w:rPr>
                <w:sz w:val="20"/>
                <w:szCs w:val="20"/>
                <w:color w:val="auto"/>
              </w:rPr>
            </w:pPr>
            <w:r>
              <w:rPr>
                <w:rFonts w:ascii="Courier New" w:cs="Courier New" w:eastAsia="Courier New" w:hAnsi="Courier New"/>
                <w:sz w:val="16"/>
                <w:szCs w:val="16"/>
                <w:color w:val="auto"/>
              </w:rPr>
              <w:t>Common shares of beneficial interest...............</w:t>
            </w: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404</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404</w:t>
            </w:r>
          </w:p>
        </w:tc>
      </w:tr>
      <w:tr>
        <w:trPr>
          <w:trHeight w:val="188"/>
        </w:trPr>
        <w:tc>
          <w:tcPr>
            <w:tcW w:w="5220" w:type="dxa"/>
            <w:vAlign w:val="bottom"/>
          </w:tcPr>
          <w:p>
            <w:pPr>
              <w:jc w:val="right"/>
              <w:spacing w:after="0"/>
              <w:rPr>
                <w:sz w:val="20"/>
                <w:szCs w:val="20"/>
                <w:color w:val="auto"/>
              </w:rPr>
            </w:pPr>
            <w:r>
              <w:rPr>
                <w:rFonts w:ascii="Courier New" w:cs="Courier New" w:eastAsia="Courier New" w:hAnsi="Courier New"/>
                <w:sz w:val="16"/>
                <w:szCs w:val="16"/>
                <w:color w:val="auto"/>
              </w:rPr>
              <w:t>Additional paid in capital.........................</w:t>
            </w: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712,434</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712,434</w:t>
            </w:r>
          </w:p>
        </w:tc>
      </w:tr>
      <w:tr>
        <w:trPr>
          <w:trHeight w:val="188"/>
        </w:trPr>
        <w:tc>
          <w:tcPr>
            <w:tcW w:w="5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Accumulated distributions in excess of Trust net</w:t>
            </w:r>
          </w:p>
        </w:tc>
        <w:tc>
          <w:tcPr>
            <w:tcW w:w="15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5220" w:type="dxa"/>
            <w:vAlign w:val="bottom"/>
          </w:tcPr>
          <w:p>
            <w:pPr>
              <w:jc w:val="right"/>
              <w:spacing w:after="0"/>
              <w:rPr>
                <w:sz w:val="20"/>
                <w:szCs w:val="20"/>
                <w:color w:val="auto"/>
              </w:rPr>
            </w:pPr>
            <w:r>
              <w:rPr>
                <w:rFonts w:ascii="Courier New" w:cs="Courier New" w:eastAsia="Courier New" w:hAnsi="Courier New"/>
                <w:sz w:val="16"/>
                <w:szCs w:val="16"/>
                <w:color w:val="auto"/>
              </w:rPr>
              <w:t>income............................................</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(280,143)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(280,143)</w:t>
            </w:r>
          </w:p>
        </w:tc>
      </w:tr>
      <w:tr>
        <w:trPr>
          <w:trHeight w:val="188"/>
        </w:trPr>
        <w:tc>
          <w:tcPr>
            <w:tcW w:w="522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( 22,986)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( 22,986)</w:t>
            </w:r>
          </w:p>
        </w:tc>
      </w:tr>
      <w:tr>
        <w:trPr>
          <w:trHeight w:val="376"/>
        </w:trPr>
        <w:tc>
          <w:tcPr>
            <w:tcW w:w="5220" w:type="dxa"/>
            <w:vAlign w:val="bottom"/>
          </w:tcPr>
          <w:p>
            <w:pPr>
              <w:spacing w:after="0"/>
              <w:rPr>
                <w:sz w:val="24"/>
                <w:szCs w:val="24"/>
                <w:color w:val="auto"/>
              </w:rPr>
            </w:pP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220" w:type="dxa"/>
            <w:vAlign w:val="bottom"/>
          </w:tcPr>
          <w:p>
            <w:pPr>
              <w:jc w:val="right"/>
              <w:spacing w:after="0"/>
              <w:rPr>
                <w:sz w:val="20"/>
                <w:szCs w:val="20"/>
                <w:color w:val="auto"/>
              </w:rPr>
            </w:pPr>
            <w:r>
              <w:rPr>
                <w:rFonts w:ascii="Courier New" w:cs="Courier New" w:eastAsia="Courier New" w:hAnsi="Courier New"/>
                <w:sz w:val="16"/>
                <w:szCs w:val="16"/>
                <w:color w:val="auto"/>
              </w:rPr>
              <w:t>Total shareholders' equity.......................</w:t>
            </w: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509,709</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509,709</w:t>
            </w:r>
          </w:p>
        </w:tc>
      </w:tr>
      <w:tr>
        <w:trPr>
          <w:trHeight w:val="376"/>
        </w:trPr>
        <w:tc>
          <w:tcPr>
            <w:tcW w:w="5220" w:type="dxa"/>
            <w:vAlign w:val="bottom"/>
          </w:tcPr>
          <w:p>
            <w:pPr>
              <w:spacing w:after="0"/>
              <w:rPr>
                <w:sz w:val="24"/>
                <w:szCs w:val="24"/>
                <w:color w:val="auto"/>
              </w:rPr>
            </w:pP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220" w:type="dxa"/>
            <w:vAlign w:val="bottom"/>
          </w:tcPr>
          <w:p>
            <w:pPr>
              <w:jc w:val="right"/>
              <w:spacing w:after="0"/>
              <w:rPr>
                <w:sz w:val="20"/>
                <w:szCs w:val="20"/>
                <w:color w:val="auto"/>
              </w:rPr>
            </w:pPr>
            <w:r>
              <w:rPr>
                <w:rFonts w:ascii="Courier New" w:cs="Courier New" w:eastAsia="Courier New" w:hAnsi="Courier New"/>
                <w:sz w:val="16"/>
                <w:szCs w:val="16"/>
                <w:color w:val="auto"/>
              </w:rPr>
              <w:t>Total capitalization...........................</w:t>
            </w: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$1,434,611</w:t>
            </w:r>
          </w:p>
        </w:tc>
        <w:tc>
          <w:tcPr>
            <w:tcW w:w="920" w:type="dxa"/>
            <w:vAlign w:val="bottom"/>
          </w:tcPr>
          <w:p>
            <w:pPr>
              <w:spacing w:after="0"/>
              <w:rPr>
                <w:sz w:val="24"/>
                <w:szCs w:val="24"/>
                <w:color w:val="auto"/>
              </w:rPr>
            </w:pPr>
          </w:p>
        </w:tc>
      </w:tr>
      <w:tr>
        <w:trPr>
          <w:trHeight w:val="376"/>
        </w:trPr>
        <w:tc>
          <w:tcPr>
            <w:tcW w:w="5220" w:type="dxa"/>
            <w:vAlign w:val="bottom"/>
          </w:tcPr>
          <w:p>
            <w:pPr>
              <w:spacing w:after="0"/>
              <w:rPr>
                <w:sz w:val="24"/>
                <w:szCs w:val="24"/>
                <w:color w:val="auto"/>
              </w:rPr>
            </w:pPr>
          </w:p>
        </w:tc>
        <w:tc>
          <w:tcPr>
            <w:tcW w:w="15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2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4" w:lineRule="exact"/>
        <w:rPr>
          <w:sz w:val="20"/>
          <w:szCs w:val="20"/>
          <w:color w:val="auto"/>
        </w:rPr>
      </w:pPr>
    </w:p>
    <w:p>
      <w:pPr>
        <w:ind w:left="400" w:right="2799" w:hanging="400"/>
        <w:spacing w:after="0" w:line="252" w:lineRule="auto"/>
        <w:tabs>
          <w:tab w:leader="none" w:pos="4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$213 million drawn on the credit facility, $125 million on a term note with banks and $3.8 million in miscellaneous notes payable.</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10219"/>
          </w:cols>
          <w:pgMar w:left="240" w:top="680" w:right="1440" w:bottom="1440" w:gutter="0" w:footer="0" w:header="0"/>
        </w:sectPr>
      </w:pPr>
    </w:p>
    <w:bookmarkStart w:id="6" w:name="page7"/>
    <w:bookmarkEnd w:id="6"/>
    <w:p>
      <w:pPr>
        <w:spacing w:after="0" w:line="1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95" w:lineRule="exact"/>
        <w:rPr>
          <w:sz w:val="20"/>
          <w:szCs w:val="20"/>
          <w:color w:val="auto"/>
        </w:rPr>
      </w:pPr>
    </w:p>
    <w:p>
      <w:pPr>
        <w:ind w:right="2940" w:firstLine="293"/>
        <w:spacing w:after="0" w:line="249" w:lineRule="auto"/>
        <w:rPr>
          <w:sz w:val="20"/>
          <w:szCs w:val="20"/>
          <w:color w:val="auto"/>
        </w:rPr>
      </w:pPr>
      <w:r>
        <w:rPr>
          <w:rFonts w:ascii="Courier New" w:cs="Courier New" w:eastAsia="Courier New" w:hAnsi="Courier New"/>
          <w:sz w:val="16"/>
          <w:szCs w:val="16"/>
          <w:color w:val="auto"/>
        </w:rPr>
        <w:t>The following table sets forth our selected consolidated financial data and should be read in conjunction with the consolidated financial statements and notes incorporated by reference in the accompanying prospectus. Our selected operating, other and balance sheet data for the years ended through December 31, 1998 and for the periods then ended have been derived from financial statements audited by Grant Thornton LLP, independent accountants. The unaudited financial data for the nine months ended September 30, 1999 and 1998 includes all adjustments, consisting of normal recurring accruals, which we consider necessary for the fair presentation of our financial position and the results of operations for such period. The results for the nine month period may not be indicative of the results to be expected for the full year.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20"/>
                <w:szCs w:val="20"/>
                <w:color w:val="auto"/>
              </w:rPr>
            </w:pPr>
            <w:r>
              <w:rPr>
                <w:rFonts w:ascii="Courier New" w:cs="Courier New" w:eastAsia="Courier New" w:hAnsi="Courier New"/>
                <w:sz w:val="16"/>
                <w:szCs w:val="16"/>
                <w:color w:val="auto"/>
              </w:rPr>
              <w:t>(in thousands, except</w:t>
            </w:r>
          </w:p>
        </w:tc>
        <w:tc>
          <w:tcPr>
            <w:tcW w:w="300" w:type="dxa"/>
            <w:vAlign w:val="bottom"/>
          </w:tcPr>
          <w:p>
            <w:pPr>
              <w:spacing w:after="0"/>
              <w:rPr>
                <w:sz w:val="15"/>
                <w:szCs w:val="15"/>
                <w:color w:val="auto"/>
              </w:rPr>
            </w:pPr>
          </w:p>
        </w:tc>
        <w:tc>
          <w:tcPr>
            <w:tcW w:w="2100" w:type="dxa"/>
            <w:vAlign w:val="bottom"/>
            <w:gridSpan w:val="3"/>
          </w:tcPr>
          <w:p>
            <w:pPr>
              <w:jc w:val="center"/>
              <w:ind w:right="359"/>
              <w:spacing w:after="0"/>
              <w:rPr>
                <w:sz w:val="20"/>
                <w:szCs w:val="20"/>
                <w:color w:val="auto"/>
              </w:rPr>
            </w:pPr>
            <w:r>
              <w:rPr>
                <w:rFonts w:ascii="Courier New" w:cs="Courier New" w:eastAsia="Courier New" w:hAnsi="Courier New"/>
                <w:sz w:val="16"/>
                <w:szCs w:val="16"/>
                <w:color w:val="auto"/>
              </w:rPr>
              <w:t>Nine months ended</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ratio</w:t>
            </w:r>
          </w:p>
        </w:tc>
        <w:tc>
          <w:tcPr>
            <w:tcW w:w="300" w:type="dxa"/>
            <w:vAlign w:val="bottom"/>
          </w:tcPr>
          <w:p>
            <w:pPr>
              <w:spacing w:after="0"/>
              <w:rPr>
                <w:sz w:val="16"/>
                <w:szCs w:val="16"/>
                <w:color w:val="auto"/>
              </w:rPr>
            </w:pPr>
          </w:p>
        </w:tc>
        <w:tc>
          <w:tcPr>
            <w:tcW w:w="2100" w:type="dxa"/>
            <w:vAlign w:val="bottom"/>
            <w:gridSpan w:val="3"/>
          </w:tcPr>
          <w:p>
            <w:pPr>
              <w:jc w:val="center"/>
              <w:ind w:right="359"/>
              <w:spacing w:after="0"/>
              <w:rPr>
                <w:sz w:val="20"/>
                <w:szCs w:val="20"/>
                <w:color w:val="auto"/>
              </w:rPr>
            </w:pPr>
            <w:r>
              <w:rPr>
                <w:rFonts w:ascii="Courier New" w:cs="Courier New" w:eastAsia="Courier New" w:hAnsi="Courier New"/>
                <w:sz w:val="16"/>
                <w:szCs w:val="16"/>
                <w:color w:val="auto"/>
              </w:rPr>
              <w:t>September 30,</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Year ended December 31,</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information and per share</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1998</w:t>
            </w:r>
          </w:p>
        </w:tc>
        <w:tc>
          <w:tcPr>
            <w:tcW w:w="2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1995</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1994</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data)</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jc w:val="center"/>
              <w:ind w:right="379"/>
              <w:spacing w:after="0"/>
              <w:rPr>
                <w:sz w:val="20"/>
                <w:szCs w:val="20"/>
                <w:color w:val="auto"/>
              </w:rPr>
            </w:pPr>
            <w:r>
              <w:rPr>
                <w:rFonts w:ascii="Courier New" w:cs="Courier New" w:eastAsia="Courier New" w:hAnsi="Courier New"/>
                <w:sz w:val="16"/>
                <w:szCs w:val="16"/>
                <w:color w:val="auto"/>
              </w:rPr>
              <w:t>(unaudited)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6"/>
        </w:trPr>
        <w:tc>
          <w:tcPr>
            <w:tcW w:w="254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Rental income...........</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181,078</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162,041</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222,186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188,529</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164,887</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142,841</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$128,133</w:t>
            </w: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Other property income...</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8,176</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7,613</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10,347</w:t>
            </w:r>
          </w:p>
        </w:tc>
        <w:tc>
          <w:tcPr>
            <w:tcW w:w="2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9,705</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9,816</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7,435</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5,698</w:t>
            </w: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Interest................</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5,779</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3,928</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5,945</w:t>
            </w:r>
          </w:p>
        </w:tc>
        <w:tc>
          <w:tcPr>
            <w:tcW w:w="2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6,037</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4,352</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4,113</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3,933</w:t>
            </w:r>
          </w:p>
        </w:tc>
      </w:tr>
      <w:tr>
        <w:trPr>
          <w:trHeight w:val="376"/>
        </w:trPr>
        <w:tc>
          <w:tcPr>
            <w:tcW w:w="2540" w:type="dxa"/>
            <w:vAlign w:val="bottom"/>
          </w:tcPr>
          <w:p>
            <w:pPr>
              <w:spacing w:after="0"/>
              <w:rPr>
                <w:sz w:val="24"/>
                <w:szCs w:val="24"/>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195,033</w:t>
            </w:r>
          </w:p>
        </w:tc>
        <w:tc>
          <w:tcPr>
            <w:tcW w:w="24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173,582</w:t>
            </w:r>
          </w:p>
        </w:tc>
        <w:tc>
          <w:tcPr>
            <w:tcW w:w="24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238,478</w:t>
            </w:r>
          </w:p>
        </w:tc>
        <w:tc>
          <w:tcPr>
            <w:tcW w:w="20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204,271</w:t>
            </w:r>
          </w:p>
        </w:tc>
        <w:tc>
          <w:tcPr>
            <w:tcW w:w="24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179,055</w:t>
            </w:r>
          </w:p>
        </w:tc>
        <w:tc>
          <w:tcPr>
            <w:tcW w:w="24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154,389</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137,764</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Interest................</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45,507</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39,736</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55,125</w:t>
            </w:r>
          </w:p>
        </w:tc>
        <w:tc>
          <w:tcPr>
            <w:tcW w:w="2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47,288</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45,555</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39,268</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31,462</w:t>
            </w: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amortization...........</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37,313</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33,384</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46,047</w:t>
            </w:r>
          </w:p>
        </w:tc>
        <w:tc>
          <w:tcPr>
            <w:tcW w:w="2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41,399</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38,154</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34,901</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29,801</w:t>
            </w: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Property expenses.......</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57,398</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52,549</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72,761</w:t>
            </w:r>
          </w:p>
        </w:tc>
        <w:tc>
          <w:tcPr>
            <w:tcW w:w="2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62,369</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57,098</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49,564</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47,927</w:t>
            </w: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General, administrative</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and other..............</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10,888</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13,401</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16,461</w:t>
            </w:r>
          </w:p>
        </w:tc>
        <w:tc>
          <w:tcPr>
            <w:tcW w:w="2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11,744</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9,100</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7,305</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7,716</w:t>
            </w:r>
          </w:p>
        </w:tc>
      </w:tr>
      <w:tr>
        <w:trPr>
          <w:trHeight w:val="376"/>
        </w:trPr>
        <w:tc>
          <w:tcPr>
            <w:tcW w:w="2540" w:type="dxa"/>
            <w:vAlign w:val="bottom"/>
          </w:tcPr>
          <w:p>
            <w:pPr>
              <w:spacing w:after="0"/>
              <w:rPr>
                <w:sz w:val="24"/>
                <w:szCs w:val="24"/>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151,106</w:t>
            </w:r>
          </w:p>
        </w:tc>
        <w:tc>
          <w:tcPr>
            <w:tcW w:w="24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139,070</w:t>
            </w:r>
          </w:p>
        </w:tc>
        <w:tc>
          <w:tcPr>
            <w:tcW w:w="24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190,394</w:t>
            </w:r>
          </w:p>
        </w:tc>
        <w:tc>
          <w:tcPr>
            <w:tcW w:w="20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162,800</w:t>
            </w:r>
          </w:p>
        </w:tc>
        <w:tc>
          <w:tcPr>
            <w:tcW w:w="24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149,907</w:t>
            </w:r>
          </w:p>
        </w:tc>
        <w:tc>
          <w:tcPr>
            <w:tcW w:w="24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131,038</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116,906</w:t>
            </w:r>
          </w:p>
        </w:tc>
      </w:tr>
      <w:tr>
        <w:trPr>
          <w:trHeight w:val="376"/>
        </w:trPr>
        <w:tc>
          <w:tcPr>
            <w:tcW w:w="2540" w:type="dxa"/>
            <w:vAlign w:val="bottom"/>
          </w:tcPr>
          <w:p>
            <w:pPr>
              <w:spacing w:after="0"/>
              <w:rPr>
                <w:sz w:val="24"/>
                <w:szCs w:val="24"/>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40" w:type="dxa"/>
            <w:vAlign w:val="bottom"/>
          </w:tcPr>
          <w:p>
            <w:pPr>
              <w:spacing w:after="0"/>
              <w:rPr>
                <w:sz w:val="20"/>
                <w:szCs w:val="20"/>
                <w:color w:val="auto"/>
              </w:rPr>
            </w:pPr>
            <w:r>
              <w:rPr>
                <w:rFonts w:ascii="Courier New" w:cs="Courier New" w:eastAsia="Courier New" w:hAnsi="Courier New"/>
                <w:sz w:val="16"/>
                <w:szCs w:val="16"/>
                <w:color w:val="auto"/>
              </w:rPr>
              <w:t>Income before investors'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share of operations and</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gain on sale of real</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estate..................</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43,927</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34,512</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48,084</w:t>
            </w:r>
          </w:p>
        </w:tc>
        <w:tc>
          <w:tcPr>
            <w:tcW w:w="2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41,471</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29,148</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23,351</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20,858</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Investors' share of</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(2,322)</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(2,335)</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(3,124)</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(1,342)</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(394)</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(392)</w:t>
            </w:r>
          </w:p>
        </w:tc>
      </w:tr>
      <w:tr>
        <w:trPr>
          <w:trHeight w:val="376"/>
        </w:trPr>
        <w:tc>
          <w:tcPr>
            <w:tcW w:w="2540" w:type="dxa"/>
            <w:vAlign w:val="bottom"/>
          </w:tcPr>
          <w:p>
            <w:pPr>
              <w:spacing w:after="0"/>
              <w:rPr>
                <w:sz w:val="24"/>
                <w:szCs w:val="24"/>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40" w:type="dxa"/>
            <w:vAlign w:val="bottom"/>
          </w:tcPr>
          <w:p>
            <w:pPr>
              <w:spacing w:after="0"/>
              <w:rPr>
                <w:sz w:val="20"/>
                <w:szCs w:val="20"/>
                <w:color w:val="auto"/>
              </w:rPr>
            </w:pPr>
            <w:r>
              <w:rPr>
                <w:rFonts w:ascii="Courier New" w:cs="Courier New" w:eastAsia="Courier New" w:hAnsi="Courier New"/>
                <w:sz w:val="16"/>
                <w:szCs w:val="16"/>
                <w:color w:val="auto"/>
              </w:rPr>
              <w:t>Income before gain (loss)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on sale of real estate..</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41,605</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32,177</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44,960</w:t>
            </w:r>
          </w:p>
        </w:tc>
        <w:tc>
          <w:tcPr>
            <w:tcW w:w="2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40,129</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28,754</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23,655</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20,466</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Gain (loss) on sale of</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real estate.............</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(7,050)</w:t>
            </w:r>
          </w:p>
        </w:tc>
        <w:tc>
          <w:tcPr>
            <w:tcW w:w="240" w:type="dxa"/>
            <w:vAlign w:val="bottom"/>
          </w:tcPr>
          <w:p>
            <w:pPr>
              <w:spacing w:after="0"/>
              <w:rPr>
                <w:sz w:val="16"/>
                <w:szCs w:val="16"/>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6,375</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(545)</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40" w:type="dxa"/>
            <w:vAlign w:val="bottom"/>
          </w:tcPr>
          <w:p>
            <w:pPr>
              <w:spacing w:after="0"/>
              <w:rPr>
                <w:sz w:val="24"/>
                <w:szCs w:val="24"/>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0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34,555</w:t>
            </w:r>
          </w:p>
        </w:tc>
        <w:tc>
          <w:tcPr>
            <w:tcW w:w="24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32,177</w:t>
            </w:r>
          </w:p>
        </w:tc>
        <w:tc>
          <w:tcPr>
            <w:tcW w:w="24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44,960</w:t>
            </w:r>
          </w:p>
        </w:tc>
        <w:tc>
          <w:tcPr>
            <w:tcW w:w="200" w:type="dxa"/>
            <w:vAlign w:val="bottom"/>
          </w:tcPr>
          <w:p>
            <w:pPr>
              <w:spacing w:after="0"/>
              <w:rPr>
                <w:sz w:val="24"/>
                <w:szCs w:val="24"/>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46,504</w:t>
            </w:r>
          </w:p>
        </w:tc>
        <w:tc>
          <w:tcPr>
            <w:tcW w:w="24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28,742</w:t>
            </w:r>
          </w:p>
        </w:tc>
        <w:tc>
          <w:tcPr>
            <w:tcW w:w="240" w:type="dxa"/>
            <w:vAlign w:val="bottom"/>
          </w:tcPr>
          <w:p>
            <w:pPr>
              <w:spacing w:after="0"/>
              <w:rPr>
                <w:sz w:val="24"/>
                <w:szCs w:val="24"/>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23,110</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20,466</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Dividends on preferred</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stock...................</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(5,963)</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(5,963)</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(7,950)</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(1,877)</w:t>
            </w:r>
          </w:p>
        </w:tc>
        <w:tc>
          <w:tcPr>
            <w:tcW w:w="240" w:type="dxa"/>
            <w:vAlign w:val="bottom"/>
          </w:tcPr>
          <w:p>
            <w:pPr>
              <w:spacing w:after="0"/>
              <w:rPr>
                <w:sz w:val="16"/>
                <w:szCs w:val="16"/>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40" w:type="dxa"/>
            <w:vAlign w:val="bottom"/>
          </w:tcPr>
          <w:p>
            <w:pPr>
              <w:spacing w:after="0"/>
              <w:rPr>
                <w:sz w:val="24"/>
                <w:szCs w:val="24"/>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40" w:type="dxa"/>
            <w:vAlign w:val="bottom"/>
          </w:tcPr>
          <w:p>
            <w:pPr>
              <w:spacing w:after="0"/>
              <w:rPr>
                <w:sz w:val="20"/>
                <w:szCs w:val="20"/>
                <w:color w:val="auto"/>
              </w:rPr>
            </w:pPr>
            <w:r>
              <w:rPr>
                <w:rFonts w:ascii="Courier New" w:cs="Courier New" w:eastAsia="Courier New" w:hAnsi="Courier New"/>
                <w:sz w:val="16"/>
                <w:szCs w:val="16"/>
                <w:color w:val="auto"/>
              </w:rPr>
              <w:t>Net income available for</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common shareholders.....</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28,592</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26,214</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37,010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44,627</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28,742</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23,110</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$ 20,466</w:t>
            </w:r>
          </w:p>
        </w:tc>
      </w:tr>
      <w:tr>
        <w:trPr>
          <w:trHeight w:val="376"/>
        </w:trPr>
        <w:tc>
          <w:tcPr>
            <w:tcW w:w="2540" w:type="dxa"/>
            <w:vAlign w:val="bottom"/>
          </w:tcPr>
          <w:p>
            <w:pPr>
              <w:spacing w:after="0"/>
              <w:rPr>
                <w:sz w:val="24"/>
                <w:szCs w:val="24"/>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4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Basic...................</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39,534</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39,115</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39,174</w:t>
            </w:r>
          </w:p>
        </w:tc>
        <w:tc>
          <w:tcPr>
            <w:tcW w:w="2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38,475</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33,175</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31,481</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30,267</w:t>
            </w: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Diluted.................</w:t>
            </w:r>
          </w:p>
        </w:tc>
        <w:tc>
          <w:tcPr>
            <w:tcW w:w="3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40,639</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39,953</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40,080</w:t>
            </w:r>
          </w:p>
        </w:tc>
        <w:tc>
          <w:tcPr>
            <w:tcW w:w="2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38,988</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33,573</w:t>
            </w:r>
          </w:p>
        </w:tc>
        <w:tc>
          <w:tcPr>
            <w:tcW w:w="24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31,860</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30,679</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Distributions declared on</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common shares...........</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59,487</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57,827</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69,512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66,636</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56,607</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51,392</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$ 48,196</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Distributions declared</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per common share........</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1.33</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1.30</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1.70</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1.66</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1.61</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1.57</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Net cash provided by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operating</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activities(1)...........</w:t>
            </w:r>
          </w:p>
        </w:tc>
        <w:tc>
          <w:tcPr>
            <w:tcW w:w="3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74,681</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61,641</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90,427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72,170</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65,648</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65,117</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$ 45,199</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Net cash provided by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financing</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bl>
    <w:p>
      <w:pPr>
        <w:sectPr>
          <w:pgSz w:w="11900" w:h="16853" w:orient="portrait"/>
          <w:cols w:equalWidth="0" w:num="1">
            <w:col w:w="10560"/>
          </w:cols>
          <w:pgMar w:left="240" w:top="680" w:right="10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activities(1)...........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20,666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88,052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97,406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213,175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96,691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75,769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39,626</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Net cash used in</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investing</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activities(1)...........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97,487</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156,784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187,646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279,343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161,819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134,360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90,465</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Funds from</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operations(2)...........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72,278</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63,617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86,536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79,733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65,254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57,034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50,404</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Ratio of earnings to</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fixed charges(3)(4).....</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1.71x</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1.63x</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1.65x</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1.70x</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1.59x</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1.55x</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1.61x</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Ratio of funds from</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operations to fixed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charge(2)(4)............</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2.42x</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2.46x</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2.46x</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2.50x</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2.35x</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2.35x</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2.52x</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Ratio of earnings to</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combined fixed charges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and preferred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dividends(3)(4).........</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1.54x</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1.43x</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1.46x</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1.64x</w:t>
            </w:r>
          </w:p>
        </w:tc>
        <w:tc>
          <w:tcPr>
            <w:tcW w:w="180" w:type="dxa"/>
            <w:vAlign w:val="bottom"/>
          </w:tcPr>
          <w:p>
            <w:pPr>
              <w:spacing w:after="0"/>
              <w:rPr>
                <w:sz w:val="16"/>
                <w:szCs w:val="16"/>
                <w:color w:val="auto"/>
              </w:rPr>
            </w:pPr>
          </w:p>
        </w:tc>
        <w:tc>
          <w:tcPr>
            <w:tcW w:w="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Ratio of funds from</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operations to combined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fixed charges and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preferred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dividends(2)(4).........</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2.17x</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2.17x</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2.18x</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2.42x</w:t>
            </w:r>
          </w:p>
        </w:tc>
        <w:tc>
          <w:tcPr>
            <w:tcW w:w="180" w:type="dxa"/>
            <w:vAlign w:val="bottom"/>
          </w:tcPr>
          <w:p>
            <w:pPr>
              <w:spacing w:after="0"/>
              <w:rPr>
                <w:sz w:val="16"/>
                <w:szCs w:val="16"/>
                <w:color w:val="auto"/>
              </w:rPr>
            </w:pPr>
          </w:p>
        </w:tc>
        <w:tc>
          <w:tcPr>
            <w:tcW w:w="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Real estate assets, at</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cost....................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1,729,174</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1,616,271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1,642,136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1,453,639</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1,147,865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1,009,682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852,722</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1,541,882</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1,457,307</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1,484,317</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1,316,573</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1,035,306</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886,154</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751,804</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Total debt...............</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924,902</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818,828</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846,928</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670,890</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585,584</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444,886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372,877</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1,032,173</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922,279</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954,370</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762,763</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646,421</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512,586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408,582</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Redeemable preferred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shares..................</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100,000</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100,000</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100,000</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100,000</w:t>
            </w:r>
          </w:p>
        </w:tc>
        <w:tc>
          <w:tcPr>
            <w:tcW w:w="180" w:type="dxa"/>
            <w:vAlign w:val="bottom"/>
          </w:tcPr>
          <w:p>
            <w:pPr>
              <w:spacing w:after="0"/>
              <w:rPr>
                <w:sz w:val="16"/>
                <w:szCs w:val="16"/>
                <w:color w:val="auto"/>
              </w:rPr>
            </w:pPr>
          </w:p>
        </w:tc>
        <w:tc>
          <w:tcPr>
            <w:tcW w:w="9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509,709</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535,028</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529,947</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553,810</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388,885</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327,468</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343,222</w:t>
            </w:r>
          </w:p>
        </w:tc>
      </w:tr>
      <w:tr>
        <w:trPr>
          <w:trHeight w:val="188"/>
        </w:trPr>
        <w:tc>
          <w:tcPr>
            <w:tcW w:w="2540" w:type="dxa"/>
            <w:vAlign w:val="bottom"/>
          </w:tcPr>
          <w:p>
            <w:pPr>
              <w:spacing w:after="0"/>
              <w:rPr>
                <w:sz w:val="20"/>
                <w:szCs w:val="20"/>
                <w:color w:val="auto"/>
              </w:rPr>
            </w:pPr>
            <w:r>
              <w:rPr>
                <w:rFonts w:ascii="Courier New" w:cs="Courier New" w:eastAsia="Courier New" w:hAnsi="Courier New"/>
                <w:sz w:val="16"/>
                <w:szCs w:val="16"/>
                <w:color w:val="auto"/>
              </w:rPr>
              <w:t>Number of common shares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2540" w:type="dxa"/>
            <w:vAlign w:val="bottom"/>
          </w:tcPr>
          <w:p>
            <w:pPr>
              <w:ind w:left="100"/>
              <w:spacing w:after="0"/>
              <w:rPr>
                <w:sz w:val="20"/>
                <w:szCs w:val="20"/>
                <w:color w:val="auto"/>
              </w:rPr>
            </w:pPr>
            <w:r>
              <w:rPr>
                <w:rFonts w:ascii="Courier New" w:cs="Courier New" w:eastAsia="Courier New" w:hAnsi="Courier New"/>
                <w:sz w:val="16"/>
                <w:szCs w:val="16"/>
                <w:color w:val="auto"/>
              </w:rPr>
              <w:t>outstanding.............</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40,312</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40,003</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40,080</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39,148</w:t>
            </w:r>
          </w:p>
        </w:tc>
        <w:tc>
          <w:tcPr>
            <w:tcW w:w="1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35,886</w:t>
            </w:r>
          </w:p>
        </w:tc>
        <w:tc>
          <w:tcPr>
            <w:tcW w:w="2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32,160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31,609</w:t>
            </w:r>
          </w:p>
        </w:tc>
      </w:tr>
    </w:tbl>
    <w:p>
      <w:pPr>
        <w:spacing w:after="0" w:line="380" w:lineRule="exact"/>
        <w:rPr>
          <w:sz w:val="20"/>
          <w:szCs w:val="20"/>
          <w:color w:val="auto"/>
        </w:rPr>
      </w:pPr>
    </w:p>
    <w:p>
      <w:pPr>
        <w:ind w:left="400" w:right="3040" w:hanging="400"/>
        <w:spacing w:after="0" w:line="248"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in accordance with Financial Accounting Standards Board Statement No. 95. See Consolidated Statements of Cash Flows incorporated by reference into the accompanying prospectus.</w:t>
      </w:r>
    </w:p>
    <w:p>
      <w:pPr>
        <w:spacing w:after="0" w:line="1" w:lineRule="exact"/>
        <w:rPr>
          <w:rFonts w:ascii="Courier New" w:cs="Courier New" w:eastAsia="Courier New" w:hAnsi="Courier New"/>
          <w:sz w:val="16"/>
          <w:szCs w:val="16"/>
          <w:color w:val="auto"/>
        </w:rPr>
      </w:pPr>
    </w:p>
    <w:p>
      <w:pPr>
        <w:ind w:left="400" w:right="2840" w:hanging="400"/>
        <w:spacing w:after="0" w:line="248"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by the National Association of Real Estate Investment Trusts ("NAREIT") as income available for common shareholders before depreciation and amortization of real estate assets and before extraordinary items and significant non-recurring events plus or minus losses or gains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w:t>
      </w:r>
    </w:p>
    <w:p>
      <w:pPr>
        <w:spacing w:after="0" w:line="6" w:lineRule="exact"/>
        <w:rPr>
          <w:rFonts w:ascii="Courier New" w:cs="Courier New" w:eastAsia="Courier New" w:hAnsi="Courier New"/>
          <w:sz w:val="16"/>
          <w:szCs w:val="16"/>
          <w:color w:val="auto"/>
        </w:rPr>
      </w:pPr>
    </w:p>
    <w:p>
      <w:pPr>
        <w:ind w:left="400" w:right="3120" w:hanging="400"/>
        <w:spacing w:after="0" w:line="248"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computing this ratio, earnings consist of income before gain (loss) on sale of real estate and extraordinary item plus fixed charges.</w:t>
      </w:r>
    </w:p>
    <w:p>
      <w:pPr>
        <w:spacing w:after="0" w:line="1" w:lineRule="exact"/>
        <w:rPr>
          <w:rFonts w:ascii="Courier New" w:cs="Courier New" w:eastAsia="Courier New" w:hAnsi="Courier New"/>
          <w:sz w:val="16"/>
          <w:szCs w:val="16"/>
          <w:color w:val="auto"/>
        </w:rPr>
      </w:pPr>
    </w:p>
    <w:p>
      <w:pPr>
        <w:ind w:left="400" w:right="2840" w:hanging="400"/>
        <w:spacing w:after="0" w:line="250" w:lineRule="auto"/>
        <w:tabs>
          <w:tab w:leader="none" w:pos="4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charges consist of interest on borrowed funds (including capitalized interest), amortization of debt discount and expenses and the portion of rent expense representing an interest factor.</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S-7</w:t>
      </w:r>
    </w:p>
    <w:p>
      <w:pPr>
        <w:sectPr>
          <w:pgSz w:w="11900" w:h="16838" w:orient="portrait"/>
          <w:cols w:equalWidth="0" w:num="1">
            <w:col w:w="10460"/>
          </w:cols>
          <w:pgMar w:left="240" w:top="142" w:right="1199" w:bottom="1440" w:gutter="0" w:footer="0" w:header="0"/>
        </w:sectPr>
      </w:pPr>
    </w:p>
    <w:bookmarkStart w:id="8" w:name="page9"/>
    <w:bookmarkEnd w:id="8"/>
    <w:p>
      <w:pPr>
        <w:jc w:val="center"/>
        <w:ind w:right="249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following discussion should be read in conjunction with the consolidated financial statements and notes thereto incorporated by reference into the accompanying prospectus. Certain statements made in this discussion contain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the results of operations or plans expressed or implied by such forward-looking statements. Such factors include, among others, general economic and business conditions which will affect credit-worthiness of tenants, financing availability and cost, retailing trends and rental rates; risks of real estate development and acquisitions; governmental and environmental regulations; and competition with other real estate companies and technology. Portions of this discussion include certain forward-looking statements about our and management's intentions and expectations. Although these intentions and expectations are based upon reasonable assumptions, many factors, such as general economic conditions, local and national real estate conditions, increases in interest rates and operating costs, may cause actual results to differ materially from current expectations.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Strategic Transactions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In exploring strategic alternatives to maximize shareholder value, we considered spinning off certain of our assets (primarily those related to the development and operation of our Main Street Retail program) in a taxable transaction to shareholders. Shortly thereafter, our remaining assets were to be merged with another publicly traded shopping center company in exchange for cash and stock consideration. On September 24, 1999, we announced that merger negotiations were terminated and that the spin off was being reevaluated.</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In preparing for these transactions, we incurred expenses of approximately $2.5 million related to legal, accounting, tax and other advisory services related to the spin off and the merger. Such costs have been expensed in their entirety in the third quarter of 1999 and are reflected as administrative expenses in the consolidated statement of operations.</w:t>
      </w:r>
    </w:p>
    <w:p>
      <w:pPr>
        <w:spacing w:after="0" w:line="187" w:lineRule="exact"/>
        <w:rPr>
          <w:sz w:val="20"/>
          <w:szCs w:val="20"/>
          <w:color w:val="auto"/>
        </w:rPr>
      </w:pPr>
    </w:p>
    <w:p>
      <w:pPr>
        <w:ind w:right="2599" w:firstLine="293"/>
        <w:spacing w:after="0" w:line="250" w:lineRule="auto"/>
        <w:rPr>
          <w:sz w:val="20"/>
          <w:szCs w:val="20"/>
          <w:color w:val="auto"/>
        </w:rPr>
      </w:pPr>
      <w:r>
        <w:rPr>
          <w:rFonts w:ascii="Courier New" w:cs="Courier New" w:eastAsia="Courier New" w:hAnsi="Courier New"/>
          <w:sz w:val="16"/>
          <w:szCs w:val="16"/>
          <w:color w:val="auto"/>
        </w:rPr>
        <w:t>While management continues to evaluate alternatives to maximize shareholder value, there are currently no plans to consummate a spin off or merger transaction.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We meet our liquidity requirements through net cash provided by operating activities, along with traditional debt and equity funding alternatives available to us.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Net cash provided by operating activities was $74.7 million in the first nine months of 1999 and $61.6 million in the first nine months of 1998, of which $57.1 million and $55.3 million, respectively, was distributed to shareholders. Contributions from newly acquired properties and from retenanted and redeveloped properties, as more fully described below, were the primary sources of these increases.</w:t>
      </w:r>
    </w:p>
    <w:p>
      <w:pPr>
        <w:spacing w:after="0" w:line="187" w:lineRule="exact"/>
        <w:rPr>
          <w:sz w:val="20"/>
          <w:szCs w:val="20"/>
          <w:color w:val="auto"/>
        </w:rPr>
      </w:pPr>
    </w:p>
    <w:p>
      <w:pPr>
        <w:ind w:right="2799" w:firstLine="293"/>
        <w:spacing w:after="0" w:line="249" w:lineRule="auto"/>
        <w:rPr>
          <w:sz w:val="20"/>
          <w:szCs w:val="20"/>
          <w:color w:val="auto"/>
        </w:rPr>
      </w:pPr>
      <w:r>
        <w:rPr>
          <w:rFonts w:ascii="Courier New" w:cs="Courier New" w:eastAsia="Courier New" w:hAnsi="Courier New"/>
          <w:sz w:val="16"/>
          <w:szCs w:val="16"/>
          <w:color w:val="auto"/>
        </w:rPr>
        <w:t>Net cash used in investing activities was $97.5 million during the first nine months of 1999 and $156.8 million during the first nine months of 1998. We purchased real estate totaling $26.3 million during the first nine months of 1999 and $123.1 million in the first nine months of 1998, requiring cash outlays of $23.7 million and $92.9 million, respectively. During these two periods, we expended an additional $65.0 million and $46.3 million, respectively, in capital improvements to our properties. We invested $7.2 million during the first nine months of 1999 and $17.5 million during the first nine months of 1998 in mortgage notes receivable with an average weighted interest rate of 10%.</w:t>
      </w:r>
    </w:p>
    <w:p>
      <w:pPr>
        <w:spacing w:after="0" w:line="187"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During the first nine months of 1999, we acquired a 90% interest in three buildings in Hollywood, California for a total cash investment by us of $23.7 million. The first two buildings contain 120,000 and 64,000 leasable square feet, respectively. The third building is vacant pending redevelopment.</w:t>
      </w:r>
    </w:p>
    <w:p>
      <w:pPr>
        <w:spacing w:after="0" w:line="188"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invested approximately $26.0 million during the first nine months of 1999 in predevelopment and development projects in Bethesda, Maryland; Los Gatos, California; San Antonio, Texas; and Arlington, Virginia. We continue to identify additional development opportunities.</w:t>
      </w:r>
    </w:p>
    <w:p>
      <w:pPr>
        <w:spacing w:after="0" w:line="3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S-8</w:t>
      </w:r>
    </w:p>
    <w:p>
      <w:pPr>
        <w:sectPr>
          <w:pgSz w:w="11900" w:h="16838" w:orient="portrait"/>
          <w:cols w:equalWidth="0" w:num="1">
            <w:col w:w="10219"/>
          </w:cols>
          <w:pgMar w:left="240" w:top="680" w:right="1440" w:bottom="0" w:gutter="0" w:footer="0" w:header="0"/>
        </w:sectPr>
      </w:pPr>
    </w:p>
    <w:bookmarkStart w:id="9" w:name="page10"/>
    <w:bookmarkEnd w:id="9"/>
    <w:p>
      <w:pPr>
        <w:spacing w:after="0" w:line="19" w:lineRule="exact"/>
        <w:rPr>
          <w:sz w:val="20"/>
          <w:szCs w:val="20"/>
          <w:color w:val="auto"/>
        </w:rPr>
      </w:pPr>
    </w:p>
    <w:p>
      <w:pPr>
        <w:ind w:right="2799" w:firstLine="293"/>
        <w:spacing w:after="0" w:line="249" w:lineRule="auto"/>
        <w:rPr>
          <w:sz w:val="20"/>
          <w:szCs w:val="20"/>
          <w:color w:val="auto"/>
        </w:rPr>
      </w:pPr>
      <w:r>
        <w:rPr>
          <w:rFonts w:ascii="Courier New" w:cs="Courier New" w:eastAsia="Courier New" w:hAnsi="Courier New"/>
          <w:sz w:val="16"/>
          <w:szCs w:val="16"/>
          <w:color w:val="auto"/>
        </w:rPr>
        <w:t>In October 1999, we sold Northeast Plaza Shopping Center in Atlanta, Georgia for $19.6 million in cash, realizing a loss of $6.4 million. Separately, mortgage notes receivable of $5.3 million were repaid in October 1999. The cash from these transactions was used to pay down our line of credit.</w:t>
      </w:r>
    </w:p>
    <w:p>
      <w:pPr>
        <w:spacing w:after="0" w:line="18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Net cash provided by financing activities, before dividend payments, was</w:t>
      </w:r>
    </w:p>
    <w:p>
      <w:pPr>
        <w:spacing w:after="0" w:line="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$77.8 million in the first nine months of 1999 and $143.4 million in the first nine months of 1998. We utilized our $300 million unsecured line of credit to fund acquisitions and capital expenditures in 1999. At September 30, 1999, there was $213.0 million outstanding under this credit facility, which also represents the maximum drawn during the first nine months of the year. At November 1, 1999 borrowings under the line were $205.0 million. The weighted average interest rate on borrowings for the nine months ended September 30, 1999 was 5.9%. The credit facility requires fees and has various covenants including the maintenance of a minimum shareholders' equity and a maximum ratio of debt to net worth.</w:t>
      </w:r>
    </w:p>
    <w:p>
      <w:pPr>
        <w:spacing w:after="0" w:line="187"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Capital requirements for the remainder of 1999 relate to our new development efforts, improvements and redevelopments on existing properties, and tenant work and allowances. Initial funding for such projects is expected to be provided under the credit facility.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Contingencies</w:t>
      </w:r>
    </w:p>
    <w:p>
      <w:pPr>
        <w:spacing w:after="0" w:line="195" w:lineRule="exact"/>
        <w:rPr>
          <w:sz w:val="20"/>
          <w:szCs w:val="20"/>
          <w:color w:val="auto"/>
        </w:rPr>
      </w:pPr>
    </w:p>
    <w:p>
      <w:pPr>
        <w:ind w:right="2699" w:firstLine="293"/>
        <w:spacing w:after="0" w:line="250" w:lineRule="auto"/>
        <w:rPr>
          <w:sz w:val="20"/>
          <w:szCs w:val="20"/>
          <w:color w:val="auto"/>
        </w:rPr>
      </w:pPr>
      <w:r>
        <w:rPr>
          <w:rFonts w:ascii="Courier New" w:cs="Courier New" w:eastAsia="Courier New" w:hAnsi="Courier New"/>
          <w:sz w:val="16"/>
          <w:szCs w:val="16"/>
          <w:color w:val="auto"/>
        </w:rPr>
        <w:t>We are involved in various lawsuits and environmental matters arising in the normal course of business. Management believes that such matters will not have a material effect on our financial condition or results of operations.</w:t>
      </w:r>
    </w:p>
    <w:p>
      <w:pPr>
        <w:spacing w:after="0" w:line="18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Pursuant to the provisions of the Congressional Plaza partnership agreement, in the event of the exercise of put options by another partner, we would be required to purchase a 37.5% interest of Congressional Plaza at its then fair market value. Based on management's current estimate of fair market value, our estimated liability upon exercise of the put option is approximately $27 million. On January 1, 1999, the Loehmann's Plaza limited partnership agreement was amended to extend the partnership to December 31, 2000 and to delete the put and call options.</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Under the terms of certain other partnership agreements, if certain leasing and revenue levels are obtained for the properties owned by the partnerships, the limited partners may require us to purchase their partnership interests at a formula price based upon net operating income. The purchase price may be paid in cash or our common shares at the election of the limited partners. In certain of these partnerships, if the limited partners do not redeem their interest, we may choose to purchase the limited partnership interest upon the same terms.</w:t>
      </w:r>
    </w:p>
    <w:p>
      <w:pPr>
        <w:spacing w:after="0" w:line="187" w:lineRule="exact"/>
        <w:rPr>
          <w:sz w:val="20"/>
          <w:szCs w:val="20"/>
          <w:color w:val="auto"/>
        </w:rPr>
      </w:pPr>
    </w:p>
    <w:p>
      <w:pPr>
        <w:ind w:right="2699" w:firstLine="293"/>
        <w:spacing w:after="0" w:line="250" w:lineRule="auto"/>
        <w:rPr>
          <w:sz w:val="20"/>
          <w:szCs w:val="20"/>
          <w:color w:val="auto"/>
        </w:rPr>
      </w:pPr>
      <w:r>
        <w:rPr>
          <w:rFonts w:ascii="Courier New" w:cs="Courier New" w:eastAsia="Courier New" w:hAnsi="Courier New"/>
          <w:sz w:val="16"/>
          <w:szCs w:val="16"/>
          <w:color w:val="auto"/>
        </w:rPr>
        <w:t>Under the terms of other partnership agreements, the partners may exchange their 814,589 operating units into cash or the same number of our common shares, at our option.</w:t>
      </w:r>
    </w:p>
    <w:p>
      <w:pPr>
        <w:spacing w:after="0" w:line="18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We have reviewed the software and hardware systems used internally to operate our business, in order to assess their ability to handle the "year 2000 issue" which generally refers to the inability of systems hardware and software to correctly identify two-digit references to specific calendar years, beginning with 2000. The year 2000 issue can affect us directly by impairing our internal data-based operations or processing and indirectly by impairing our suppliers' and tenants' data-based operations or processing. We have identified and evaluated the year 2000 compliance of our internal systems. We believe that the remediation of all accounting systems and other systems of high priority is complete; however, testing is still ongoing. In addition, we have requested information concerning and reviewed the equipment at our properties, including the use of embedded chips in machinery. Based on the review and since we primarily owns shopping centers and street retail buildings with limited use of technology, we believe we are year 2000 compliant.</w:t>
      </w:r>
    </w:p>
    <w:p>
      <w:pPr>
        <w:spacing w:after="0" w:line="187"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We have requested information from our major banks, tenants, and suppliers to determine their year 2000 compliance in order to assess the possibility of any major year 2000 risk to us related to these parties' year 2000 noncompliance. Based on their responses, we do not believe there is any material risk to us in these areas.</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In addition, we are developing, with the aid of an outside consultant, a business continuity plan for our critical internal systems, which is to be completed during the fourth quarter. Management does not anticipate needing to employ the plan. Costs spent to date and projections of future costs are not expected to exceed $75,000.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Net income and funds from operations have been affected by our recent acquisition, redevelopment and financing activities. We have historically reported our funds from operations in addition to our net income and net cash provided by operating activities. Funds from operations is a supplemental</w:t>
      </w:r>
    </w:p>
    <w:p>
      <w:pPr>
        <w:sectPr>
          <w:pgSz w:w="11900" w:h="16857" w:orient="portrait"/>
          <w:cols w:equalWidth="0" w:num="1">
            <w:col w:w="10219"/>
          </w:cols>
          <w:pgMar w:left="240" w:top="680"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measure of real estate companies' operating performance.</w:t>
      </w:r>
    </w:p>
    <w:p>
      <w:pPr>
        <w:sectPr>
          <w:pgSz w:w="11900" w:h="16838" w:orient="portrait"/>
          <w:cols w:equalWidth="0" w:num="1">
            <w:col w:w="10219"/>
          </w:cols>
          <w:pgMar w:left="240" w:top="142" w:right="1440" w:bottom="1440" w:gutter="0" w:footer="0" w:header="0"/>
        </w:sectPr>
      </w:pP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19"/>
          </w:cols>
          <w:pgMar w:left="240" w:top="142" w:right="1440" w:bottom="1440" w:gutter="0" w:footer="0" w:header="0"/>
          <w:type w:val="continuous"/>
        </w:sectPr>
      </w:pPr>
    </w:p>
    <w:bookmarkStart w:id="11" w:name="page12"/>
    <w:bookmarkEnd w:id="11"/>
    <w:p>
      <w:pPr>
        <w:spacing w:after="0" w:line="21"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National Association of Real Estate Investment Trusts ("NAREIT") defines funds from operations as follows: income available for common shareholders before depreciation and amortization of real estate assets and before extraordinary items and significant non-recurring events plus or minus losses or gains on sale of real estate. Effective January 1, 2000, the NAREIT definition of funds from operations will change to include significant non-recurring events. Following the effective date of the change, we will comply with the new NAREIT definition and restate our funds from operations for any required prior periods.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w:t>
      </w:r>
    </w:p>
    <w:p>
      <w:pPr>
        <w:spacing w:after="0" w:line="187" w:lineRule="exact"/>
        <w:rPr>
          <w:sz w:val="20"/>
          <w:szCs w:val="20"/>
          <w:color w:val="auto"/>
        </w:rPr>
      </w:pPr>
    </w:p>
    <w:p>
      <w:pPr>
        <w:ind w:right="2599" w:firstLine="293"/>
        <w:spacing w:after="0" w:line="252" w:lineRule="auto"/>
        <w:rPr>
          <w:sz w:val="20"/>
          <w:szCs w:val="20"/>
          <w:color w:val="auto"/>
        </w:rPr>
      </w:pPr>
      <w:r>
        <w:rPr>
          <w:rFonts w:ascii="Courier New" w:cs="Courier New" w:eastAsia="Courier New" w:hAnsi="Courier New"/>
          <w:sz w:val="16"/>
          <w:szCs w:val="16"/>
          <w:color w:val="auto"/>
        </w:rPr>
        <w:t>The reconciliation of net income to funds from operations is as follows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5"/>
                <w:szCs w:val="15"/>
                <w:color w:val="auto"/>
              </w:rPr>
            </w:pPr>
          </w:p>
        </w:tc>
        <w:tc>
          <w:tcPr>
            <w:tcW w:w="18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Nine months ended</w:t>
            </w:r>
          </w:p>
        </w:tc>
        <w:tc>
          <w:tcPr>
            <w:tcW w:w="19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Three months ended</w:t>
            </w:r>
          </w:p>
        </w:tc>
      </w:tr>
      <w:tr>
        <w:trPr>
          <w:trHeight w:val="188"/>
        </w:trPr>
        <w:tc>
          <w:tcPr>
            <w:tcW w:w="3900" w:type="dxa"/>
            <w:vAlign w:val="bottom"/>
          </w:tcPr>
          <w:p>
            <w:pPr>
              <w:spacing w:after="0"/>
              <w:rPr>
                <w:sz w:val="16"/>
                <w:szCs w:val="16"/>
                <w:color w:val="auto"/>
              </w:rPr>
            </w:pPr>
          </w:p>
        </w:tc>
        <w:tc>
          <w:tcPr>
            <w:tcW w:w="182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September 30,</w:t>
            </w:r>
          </w:p>
        </w:tc>
        <w:tc>
          <w:tcPr>
            <w:tcW w:w="200" w:type="dxa"/>
            <w:vAlign w:val="bottom"/>
          </w:tcPr>
          <w:p>
            <w:pPr>
              <w:spacing w:after="0"/>
              <w:rPr>
                <w:sz w:val="16"/>
                <w:szCs w:val="16"/>
                <w:color w:val="auto"/>
              </w:rPr>
            </w:pPr>
          </w:p>
        </w:tc>
        <w:tc>
          <w:tcPr>
            <w:tcW w:w="170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39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3900" w:type="dxa"/>
            <w:vAlign w:val="bottom"/>
          </w:tcPr>
          <w:p>
            <w:pPr>
              <w:spacing w:after="0"/>
              <w:rPr>
                <w:sz w:val="16"/>
                <w:szCs w:val="16"/>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90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shareholders--basic....................</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$ 28,592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$ 26,214</w:t>
            </w: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12,198</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5,532</w:t>
            </w:r>
          </w:p>
        </w:tc>
      </w:tr>
      <w:tr>
        <w:trPr>
          <w:trHeight w:val="188"/>
        </w:trPr>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Estimated loss on sale of real estate...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7,050</w:t>
            </w:r>
          </w:p>
        </w:tc>
        <w:tc>
          <w:tcPr>
            <w:tcW w:w="8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Nonrecurring charge.....................</w:t>
            </w:r>
          </w:p>
        </w:tc>
        <w:tc>
          <w:tcPr>
            <w:tcW w:w="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4,665</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4,665</w:t>
            </w:r>
          </w:p>
        </w:tc>
      </w:tr>
      <w:tr>
        <w:trPr>
          <w:trHeight w:val="188"/>
        </w:trPr>
        <w:tc>
          <w:tcPr>
            <w:tcW w:w="39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of real</w:t>
            </w: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estate assets..........................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33,849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30,229</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11,232</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10,323</w:t>
            </w:r>
          </w:p>
        </w:tc>
      </w:tr>
      <w:tr>
        <w:trPr>
          <w:trHeight w:val="188"/>
        </w:trPr>
        <w:tc>
          <w:tcPr>
            <w:tcW w:w="3900" w:type="dxa"/>
            <w:vAlign w:val="bottom"/>
          </w:tcPr>
          <w:p>
            <w:pPr>
              <w:spacing w:after="0"/>
              <w:rPr>
                <w:sz w:val="20"/>
                <w:szCs w:val="20"/>
                <w:color w:val="auto"/>
              </w:rPr>
            </w:pPr>
            <w:r>
              <w:rPr>
                <w:rFonts w:ascii="Courier New" w:cs="Courier New" w:eastAsia="Courier New" w:hAnsi="Courier New"/>
                <w:sz w:val="16"/>
                <w:szCs w:val="16"/>
                <w:color w:val="auto"/>
              </w:rPr>
              <w:t>Amortization of initial direct costs of</w:t>
            </w: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leases.................................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2,235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1,827</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775</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646</w:t>
            </w:r>
          </w:p>
        </w:tc>
      </w:tr>
      <w:tr>
        <w:trPr>
          <w:trHeight w:val="188"/>
        </w:trPr>
        <w:tc>
          <w:tcPr>
            <w:tcW w:w="3900" w:type="dxa"/>
            <w:vAlign w:val="bottom"/>
          </w:tcPr>
          <w:p>
            <w:pPr>
              <w:spacing w:after="0"/>
              <w:rPr>
                <w:sz w:val="20"/>
                <w:szCs w:val="20"/>
                <w:color w:val="auto"/>
              </w:rPr>
            </w:pPr>
            <w:r>
              <w:rPr>
                <w:rFonts w:ascii="Courier New" w:cs="Courier New" w:eastAsia="Courier New" w:hAnsi="Courier New"/>
                <w:sz w:val="16"/>
                <w:szCs w:val="16"/>
                <w:color w:val="auto"/>
              </w:rPr>
              <w:t>Income attributable to operating</w:t>
            </w: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partnership units......................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552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682</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191</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268</w:t>
            </w:r>
          </w:p>
        </w:tc>
      </w:tr>
      <w:tr>
        <w:trPr>
          <w:trHeight w:val="376"/>
        </w:trPr>
        <w:tc>
          <w:tcPr>
            <w:tcW w:w="390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3900" w:type="dxa"/>
            <w:vAlign w:val="bottom"/>
          </w:tcPr>
          <w:p>
            <w:pPr>
              <w:jc w:val="right"/>
              <w:spacing w:after="0"/>
              <w:rPr>
                <w:sz w:val="20"/>
                <w:szCs w:val="20"/>
                <w:color w:val="auto"/>
              </w:rPr>
            </w:pPr>
            <w:r>
              <w:rPr>
                <w:rFonts w:ascii="Courier New" w:cs="Courier New" w:eastAsia="Courier New" w:hAnsi="Courier New"/>
                <w:sz w:val="16"/>
                <w:szCs w:val="16"/>
                <w:color w:val="auto"/>
              </w:rPr>
              <w:t>Funds from operations...................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$ 72,278</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$ 63,617</w:t>
            </w:r>
          </w:p>
        </w:tc>
        <w:tc>
          <w:tcPr>
            <w:tcW w:w="2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24,396</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21,434</w:t>
            </w:r>
          </w:p>
        </w:tc>
      </w:tr>
      <w:tr>
        <w:trPr>
          <w:trHeight w:val="376"/>
        </w:trPr>
        <w:tc>
          <w:tcPr>
            <w:tcW w:w="390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 September 30, 1999 and 1998</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Results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Rental income, which consists of minimum rent, percentage rent and cost recoveries, increased 12% from $162.0 million in the first nine months of 1998 to $181.1 million in the first nine months of 1999. If properties acquired in 1999 and 1998 are excluded, rental income increased 6%, due primarily to the favorable impact of redeveloped and retenanted centers.</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Other property income includes items such as utility reimbursements, telephone income, merchant association dues, late fees, lease termination fees, and temporary tenant income. Other property income increased 7% from $7.6 million in the first nine months of 1998 to $8.2 million in the first nine months of 1999. Increases in temporary tenant income, an area identified by us as one with additional growth opportunity, and lease termination fees surpassed decreases in telephone income and decreases in marketing dues, as we discontinued marketing funds at certain shopping centers in 1999.</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Rental expenses increased 11% from $35.3 million in the first nine months of 1998 to $39.1 million in the first nine months of 1999. If rental expenses are adjusted for properties acquired in 1999 and 1998, rental expenses increased 5% from $35.1 million in 1998 to $36.9 million in 1999. There was a decrease in marketing expenses consistent with the decrease in marketing dues, but this decrease was outweighed by increases in snow removal costs and the write off of tenant work and lease costs associated with several stores operated by a bankrupt tenant.</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Real estate taxes increased 6% from $17.3 million in the first nine months of 1998 to $18.3 million in the first nine months of 1999. If real estate taxes are adjusted for properties acquired in 1999 and 1998, real estate taxes remained relatively constant. Increased taxes on recently redeveloped properties were offset by a refund resulting from the reassessment of a 1997 acquisition.</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Depreciation and amortization expenses increased 12% from $33.4 million in the first nine months of 1998 to $37.3 million in the first nine months of 1999 reflecting the impact of property acquisitions and recent tenant work and property improvements.</w:t>
      </w:r>
    </w:p>
    <w:p>
      <w:pPr>
        <w:spacing w:after="0" w:line="188" w:lineRule="exact"/>
        <w:rPr>
          <w:sz w:val="20"/>
          <w:szCs w:val="20"/>
          <w:color w:val="auto"/>
        </w:rPr>
      </w:pPr>
    </w:p>
    <w:p>
      <w:pPr>
        <w:ind w:right="2599" w:firstLine="293"/>
        <w:spacing w:after="0" w:line="250" w:lineRule="auto"/>
        <w:rPr>
          <w:sz w:val="20"/>
          <w:szCs w:val="20"/>
          <w:color w:val="auto"/>
        </w:rPr>
      </w:pPr>
      <w:r>
        <w:rPr>
          <w:rFonts w:ascii="Courier New" w:cs="Courier New" w:eastAsia="Courier New" w:hAnsi="Courier New"/>
          <w:sz w:val="16"/>
          <w:szCs w:val="16"/>
          <w:color w:val="auto"/>
        </w:rPr>
        <w:t>During the first nine months of 1999, we incurred interest expense of $50.3 million, of which $4.8 million was capitalized, as compared to 1998's $44.0 million, of which $4.2 million was capitalized. The increase in interest</w:t>
      </w:r>
    </w:p>
    <w:p>
      <w:pPr>
        <w:sectPr>
          <w:pgSz w:w="11900" w:h="16859" w:orient="portrait"/>
          <w:cols w:equalWidth="0" w:num="1">
            <w:col w:w="10219"/>
          </w:cols>
          <w:pgMar w:left="240" w:top="680" w:right="1440" w:bottom="0" w:gutter="0" w:footer="0" w:header="0"/>
        </w:sectPr>
      </w:pPr>
    </w:p>
    <w:bookmarkStart w:id="12" w:name="page13"/>
    <w:bookmarkEnd w:id="12"/>
    <w:p>
      <w:pPr>
        <w:ind w:right="2979"/>
        <w:spacing w:after="0" w:line="249" w:lineRule="auto"/>
        <w:rPr>
          <w:sz w:val="20"/>
          <w:szCs w:val="20"/>
          <w:color w:val="auto"/>
        </w:rPr>
      </w:pPr>
      <w:r>
        <w:rPr>
          <w:rFonts w:ascii="Courier New" w:cs="Courier New" w:eastAsia="Courier New" w:hAnsi="Courier New"/>
          <w:sz w:val="16"/>
          <w:szCs w:val="16"/>
          <w:color w:val="auto"/>
        </w:rPr>
        <w:t>expense reflects the additional debt issued to fund our acquisition and capital improvement programs. This combination of higher leverage with low interest rates has positively impacted our net income and funds from operations. The ratio of earnings to combined fixed charges and preferred dividends was 1.54x and 1.43x for the first nine months of 1999 and 1998,</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S-10</w:t>
      </w:r>
    </w:p>
    <w:p>
      <w:pPr>
        <w:sectPr>
          <w:pgSz w:w="11900" w:h="16838" w:orient="portrait"/>
          <w:cols w:equalWidth="0" w:num="1">
            <w:col w:w="10219"/>
          </w:cols>
          <w:pgMar w:left="240" w:top="142" w:right="1440" w:bottom="1440" w:gutter="0" w:footer="0" w:header="0"/>
        </w:sectPr>
      </w:pPr>
    </w:p>
    <w:bookmarkStart w:id="13" w:name="page14"/>
    <w:bookmarkEnd w:id="13"/>
    <w:p>
      <w:pPr>
        <w:jc w:val="both"/>
        <w:ind w:right="2699"/>
        <w:spacing w:after="0" w:line="249" w:lineRule="auto"/>
        <w:rPr>
          <w:sz w:val="20"/>
          <w:szCs w:val="20"/>
          <w:color w:val="auto"/>
        </w:rPr>
      </w:pPr>
      <w:r>
        <w:rPr>
          <w:rFonts w:ascii="Courier New" w:cs="Courier New" w:eastAsia="Courier New" w:hAnsi="Courier New"/>
          <w:sz w:val="16"/>
          <w:szCs w:val="16"/>
          <w:color w:val="auto"/>
        </w:rPr>
        <w:t>respectively. The ratio of earnings to fixed charges was 1.7x and 1.6x during the first nine months of 1999 and 1998, respectively. The ratio of funds from operations to combined fixed charges and preferred dividends was 2.2x for the first nine months of 1999 and 1998.</w:t>
      </w:r>
    </w:p>
    <w:p>
      <w:pPr>
        <w:spacing w:after="0" w:line="188"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Administrative expenses decreased from $13.4 million in the first nine months of 1998 to $10.9 million in the first nine months of 1999. During the third quarter of 1998, we recorded a $4.7 million charge related to a comprehensive restructuring program. During the third quarter of 1999, we incurred expenses of approximately $2.5 million related to legal, accounting, tax and other advisory services related to the spin off and the merger discussed under "Strategic Transactions" above. Such costs have been expensed in their entirety in the third quarter of 1999. There are currently no plans to consummate a spin off or merger transaction.</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During the second quarter of 1999, we recorded a $7.1 million charge, representing the estimated loss on a potential sale of certain assets, principally Northeast Plaza in Atlanta, Georgia, thereby valuing the assets at their estimated fair value less estimated costs to sell. On October 18, 1999, we sold the 448,000 square foot Northeast Plaza shopping center for $19.6 million, realizing a loss of $6.4 million.</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As a result of the foregoing items, net income before estimated loss on the sale of real estate increased from $32.2 million in the first nine months of 1998 to $41.6 million in the first nine months of 1999, with net income increasing from $32.2 million during the first nine months of 1998 to $34.6 million during the first nine months of 1999 and net income available for common shareholders increasing from $26.2 million to $28.6 million.</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expect growth in net income before loss on sale of real estate and funds from operations during the remainder of 1999 both from contributions of our recent acquisitions and from contributions of our portfolio, primarily the properties undergoing redevelopment and retenanting. However, growth of net income from the portfolio is, in part, dependent on controlling expenses, some of which are beyond our complete control, such as snow removal, changes in the retailing environment and the potential impact of the internet. We currently expect that demand for our retail space should remain at levels similar to those in 1998. A weakening of the retail environment could, however, adversely impact us by increasing vacancies and decreasing rents. In past weak retail and real estate environments, we have been able to replace weak and bankrupt tenants with stronger tenants; management believes that due to the quality of our properties there will continue to be demand for our space. Growth in net income is also dependent on interest rates and controlling administrative costs. If interest rates increase, net income and funds from operations, as well as the ultimate cost of our development projects will be negatively impacted due to the variable interest rates on our revolving credit facilities. We are aggressively managing our administrative expenses through our reorganization efforts.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S-11</w:t>
      </w:r>
    </w:p>
    <w:p>
      <w:pPr>
        <w:sectPr>
          <w:pgSz w:w="11900" w:h="16838" w:orient="portrait"/>
          <w:cols w:equalWidth="0" w:num="1">
            <w:col w:w="10219"/>
          </w:cols>
          <w:pgMar w:left="240" w:top="680" w:right="1440" w:bottom="1440" w:gutter="0" w:footer="0" w:header="0"/>
        </w:sectPr>
      </w:pPr>
    </w:p>
    <w:bookmarkStart w:id="14" w:name="page15"/>
    <w:bookmarkEnd w:id="14"/>
    <w:p>
      <w:pPr>
        <w:ind w:left="3040"/>
        <w:spacing w:after="0"/>
        <w:rPr>
          <w:sz w:val="20"/>
          <w:szCs w:val="20"/>
          <w:color w:val="auto"/>
        </w:rPr>
      </w:pPr>
      <w:r>
        <w:rPr>
          <w:rFonts w:ascii="Courier New" w:cs="Courier New" w:eastAsia="Courier New" w:hAnsi="Courier New"/>
          <w:sz w:val="16"/>
          <w:szCs w:val="16"/>
          <w:color w:val="auto"/>
        </w:rPr>
        <w:t>BUSINESS STRATEGY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Portfolio</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An important part of our strategy is to own older, well-located properties in prime, densely populated and affluent areas and to enhance their operating performance through a program of renovation, expansion, reconfiguration and retenanting. This strategy has enabled us to increase revenues for each of the past ten years as shown in the following chart: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Revenues</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8"/>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rPr>
              <w:t>(in millions)</w:t>
            </w: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[BAR</w:t>
            </w:r>
          </w:p>
        </w:tc>
        <w:tc>
          <w:tcPr>
            <w:tcW w:w="5420" w:type="dxa"/>
            <w:vAlign w:val="bottom"/>
            <w:gridSpan w:val="7"/>
          </w:tcPr>
          <w:p>
            <w:pPr>
              <w:ind w:left="40"/>
              <w:spacing w:after="0"/>
              <w:rPr>
                <w:sz w:val="20"/>
                <w:szCs w:val="20"/>
                <w:color w:val="auto"/>
              </w:rPr>
            </w:pPr>
            <w:r>
              <w:rPr>
                <w:rFonts w:ascii="Courier New" w:cs="Courier New" w:eastAsia="Courier New" w:hAnsi="Courier New"/>
                <w:sz w:val="16"/>
                <w:szCs w:val="16"/>
                <w:color w:val="auto"/>
              </w:rPr>
              <w:t>GRAPH SHOWING PORTFOLIO REVENUES BY YEAR FROM 1990</w:t>
            </w:r>
          </w:p>
        </w:tc>
        <w:tc>
          <w:tcPr>
            <w:tcW w:w="68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4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THROUGH SEPTEMBER 30, 1999]</w:t>
            </w: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76"/>
        </w:trPr>
        <w:tc>
          <w:tcPr>
            <w:tcW w:w="780" w:type="dxa"/>
            <w:vAlign w:val="bottom"/>
          </w:tcPr>
          <w:p>
            <w:pPr>
              <w:spacing w:after="0"/>
              <w:rPr>
                <w:sz w:val="20"/>
                <w:szCs w:val="20"/>
                <w:color w:val="auto"/>
              </w:rPr>
            </w:pPr>
            <w:r>
              <w:rPr>
                <w:rFonts w:ascii="Courier New" w:cs="Courier New" w:eastAsia="Courier New" w:hAnsi="Courier New"/>
                <w:sz w:val="16"/>
                <w:szCs w:val="16"/>
                <w:color w:val="auto"/>
              </w:rPr>
              <w:t>1990</w:t>
            </w: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1991</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1992</w:t>
            </w:r>
          </w:p>
        </w:tc>
        <w:tc>
          <w:tcPr>
            <w:tcW w:w="8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1993</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1994</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1995</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1996</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1997</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1998</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7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780" w:type="dxa"/>
            <w:vAlign w:val="bottom"/>
          </w:tcPr>
          <w:p>
            <w:pPr>
              <w:spacing w:after="0"/>
              <w:rPr>
                <w:sz w:val="20"/>
                <w:szCs w:val="20"/>
                <w:color w:val="auto"/>
              </w:rPr>
            </w:pPr>
            <w:r>
              <w:rPr>
                <w:rFonts w:ascii="Courier New" w:cs="Courier New" w:eastAsia="Courier New" w:hAnsi="Courier New"/>
                <w:sz w:val="16"/>
                <w:szCs w:val="16"/>
                <w:color w:val="auto"/>
              </w:rPr>
              <w:t>$ 91</w:t>
            </w:r>
          </w:p>
        </w:tc>
        <w:tc>
          <w:tcPr>
            <w:tcW w:w="74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$ 98</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$100</w:t>
            </w:r>
          </w:p>
        </w:tc>
        <w:tc>
          <w:tcPr>
            <w:tcW w:w="8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$115</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$138</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$154</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$179</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$204</w:t>
            </w:r>
          </w:p>
        </w:tc>
        <w:tc>
          <w:tcPr>
            <w:tcW w:w="7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$238</w:t>
            </w: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$260</w:t>
            </w:r>
          </w:p>
        </w:tc>
      </w:tr>
    </w:tbl>
    <w:p>
      <w:pPr>
        <w:spacing w:after="0" w:line="192"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Our portfolio has a track record of consistently increasing cash flow. We continually review all of our assets to assess their long-term value and their vulnerabilities in the future. We expect to selectively sell certain assets in a tax-efficient manner. Proceeds from any dispositions will be used to retire debt or to reinvest in operating or development assets which we believe offer strong risk-adjusted returns.</w:t>
      </w:r>
    </w:p>
    <w:p>
      <w:pPr>
        <w:spacing w:after="0" w:line="187" w:lineRule="exact"/>
        <w:rPr>
          <w:sz w:val="20"/>
          <w:szCs w:val="20"/>
          <w:color w:val="auto"/>
        </w:rPr>
      </w:pPr>
    </w:p>
    <w:p>
      <w:pPr>
        <w:ind w:right="3079" w:firstLine="293"/>
        <w:spacing w:after="0" w:line="250" w:lineRule="auto"/>
        <w:rPr>
          <w:sz w:val="20"/>
          <w:szCs w:val="20"/>
          <w:color w:val="auto"/>
        </w:rPr>
      </w:pPr>
      <w:r>
        <w:rPr>
          <w:rFonts w:ascii="Courier New" w:cs="Courier New" w:eastAsia="Courier New" w:hAnsi="Courier New"/>
          <w:sz w:val="16"/>
          <w:szCs w:val="16"/>
          <w:color w:val="auto"/>
        </w:rPr>
        <w:t>The properties have demonstrated their quality through their occupancy levels and rental growth over the past several years. Since 1991, the portfolio occupancy has ranged from 94%-96%, as shown on the chart below:</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Portfolio Occupancy Levels</w:t>
      </w:r>
    </w:p>
    <w:p>
      <w:pPr>
        <w:spacing w:after="0" w:line="19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[BAR GRAPH SHOWING PORTFOLIO OCCUPANCY LEVELS FROM 1991</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THROUGH SEPTEMBER 30, 1999]</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1991</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1992</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1993</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1994</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1995</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1996</w:t>
            </w:r>
          </w:p>
        </w:tc>
        <w:tc>
          <w:tcPr>
            <w:tcW w:w="7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1997</w:t>
            </w:r>
          </w:p>
        </w:tc>
        <w:tc>
          <w:tcPr>
            <w:tcW w:w="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1998</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94%</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96%</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95%</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95%</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95%</w:t>
            </w:r>
          </w:p>
        </w:tc>
        <w:tc>
          <w:tcPr>
            <w:tcW w:w="7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94%</w:t>
            </w:r>
          </w:p>
        </w:tc>
        <w:tc>
          <w:tcPr>
            <w:tcW w:w="7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96%</w:t>
            </w:r>
          </w:p>
        </w:tc>
        <w:tc>
          <w:tcPr>
            <w:tcW w:w="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376"/>
        </w:trPr>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S-12</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19"/>
          </w:cols>
          <w:pgMar w:left="240" w:top="680" w:right="1440" w:bottom="1440" w:gutter="0" w:footer="0" w:header="0"/>
        </w:sectPr>
      </w:pPr>
    </w:p>
    <w:bookmarkStart w:id="15" w:name="page16"/>
    <w:bookmarkEnd w:id="15"/>
    <w:p>
      <w:pPr>
        <w:ind w:right="2599" w:firstLine="293"/>
        <w:spacing w:after="0" w:line="249" w:lineRule="auto"/>
        <w:rPr>
          <w:sz w:val="20"/>
          <w:szCs w:val="20"/>
          <w:color w:val="auto"/>
        </w:rPr>
      </w:pPr>
      <w:r>
        <w:rPr>
          <w:rFonts w:ascii="Courier New" w:cs="Courier New" w:eastAsia="Courier New" w:hAnsi="Courier New"/>
          <w:sz w:val="16"/>
          <w:szCs w:val="16"/>
          <w:color w:val="auto"/>
        </w:rPr>
        <w:t>For the five years through September 30, 1999, minimum rent per square foot has increased from $9.53 to $14.60, an 8.9% compounded annual growth rate. By acquiring older assets, the portfolio is able to generate internal growth through the re-leasing of below-market leases. Since 1992, on a comparable space basis, we have produced an average 20% increase in new base rent from the previous base rent as shown in the following chart: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 Rollovers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5"/>
                <w:szCs w:val="15"/>
                <w:color w:val="auto"/>
              </w:rPr>
            </w:pPr>
          </w:p>
        </w:tc>
        <w:tc>
          <w:tcPr>
            <w:tcW w:w="2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Square Feet Increase over</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Leased</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Prior Rent</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5320" w:type="dxa"/>
            <w:vAlign w:val="bottom"/>
          </w:tcPr>
          <w:p>
            <w:pPr>
              <w:spacing w:after="0"/>
              <w:rPr>
                <w:sz w:val="20"/>
                <w:szCs w:val="20"/>
                <w:color w:val="auto"/>
              </w:rPr>
            </w:pPr>
            <w:r>
              <w:rPr>
                <w:rFonts w:ascii="Courier New" w:cs="Courier New" w:eastAsia="Courier New" w:hAnsi="Courier New"/>
                <w:sz w:val="16"/>
                <w:szCs w:val="16"/>
                <w:color w:val="auto"/>
              </w:rPr>
              <w:t>Nine Months Ended September 30, 1999..................</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761,000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1,090,000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1,121,000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1,300,000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1,300,000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770,000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880,000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w:t>
            </w:r>
          </w:p>
        </w:tc>
      </w:tr>
      <w:tr>
        <w:trPr>
          <w:trHeight w:val="188"/>
        </w:trPr>
        <w:tc>
          <w:tcPr>
            <w:tcW w:w="532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13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851,000</w:t>
            </w:r>
          </w:p>
        </w:tc>
        <w:tc>
          <w:tcPr>
            <w:tcW w:w="13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Shopping Center Portfolio</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have always strived to own the highest quality assets in terms of long-term value appreciation. By focusing our acquisition efforts on properties with superior demographics, barriers to entry and in major metropolitan markets, the properties are able to achieve impressive operating results. In 1998, our reporting tenants' sales averaged over $280 per square foot, approximately 50% greater than the average sales at community and neighborhood centers throughout the United States of $190 per square foot, according to the National Research Bureau Shopping Center Database and Research Model. The shopping center assets are primarily located in infill locations in major metropolitan markets with superior demographics. The shopping center assets have an average density of 278,750 people within a five-mile radius with an average household income of approximately $72,000, as compared to the United States average of approximately $50,000.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Main Street Retail Program</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Over the past several years, consumers and retailers alike have returned in force to America's premier main streets. Consumers are increasingly seeking the convenience, entertainment and vitality main streets can provide. In 1994, we established a program to seize opportunities created by the growing trend of the revitalization of main street shopping districts and launched a program to selectively acquire and redevelop prime properties in established main street shopping districts. We intend to continue this strategy of targeting properties where the potential to generate immediate cash flow growth or the ability to add significant value through thoughtfully selected remerchandizing or redevelopment programs is available.</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are a dominant landlord on some of the most successful and dynamic streets in the United States. As of September 30, 1999, we owned 62 main street retail properties in 12 states and the District of Columbia. In nationally known retail districts from Greenwich, Connecticut, to Third Street Promenade in Santa Monica, California, we intend to continue to transform underutilized buildings into vibrant properties and put exciting retail and entertainment concepts on great streets. By creating value for the cities and communities these properties serve and the people who live in them, we believe we will not only enhance the communities but will enhance the value and stability of our portfolio. As population shifts continue and the growth in metropolitan markets increases demand for reinvigorated main streets, we believe that we are well positioned to lead in the creation and revitalization of urban retail landscapes.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S-13</w:t>
      </w:r>
    </w:p>
    <w:p>
      <w:pPr>
        <w:sectPr>
          <w:pgSz w:w="11900" w:h="16838" w:orient="portrait"/>
          <w:cols w:equalWidth="0" w:num="1">
            <w:col w:w="10219"/>
          </w:cols>
          <w:pgMar w:left="240" w:top="680" w:right="1440" w:bottom="1440" w:gutter="0" w:footer="0" w:header="0"/>
        </w:sectPr>
      </w:pPr>
    </w:p>
    <w:bookmarkStart w:id="16" w:name="page17"/>
    <w:bookmarkEnd w:id="16"/>
    <w:p>
      <w:pPr>
        <w:spacing w:after="0" w:line="12" w:lineRule="exact"/>
        <w:rPr>
          <w:sz w:val="20"/>
          <w:szCs w:val="20"/>
          <w:color w:val="auto"/>
        </w:rPr>
      </w:pPr>
    </w:p>
    <w:p>
      <w:pPr>
        <w:ind w:right="3179" w:firstLine="293"/>
        <w:spacing w:after="0" w:line="252" w:lineRule="auto"/>
        <w:rPr>
          <w:sz w:val="20"/>
          <w:szCs w:val="20"/>
          <w:color w:val="auto"/>
        </w:rPr>
      </w:pPr>
      <w:r>
        <w:rPr>
          <w:rFonts w:ascii="Courier New" w:cs="Courier New" w:eastAsia="Courier New" w:hAnsi="Courier New"/>
          <w:sz w:val="16"/>
          <w:szCs w:val="16"/>
          <w:color w:val="auto"/>
        </w:rPr>
        <w:t>The following table summarizes the growth of the main street retail portfolio through September 30, 1999 (in thousands, except square feet):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Main Street Retail Portfolio</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Nine Months</w:t>
            </w:r>
          </w:p>
        </w:tc>
      </w:tr>
      <w:tr>
        <w:trPr>
          <w:trHeight w:val="188"/>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Ended</w:t>
            </w:r>
          </w:p>
        </w:tc>
      </w:tr>
      <w:tr>
        <w:trPr>
          <w:trHeight w:val="188"/>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right"/>
              <w:ind w:right="359"/>
              <w:spacing w:after="0"/>
              <w:rPr>
                <w:sz w:val="20"/>
                <w:szCs w:val="20"/>
                <w:color w:val="auto"/>
              </w:rPr>
            </w:pPr>
            <w:r>
              <w:rPr>
                <w:rFonts w:ascii="Courier New" w:cs="Courier New" w:eastAsia="Courier New" w:hAnsi="Courier New"/>
                <w:sz w:val="16"/>
                <w:szCs w:val="16"/>
                <w:color w:val="auto"/>
              </w:rPr>
              <w:t>December 31,</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r>
      <w:tr>
        <w:trPr>
          <w:trHeight w:val="188"/>
        </w:trPr>
        <w:tc>
          <w:tcPr>
            <w:tcW w:w="26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3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2680" w:type="dxa"/>
            <w:vAlign w:val="bottom"/>
          </w:tcPr>
          <w:p>
            <w:pPr>
              <w:spacing w:after="0"/>
              <w:rPr>
                <w:sz w:val="20"/>
                <w:szCs w:val="20"/>
                <w:color w:val="auto"/>
              </w:rPr>
            </w:pPr>
            <w:r>
              <w:rPr>
                <w:rFonts w:ascii="Courier New" w:cs="Courier New" w:eastAsia="Courier New" w:hAnsi="Courier New"/>
                <w:sz w:val="16"/>
                <w:szCs w:val="16"/>
                <w:color w:val="auto"/>
              </w:rPr>
              <w:t>Real Estate Assets(1)......</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107,910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164,931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288,020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365,874</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432,580</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9,310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20,555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31,998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42,643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37,000</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Net Operating Income.......</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3,994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12,538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20,345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28,660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25,341</w:t>
            </w:r>
          </w:p>
        </w:tc>
      </w:tr>
      <w:tr>
        <w:trPr>
          <w:trHeight w:val="188"/>
        </w:trPr>
        <w:tc>
          <w:tcPr>
            <w:tcW w:w="2680" w:type="dxa"/>
            <w:vAlign w:val="bottom"/>
          </w:tcPr>
          <w:p>
            <w:pPr>
              <w:spacing w:after="0"/>
              <w:rPr>
                <w:sz w:val="20"/>
                <w:szCs w:val="20"/>
                <w:color w:val="auto"/>
              </w:rPr>
            </w:pPr>
            <w:r>
              <w:rPr>
                <w:rFonts w:ascii="Courier New" w:cs="Courier New" w:eastAsia="Courier New" w:hAnsi="Courier New"/>
                <w:sz w:val="16"/>
                <w:szCs w:val="16"/>
                <w:color w:val="auto"/>
              </w:rPr>
              <w:t>Square Feet(2).............</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532,944</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1,122,737</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1,502,807</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1,601,849</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1,798,181</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400" w:right="2699" w:hanging="400"/>
        <w:spacing w:after="0" w:line="248" w:lineRule="auto"/>
        <w:tabs>
          <w:tab w:leader="none" w:pos="4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September 30, 1999, includes $98 million related to new development in progress. The balance is comprised of both stabilized assets and assets which are in various stages of redevelopment.</w:t>
      </w:r>
    </w:p>
    <w:p>
      <w:pPr>
        <w:spacing w:after="0" w:line="1" w:lineRule="exact"/>
        <w:rPr>
          <w:rFonts w:ascii="Courier New" w:cs="Courier New" w:eastAsia="Courier New" w:hAnsi="Courier New"/>
          <w:sz w:val="16"/>
          <w:szCs w:val="16"/>
          <w:color w:val="auto"/>
        </w:rPr>
      </w:pPr>
    </w:p>
    <w:p>
      <w:pPr>
        <w:ind w:left="400" w:right="2799" w:hanging="400"/>
        <w:spacing w:after="0" w:line="252" w:lineRule="auto"/>
        <w:tabs>
          <w:tab w:leader="none" w:pos="4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square footage for the third and fourth phases of Bethesda Row, Pentagon Row, Santana Row and San Antonio--Houston Street.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Main Street Retail Development</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intend to complete the development of our existing development projects and to pursue future opportunities to acquire land or other non-operating real estate in urban and suburban business districts for development of mixed-use projects with retail as a primary focus. Our efforts are focused on the creation of new main street, mixed-use districts in urban and close in, densely populated and affluent suburban markets. In addition to the retail component, these properties will contain a significant residential, hotel or office component or a combination thereof. As of September 30, 1999, we had approximately $98 million invested in our development projects.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Bethesda Row</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Bethesda Row in Bethesda, Maryland consists of eight buildings totaling more than 280,000 square feet encompassing five contiguous city blocks in the heart of downtown Bethesda's business district. With a blend of specialty retail totaling approximately 205,000 square feet and local office tenants totaling approximately 75,000 square feet, Bethesda Row is undergoing the fourth phase of a ten-year master redevelopment plan. Comprehensive streetscape improvements, including brick sidewalks, curbside landscaping, storefront enhancements and cafe-style seating, comprise an integral part of the master redevelopment plan. Currently, the third phase (Elm Street) and the fourth phase (Woodmont East) are under construction. Elm Street and Woodmont East are expected to be completed in the first quarter of 2000 and the second quarter of 2001, respectively.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Pentagon Row</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Located on an 18-acre parcel of land adjacent to the Fashion Centre at Pentagon City, Pentagon Row is a multi-level, mixed-use development that will feature more than 300,000 square feet of street-level retail, over 500 mid-rise apartment homes above the retail pedestal, and will include an array of specialty and convenience shops, innovative restaurants and entertainment venues. The development is convenient to public transit and major interstate arteries. The apartments will be developed by Post Properties, Inc., another publicly traded real estate investment trust. Construction on Pentagon Row began in July 1999 and we anticipate completion in the second quarter of 2001.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Santana Row</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Santana Row, located in San Jose, California, is a forty-two acre mixed-use development site in the heart of Silicon Valley. The development plan includes over 575,000 square feet of retail space centered around Santana Drive, the main street of the development. In addition, the project will include 1,200 residential units and a 200-room boutique hotel. Upon completion, Santana Drive will feature a central park lined with street-side cafes and a diverse, cosmopolitan mix of tenants.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Antonio--Houston Street</w:t>
      </w:r>
    </w:p>
    <w:p>
      <w:pPr>
        <w:spacing w:after="0" w:line="19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We own 11 properties in the three blocks of Houston Street in downtown San Antonio, Texas. Our development plan will remerchandise and redevelop the properties to create 250,000 square feet of retail space, 80,581 square feet of office or residential space, and two hotels containing approximately 400 rooms. A tiered promenade is planned to connect Houston Street to the River Walk, the number one tourist attraction in the State of Texas.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S-14</w:t>
      </w:r>
    </w:p>
    <w:p>
      <w:pPr>
        <w:sectPr>
          <w:pgSz w:w="11900" w:h="16850" w:orient="portrait"/>
          <w:cols w:equalWidth="0" w:num="1">
            <w:col w:w="10219"/>
          </w:cols>
          <w:pgMar w:left="240" w:top="680" w:right="1440" w:bottom="0" w:gutter="0" w:footer="0" w:header="0"/>
        </w:sectPr>
      </w:pPr>
    </w:p>
    <w:bookmarkStart w:id="17" w:name="page18"/>
    <w:bookmarkEnd w:id="17"/>
    <w:p>
      <w:pPr>
        <w:ind w:left="3320"/>
        <w:spacing w:after="0"/>
        <w:rPr>
          <w:sz w:val="20"/>
          <w:szCs w:val="20"/>
          <w:color w:val="auto"/>
        </w:rPr>
      </w:pPr>
      <w:r>
        <w:rPr>
          <w:rFonts w:ascii="Courier New" w:cs="Courier New" w:eastAsia="Courier New" w:hAnsi="Courier New"/>
          <w:sz w:val="16"/>
          <w:szCs w:val="16"/>
          <w:color w:val="auto"/>
        </w:rPr>
        <w:t>MANAGEMENT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Executive Officers and Trustees</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As of September 30, 1999, our executive officers and trustees were:</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82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Age</w:t>
            </w: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Position with Trust</w:t>
            </w:r>
          </w:p>
        </w:tc>
      </w:tr>
      <w:tr>
        <w:trPr>
          <w:trHeight w:val="188"/>
        </w:trPr>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1820" w:type="dxa"/>
            <w:vAlign w:val="bottom"/>
          </w:tcPr>
          <w:p>
            <w:pPr>
              <w:spacing w:after="0"/>
              <w:rPr>
                <w:sz w:val="16"/>
                <w:szCs w:val="16"/>
                <w:color w:val="auto"/>
              </w:rPr>
            </w:pPr>
          </w:p>
        </w:tc>
        <w:tc>
          <w:tcPr>
            <w:tcW w:w="78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w:t>
            </w:r>
          </w:p>
        </w:tc>
      </w:tr>
      <w:tr>
        <w:trPr>
          <w:trHeight w:val="376"/>
        </w:trPr>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Steven</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J. Guttman.......</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53</w:t>
            </w: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President, Chief Executive Officer and Trustee</w:t>
            </w:r>
          </w:p>
        </w:tc>
      </w:tr>
      <w:tr>
        <w:trPr>
          <w:trHeight w:val="188"/>
        </w:trPr>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Howard</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S. Biel..........</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52</w:t>
            </w: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Senior Vice President, Chief Development Officer</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Nancy J. Herman.........</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35</w:t>
            </w: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General Counsel and Secretary</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Ron D. Kaplan...........</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36</w:t>
            </w: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Senior Vice President--Capital Markets, Chief Investment Officer</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Cecily A. Ward..........</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53</w:t>
            </w: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Vice President--Controller and Treasurer</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Donald C. Wood..........</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39</w:t>
            </w: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Senior Vice President, Chief Operating Officer and Chief Financial Officer</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Mark S. Ordan...........</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40</w:t>
            </w: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Trustee</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Kenneth D. Brody........</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56</w:t>
            </w: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Trustee</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A. Cornet de Ways</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66</w:t>
            </w:r>
          </w:p>
        </w:tc>
        <w:tc>
          <w:tcPr>
            <w:tcW w:w="7520" w:type="dxa"/>
            <w:vAlign w:val="bottom"/>
          </w:tcPr>
          <w:p>
            <w:pPr>
              <w:spacing w:after="0"/>
              <w:rPr>
                <w:sz w:val="16"/>
                <w:szCs w:val="16"/>
                <w:color w:val="auto"/>
              </w:rPr>
            </w:pPr>
          </w:p>
        </w:tc>
      </w:tr>
      <w:tr>
        <w:trPr>
          <w:trHeight w:val="188"/>
        </w:trPr>
        <w:tc>
          <w:tcPr>
            <w:tcW w:w="580" w:type="dxa"/>
            <w:vAlign w:val="bottom"/>
          </w:tcPr>
          <w:p>
            <w:pPr>
              <w:ind w:left="100"/>
              <w:spacing w:after="0"/>
              <w:rPr>
                <w:sz w:val="20"/>
                <w:szCs w:val="20"/>
                <w:color w:val="auto"/>
              </w:rPr>
            </w:pPr>
            <w:r>
              <w:rPr>
                <w:rFonts w:ascii="Courier New" w:cs="Courier New" w:eastAsia="Courier New" w:hAnsi="Courier New"/>
                <w:sz w:val="16"/>
                <w:szCs w:val="16"/>
                <w:color w:val="auto"/>
                <w:w w:val="95"/>
              </w:rPr>
              <w:t>Ruart</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Trustee</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Walter F. Loeb..........</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75</w:t>
            </w: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Trustee</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Dennis L. Berman........</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48</w:t>
            </w: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Trustee</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Kristin Gamble..........</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rPr>
              <w:t>53</w:t>
            </w: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Trustee</w:t>
            </w:r>
          </w:p>
        </w:tc>
      </w:tr>
      <w:tr>
        <w:trPr>
          <w:trHeight w:val="564"/>
        </w:trPr>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Steven J. Guttman has</w:t>
            </w:r>
          </w:p>
        </w:tc>
        <w:tc>
          <w:tcPr>
            <w:tcW w:w="78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been our President and Chief Executive Officer since</w:t>
            </w:r>
          </w:p>
        </w:tc>
      </w:tr>
      <w:tr>
        <w:trPr>
          <w:trHeight w:val="188"/>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April 1980 and serves on</w:t>
            </w:r>
          </w:p>
        </w:tc>
        <w:tc>
          <w:tcPr>
            <w:tcW w:w="340" w:type="dxa"/>
            <w:vAlign w:val="bottom"/>
          </w:tcPr>
          <w:p>
            <w:pPr>
              <w:ind w:left="40"/>
              <w:spacing w:after="0"/>
              <w:rPr>
                <w:sz w:val="20"/>
                <w:szCs w:val="20"/>
                <w:color w:val="auto"/>
              </w:rPr>
            </w:pPr>
            <w:r>
              <w:rPr>
                <w:rFonts w:ascii="Courier New" w:cs="Courier New" w:eastAsia="Courier New" w:hAnsi="Courier New"/>
                <w:sz w:val="16"/>
                <w:szCs w:val="16"/>
                <w:color w:val="auto"/>
                <w:w w:val="97"/>
              </w:rPr>
              <w:t>our</w:t>
            </w: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Board of Trustees. Mr. Guttman joined us in 1972.</w:t>
            </w:r>
          </w:p>
        </w:tc>
      </w:tr>
      <w:tr>
        <w:trPr>
          <w:trHeight w:val="188"/>
        </w:trPr>
        <w:tc>
          <w:tcPr>
            <w:tcW w:w="2740" w:type="dxa"/>
            <w:vAlign w:val="bottom"/>
            <w:gridSpan w:val="3"/>
          </w:tcPr>
          <w:p>
            <w:pPr>
              <w:spacing w:after="0"/>
              <w:rPr>
                <w:sz w:val="20"/>
                <w:szCs w:val="20"/>
                <w:color w:val="auto"/>
              </w:rPr>
            </w:pPr>
            <w:r>
              <w:rPr>
                <w:rFonts w:ascii="Courier New" w:cs="Courier New" w:eastAsia="Courier New" w:hAnsi="Courier New"/>
                <w:sz w:val="16"/>
                <w:szCs w:val="16"/>
                <w:color w:val="auto"/>
              </w:rPr>
              <w:t>In 1975, he became Director</w:t>
            </w:r>
          </w:p>
        </w:tc>
        <w:tc>
          <w:tcPr>
            <w:tcW w:w="7520" w:type="dxa"/>
            <w:vAlign w:val="bottom"/>
          </w:tcPr>
          <w:p>
            <w:pPr>
              <w:spacing w:after="0"/>
              <w:rPr>
                <w:sz w:val="20"/>
                <w:szCs w:val="20"/>
                <w:color w:val="auto"/>
              </w:rPr>
            </w:pPr>
            <w:r>
              <w:rPr>
                <w:rFonts w:ascii="Courier New" w:cs="Courier New" w:eastAsia="Courier New" w:hAnsi="Courier New"/>
                <w:sz w:val="16"/>
                <w:szCs w:val="16"/>
                <w:color w:val="auto"/>
              </w:rPr>
              <w:t>of Acquisitions and in 1975 was promoted to Chief</w:t>
            </w:r>
          </w:p>
        </w:tc>
      </w:tr>
      <w:tr>
        <w:trPr>
          <w:trHeight w:val="188"/>
        </w:trPr>
        <w:tc>
          <w:tcPr>
            <w:tcW w:w="2740" w:type="dxa"/>
            <w:vAlign w:val="bottom"/>
            <w:gridSpan w:val="3"/>
          </w:tcPr>
          <w:p>
            <w:pPr>
              <w:spacing w:after="0"/>
              <w:rPr>
                <w:sz w:val="20"/>
                <w:szCs w:val="20"/>
                <w:color w:val="auto"/>
              </w:rPr>
            </w:pPr>
            <w:r>
              <w:rPr>
                <w:rFonts w:ascii="Courier New" w:cs="Courier New" w:eastAsia="Courier New" w:hAnsi="Courier New"/>
                <w:sz w:val="16"/>
                <w:szCs w:val="16"/>
                <w:color w:val="auto"/>
              </w:rPr>
              <w:t>Operating Officer and became</w:t>
            </w:r>
          </w:p>
        </w:tc>
        <w:tc>
          <w:tcPr>
            <w:tcW w:w="7520" w:type="dxa"/>
            <w:vAlign w:val="bottom"/>
          </w:tcPr>
          <w:p>
            <w:pPr>
              <w:ind w:left="100"/>
              <w:spacing w:after="0"/>
              <w:rPr>
                <w:sz w:val="20"/>
                <w:szCs w:val="20"/>
                <w:color w:val="auto"/>
              </w:rPr>
            </w:pPr>
            <w:r>
              <w:rPr>
                <w:rFonts w:ascii="Courier New" w:cs="Courier New" w:eastAsia="Courier New" w:hAnsi="Courier New"/>
                <w:sz w:val="16"/>
                <w:szCs w:val="16"/>
                <w:color w:val="auto"/>
              </w:rPr>
              <w:t>Managing Trustee in 1979. Mr. Guttman is</w:t>
            </w:r>
          </w:p>
        </w:tc>
      </w:tr>
      <w:tr>
        <w:trPr>
          <w:trHeight w:val="188"/>
        </w:trPr>
        <w:tc>
          <w:tcPr>
            <w:tcW w:w="2740" w:type="dxa"/>
            <w:vAlign w:val="bottom"/>
            <w:gridSpan w:val="3"/>
          </w:tcPr>
          <w:p>
            <w:pPr>
              <w:spacing w:after="0"/>
              <w:rPr>
                <w:sz w:val="20"/>
                <w:szCs w:val="20"/>
                <w:color w:val="auto"/>
              </w:rPr>
            </w:pPr>
            <w:r>
              <w:rPr>
                <w:rFonts w:ascii="Courier New" w:cs="Courier New" w:eastAsia="Courier New" w:hAnsi="Courier New"/>
                <w:sz w:val="16"/>
                <w:szCs w:val="16"/>
                <w:color w:val="auto"/>
              </w:rPr>
              <w:t>currently serving his third</w:t>
            </w:r>
          </w:p>
        </w:tc>
        <w:tc>
          <w:tcPr>
            <w:tcW w:w="7520" w:type="dxa"/>
            <w:vAlign w:val="bottom"/>
          </w:tcPr>
          <w:p>
            <w:pPr>
              <w:spacing w:after="0"/>
              <w:rPr>
                <w:sz w:val="20"/>
                <w:szCs w:val="20"/>
                <w:color w:val="auto"/>
              </w:rPr>
            </w:pPr>
            <w:r>
              <w:rPr>
                <w:rFonts w:ascii="Courier New" w:cs="Courier New" w:eastAsia="Courier New" w:hAnsi="Courier New"/>
                <w:sz w:val="16"/>
                <w:szCs w:val="16"/>
                <w:color w:val="auto"/>
              </w:rPr>
              <w:t>term on the Board of Governors of the National</w:t>
            </w:r>
          </w:p>
        </w:tc>
      </w:tr>
      <w:tr>
        <w:trPr>
          <w:trHeight w:val="188"/>
        </w:trPr>
        <w:tc>
          <w:tcPr>
            <w:tcW w:w="10260" w:type="dxa"/>
            <w:vAlign w:val="bottom"/>
            <w:gridSpan w:val="4"/>
          </w:tcPr>
          <w:p>
            <w:pPr>
              <w:spacing w:after="0"/>
              <w:rPr>
                <w:sz w:val="20"/>
                <w:szCs w:val="20"/>
                <w:color w:val="auto"/>
              </w:rPr>
            </w:pPr>
            <w:r>
              <w:rPr>
                <w:rFonts w:ascii="Courier New" w:cs="Courier New" w:eastAsia="Courier New" w:hAnsi="Courier New"/>
                <w:sz w:val="16"/>
                <w:szCs w:val="16"/>
                <w:color w:val="auto"/>
              </w:rPr>
              <w:t>Association of Real Estate Investment Trusts, where he previously served as</w:t>
            </w:r>
          </w:p>
        </w:tc>
      </w:tr>
    </w:tbl>
    <w:p>
      <w:pPr>
        <w:spacing w:after="0" w:line="4" w:lineRule="exact"/>
        <w:rPr>
          <w:sz w:val="20"/>
          <w:szCs w:val="20"/>
          <w:color w:val="auto"/>
        </w:rPr>
      </w:pPr>
    </w:p>
    <w:p>
      <w:pPr>
        <w:ind w:right="2640"/>
        <w:spacing w:after="0" w:line="249" w:lineRule="auto"/>
        <w:rPr>
          <w:sz w:val="20"/>
          <w:szCs w:val="20"/>
          <w:color w:val="auto"/>
        </w:rPr>
      </w:pPr>
      <w:r>
        <w:rPr>
          <w:rFonts w:ascii="Courier New" w:cs="Courier New" w:eastAsia="Courier New" w:hAnsi="Courier New"/>
          <w:sz w:val="16"/>
          <w:szCs w:val="16"/>
          <w:color w:val="auto"/>
        </w:rPr>
        <w:t>Chairman and currently serves as a member of the Executive Committee. He has held active membership in the International Council of Shopping Centers since 1972 and served as Trustee from 1991-1997. Mr. Guttman is also a member of the Real Estate Center Advisory Board of the Wharton School of the University of Pennsylvania, is a member of the Executive Committee, and is Chairman of the Membership/Program Committee. Additionally, Mr. Guttman is a member of the Board of Advisors of the George Washington University Law School.</w:t>
      </w:r>
    </w:p>
    <w:p>
      <w:pPr>
        <w:spacing w:after="0" w:line="187" w:lineRule="exact"/>
        <w:rPr>
          <w:sz w:val="20"/>
          <w:szCs w:val="20"/>
          <w:color w:val="auto"/>
        </w:rPr>
      </w:pPr>
    </w:p>
    <w:p>
      <w:pPr>
        <w:ind w:right="2640" w:firstLine="293"/>
        <w:spacing w:after="0" w:line="249" w:lineRule="auto"/>
        <w:rPr>
          <w:sz w:val="20"/>
          <w:szCs w:val="20"/>
          <w:color w:val="auto"/>
        </w:rPr>
      </w:pPr>
      <w:r>
        <w:rPr>
          <w:rFonts w:ascii="Courier New" w:cs="Courier New" w:eastAsia="Courier New" w:hAnsi="Courier New"/>
          <w:sz w:val="16"/>
          <w:szCs w:val="16"/>
          <w:color w:val="auto"/>
        </w:rPr>
        <w:t>Howard S. Biel joined us in January 1998. He is currently Senior Vice President--Chief Development Officer. From 1991 through 1997, Mr. Biel was Regional Partner for Faison where he was responsible for development in the Mid-Atlantic and Northeast regions. From 1986 through 1990, Mr. Biel was Executive Vice President for Western Development Corporation (now The Mills Corporation) where he oversaw the development and management of value oriented super-regional shopping malls. From 1979 through 1985, he was Senior Vice President for Development at the Edward J. DeBartolo Corporation.</w:t>
      </w:r>
    </w:p>
    <w:p>
      <w:pPr>
        <w:spacing w:after="0" w:line="187" w:lineRule="exact"/>
        <w:rPr>
          <w:sz w:val="20"/>
          <w:szCs w:val="20"/>
          <w:color w:val="auto"/>
        </w:rPr>
      </w:pPr>
    </w:p>
    <w:p>
      <w:pPr>
        <w:ind w:right="2640" w:firstLine="293"/>
        <w:spacing w:after="0" w:line="249" w:lineRule="auto"/>
        <w:rPr>
          <w:sz w:val="20"/>
          <w:szCs w:val="20"/>
          <w:color w:val="auto"/>
        </w:rPr>
      </w:pPr>
      <w:r>
        <w:rPr>
          <w:rFonts w:ascii="Courier New" w:cs="Courier New" w:eastAsia="Courier New" w:hAnsi="Courier New"/>
          <w:sz w:val="16"/>
          <w:szCs w:val="16"/>
          <w:color w:val="auto"/>
        </w:rPr>
        <w:t>Nancy J. Herman became our Vice President, General Counsel and Secretary in December 1998. In this position, Ms. Herman has overall responsibility for our legal affairs, human resources and administration. Ms. Herman joined us in 1990 as a staff attorney. Prior to joining us in 1990, Ms. Herman practiced real estate law at Hogan &amp; Hartson L.L.P.</w:t>
      </w:r>
    </w:p>
    <w:p>
      <w:pPr>
        <w:spacing w:after="0" w:line="187" w:lineRule="exact"/>
        <w:rPr>
          <w:sz w:val="20"/>
          <w:szCs w:val="20"/>
          <w:color w:val="auto"/>
        </w:rPr>
      </w:pPr>
    </w:p>
    <w:p>
      <w:pPr>
        <w:ind w:right="2640" w:firstLine="293"/>
        <w:spacing w:after="0" w:line="249" w:lineRule="auto"/>
        <w:rPr>
          <w:sz w:val="20"/>
          <w:szCs w:val="20"/>
          <w:color w:val="auto"/>
        </w:rPr>
      </w:pPr>
      <w:r>
        <w:rPr>
          <w:rFonts w:ascii="Courier New" w:cs="Courier New" w:eastAsia="Courier New" w:hAnsi="Courier New"/>
          <w:sz w:val="16"/>
          <w:szCs w:val="16"/>
          <w:color w:val="auto"/>
        </w:rPr>
        <w:t>Ron D. Kaplan joined us in November 1992. Mr. Kaplan is Senior Vice President--Capital Markets, Chief Investment Officer, and is responsible for our investment policies, strategic planning, capital raising and capital market transactions in addition to the maintenance of our relationships with institutional shareholders, lending institutions and the financial community. From its formation in 1994 through 1998, Mr. Kaplan was charged with managing Street Retail, Inc., a wholly owned subsidiary of ours specializing in the acquisition and development of main street retail properties. Mr. Kaplan was formerly a Vice President of Salomon Brothers Inc where he was responsible for capital raising and financial advisory services for public and private real estate companies.</w:t>
      </w:r>
    </w:p>
    <w:p>
      <w:pPr>
        <w:spacing w:after="0" w:line="187" w:lineRule="exact"/>
        <w:rPr>
          <w:sz w:val="20"/>
          <w:szCs w:val="20"/>
          <w:color w:val="auto"/>
        </w:rPr>
      </w:pPr>
    </w:p>
    <w:p>
      <w:pPr>
        <w:ind w:right="2840" w:firstLine="293"/>
        <w:spacing w:after="0" w:line="249" w:lineRule="auto"/>
        <w:rPr>
          <w:sz w:val="20"/>
          <w:szCs w:val="20"/>
          <w:color w:val="auto"/>
        </w:rPr>
      </w:pPr>
      <w:r>
        <w:rPr>
          <w:rFonts w:ascii="Courier New" w:cs="Courier New" w:eastAsia="Courier New" w:hAnsi="Courier New"/>
          <w:sz w:val="16"/>
          <w:szCs w:val="16"/>
          <w:color w:val="auto"/>
        </w:rPr>
        <w:t>Cecily A. Ward joined us in April 1987. Ms. Ward is currently Vice President--Controller and Treasurer. She oversees our accounting practices, maintains our financial records and prepares our financial reports. Prior to joining us, Ms. Ward, a certified public accountant, was with Grant Thornton LLP.</w:t>
      </w:r>
    </w:p>
    <w:p>
      <w:pPr>
        <w:spacing w:after="0" w:line="187" w:lineRule="exact"/>
        <w:rPr>
          <w:sz w:val="20"/>
          <w:szCs w:val="20"/>
          <w:color w:val="auto"/>
        </w:rPr>
      </w:pPr>
    </w:p>
    <w:p>
      <w:pPr>
        <w:ind w:right="2740" w:firstLine="293"/>
        <w:spacing w:after="0" w:line="249" w:lineRule="auto"/>
        <w:rPr>
          <w:sz w:val="20"/>
          <w:szCs w:val="20"/>
          <w:color w:val="auto"/>
        </w:rPr>
      </w:pPr>
      <w:r>
        <w:rPr>
          <w:rFonts w:ascii="Courier New" w:cs="Courier New" w:eastAsia="Courier New" w:hAnsi="Courier New"/>
          <w:sz w:val="16"/>
          <w:szCs w:val="16"/>
          <w:color w:val="auto"/>
        </w:rPr>
        <w:t>Donald C. Wood joined us in May 1998. He is currently Senior Vice President, Chief Financial Officer and Chief Operating Officer. Mr. Wood was promoted to Chief Operating Officer in November 1999 where he has direct responsibility for the operating and financial performance of our operating properties. Prior to joining us, Mr. Wood was Senior Vice President and Chief Financial Officer for Caesars World, Inc., a wholly owned subsidiary of ITT Corporation, where he was responsible for all aspects of finance throughout the company including strategic planning, process re-engineering, capital allocation and financial analysis. Prior to joining ITT in 1990, Mr. Wood was employed at Arthur Andersen &amp; Co. from 1982 where he served in numerous positions including audit manager.</w:t>
      </w:r>
    </w:p>
    <w:p>
      <w:pPr>
        <w:sectPr>
          <w:pgSz w:w="11900" w:h="16838" w:orient="portrait"/>
          <w:cols w:equalWidth="0" w:num="1">
            <w:col w:w="10260"/>
          </w:cols>
          <w:pgMar w:left="240" w:top="680" w:right="1399" w:bottom="0" w:gutter="0" w:footer="0" w:header="0"/>
        </w:sectPr>
      </w:pPr>
    </w:p>
    <w:bookmarkStart w:id="18" w:name="page19"/>
    <w:bookmarkEnd w:id="18"/>
    <w:p>
      <w:pPr>
        <w:ind w:left="242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9019"/>
          </w:cols>
          <w:pgMar w:left="1440" w:top="330" w:right="1440" w:bottom="1440" w:gutter="0" w:footer="0" w:header="0"/>
        </w:sectPr>
      </w:pPr>
    </w:p>
    <w:bookmarkStart w:id="19" w:name="page20"/>
    <w:bookmarkEnd w:id="19"/>
    <w:p>
      <w:pPr>
        <w:ind w:right="2599" w:firstLine="293"/>
        <w:spacing w:after="0" w:line="249" w:lineRule="auto"/>
        <w:rPr>
          <w:sz w:val="20"/>
          <w:szCs w:val="20"/>
          <w:color w:val="auto"/>
        </w:rPr>
      </w:pPr>
      <w:r>
        <w:rPr>
          <w:rFonts w:ascii="Courier New" w:cs="Courier New" w:eastAsia="Courier New" w:hAnsi="Courier New"/>
          <w:sz w:val="16"/>
          <w:szCs w:val="16"/>
          <w:color w:val="auto"/>
        </w:rPr>
        <w:t>Mark S. Ordan has been a trustee since 1996. Mr. Ordan is currently Partner, Bethesda Retail Partners, a retail venture capital and operating firm; Former Chief Executive Officer, Chartwell Health Management Inc.; Former Chairman, President and Chief Executive Officer, Fresh Fields Markets, Inc., a healthy foods supermarket; Trustee, Vassar College; Director, Center for Science in the Public Interest. Mr. Ordan's term as a trustee will expire in 2002.</w:t>
      </w:r>
    </w:p>
    <w:p>
      <w:pPr>
        <w:spacing w:after="0" w:line="375" w:lineRule="exact"/>
        <w:rPr>
          <w:sz w:val="20"/>
          <w:szCs w:val="20"/>
          <w:color w:val="auto"/>
        </w:rPr>
      </w:pPr>
    </w:p>
    <w:p>
      <w:pPr>
        <w:ind w:right="2799" w:firstLine="293"/>
        <w:spacing w:after="0" w:line="249" w:lineRule="auto"/>
        <w:rPr>
          <w:sz w:val="20"/>
          <w:szCs w:val="20"/>
          <w:color w:val="auto"/>
        </w:rPr>
      </w:pPr>
      <w:r>
        <w:rPr>
          <w:rFonts w:ascii="Courier New" w:cs="Courier New" w:eastAsia="Courier New" w:hAnsi="Courier New"/>
          <w:sz w:val="16"/>
          <w:szCs w:val="16"/>
          <w:color w:val="auto"/>
        </w:rPr>
        <w:t>Kenneth D. Brody has been a trustee since 1997. Mr. Brody is Founding Partner, Winslow Partners LLC, a private equity investment firm; Former President and Chairman, Export-Import Bank of the United States; Director, Quest Diagnostics, Inc.; Director, American Red Cross. Mr. Brody's term as a trustee will expire in 2000.</w:t>
      </w:r>
    </w:p>
    <w:p>
      <w:pPr>
        <w:spacing w:after="0" w:line="187"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A. Cornet de Ways Ruart has been a trustee since 1983. Mr. Ruart is Director of SIPEF S.A., an international holding company principally of agricultural interests; Director of Interbrew S.A., an international brewery. Mr. Ruart's term as a trustee will expire in 2000.</w:t>
      </w:r>
    </w:p>
    <w:p>
      <w:pPr>
        <w:spacing w:after="0" w:line="188"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Walter F. Loeb has been a trustee since 1991. Mr. Loeb is President, Loeb Associates Inc., a management consulting firm. Publisher, Loeb Retail Letter; Director, The Gymboree Corp.; Director, Mothers Work, Inc.; Director, Wet Seal, Inc., a women's apparel retailer; Director, Hudson's Bay Company, a Canadian chain of retail department stores and discount stores; Director, The Warnaco Group, Inc.; Retired Principal and Senior Retail Analyst, Morgan Stanley &amp; Co., Inc. Mr. Loeb's term as a trustee will expire in 2000.</w:t>
      </w:r>
    </w:p>
    <w:p>
      <w:pPr>
        <w:spacing w:after="0" w:line="187" w:lineRule="exact"/>
        <w:rPr>
          <w:sz w:val="20"/>
          <w:szCs w:val="20"/>
          <w:color w:val="auto"/>
        </w:rPr>
      </w:pPr>
    </w:p>
    <w:p>
      <w:pPr>
        <w:ind w:right="3179" w:firstLine="293"/>
        <w:spacing w:after="0" w:line="249" w:lineRule="auto"/>
        <w:rPr>
          <w:sz w:val="20"/>
          <w:szCs w:val="20"/>
          <w:color w:val="auto"/>
        </w:rPr>
      </w:pPr>
      <w:r>
        <w:rPr>
          <w:rFonts w:ascii="Courier New" w:cs="Courier New" w:eastAsia="Courier New" w:hAnsi="Courier New"/>
          <w:sz w:val="16"/>
          <w:szCs w:val="16"/>
          <w:color w:val="auto"/>
        </w:rPr>
        <w:t>Dennis L. Berman has been a trustee since 1989. Mr. Berman is General Partner, Berman Enterprises, Vingarden Associates, GDR Partnerships, builders/developers; Director, Beco Management, office building owners/managers. Mr. Berman's term as a trustee will expire in 2001.</w:t>
      </w:r>
    </w:p>
    <w:p>
      <w:pPr>
        <w:spacing w:after="0" w:line="188"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Kristin Gamble has been a trustee since 1995. Ms. Gamble is President, Flood, Gamble Associates, Inc., an investment counseling firm; Director, Ethan Allen Interiors, Inc., a furniture manufacturer and retailer. Ms. Gamble's term as a trustee will expire in 2001.</w:t>
      </w:r>
    </w:p>
    <w:p>
      <w:pPr>
        <w:spacing w:after="0" w:line="188"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PROPERTY INFORMATION</w:t>
      </w:r>
    </w:p>
    <w:p>
      <w:pPr>
        <w:spacing w:after="0" w:line="195" w:lineRule="exact"/>
        <w:rPr>
          <w:sz w:val="20"/>
          <w:szCs w:val="20"/>
          <w:color w:val="auto"/>
        </w:rPr>
      </w:pPr>
    </w:p>
    <w:p>
      <w:pPr>
        <w:ind w:right="2599" w:firstLine="293"/>
        <w:spacing w:after="0" w:line="250" w:lineRule="auto"/>
        <w:rPr>
          <w:sz w:val="20"/>
          <w:szCs w:val="20"/>
          <w:color w:val="auto"/>
        </w:rPr>
      </w:pPr>
      <w:r>
        <w:rPr>
          <w:rFonts w:ascii="Courier New" w:cs="Courier New" w:eastAsia="Courier New" w:hAnsi="Courier New"/>
          <w:sz w:val="16"/>
          <w:szCs w:val="16"/>
          <w:color w:val="auto"/>
        </w:rPr>
        <w:t>As of September 30, 1999, we owned 123 retail properties and one apartment complex located in the Northeast, the Mid-Atlantic and the West Coast regions. Set forth below is specified information relating to our properties.</w:t>
      </w:r>
    </w:p>
    <w:p>
      <w:pPr>
        <w:spacing w:after="0" w:line="185" w:lineRule="exact"/>
        <w:rPr>
          <w:sz w:val="20"/>
          <w:szCs w:val="20"/>
          <w:color w:val="auto"/>
        </w:rPr>
      </w:pPr>
    </w:p>
    <w:p>
      <w:pPr>
        <w:ind w:right="2979" w:firstLine="293"/>
        <w:spacing w:after="0" w:line="252" w:lineRule="auto"/>
        <w:rPr>
          <w:sz w:val="20"/>
          <w:szCs w:val="20"/>
          <w:color w:val="auto"/>
        </w:rPr>
      </w:pPr>
      <w:r>
        <w:rPr>
          <w:rFonts w:ascii="Courier New" w:cs="Courier New" w:eastAsia="Courier New" w:hAnsi="Courier New"/>
          <w:sz w:val="16"/>
          <w:szCs w:val="16"/>
          <w:color w:val="auto"/>
        </w:rPr>
        <w:t>A summary of our operations by geographic region is presented below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Nine months ended</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8"/>
        </w:trPr>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9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September 30, 1999</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Mid-</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West</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0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Northeast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Atlantic</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Coast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Other</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2500" w:type="dxa"/>
            <w:vAlign w:val="bottom"/>
          </w:tcPr>
          <w:p>
            <w:pPr>
              <w:spacing w:after="0"/>
              <w:rPr>
                <w:sz w:val="16"/>
                <w:szCs w:val="16"/>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Rental income............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75,596</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$ 82,710</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$ 22,772</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181,078</w:t>
            </w:r>
          </w:p>
        </w:tc>
      </w:tr>
      <w:tr>
        <w:trPr>
          <w:trHeight w:val="188"/>
        </w:trPr>
        <w:tc>
          <w:tcPr>
            <w:tcW w:w="25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Percentage of total</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rental income.........</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42%</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46%</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Other income.............</w:t>
            </w:r>
          </w:p>
        </w:tc>
        <w:tc>
          <w:tcPr>
            <w:tcW w:w="240" w:type="dxa"/>
            <w:vAlign w:val="bottom"/>
          </w:tcPr>
          <w:p>
            <w:pPr>
              <w:spacing w:after="0"/>
              <w:rPr>
                <w:sz w:val="16"/>
                <w:szCs w:val="16"/>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4,419</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2,719</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1,038</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8,176</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2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5,779</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5,779</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Rental expense...........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(15,217)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(18,160)</w:t>
            </w:r>
          </w:p>
        </w:tc>
        <w:tc>
          <w:tcPr>
            <w:tcW w:w="10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(5,677)</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(39,054)</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Real estate tax..........</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(9,538)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(6,744)</w:t>
            </w:r>
          </w:p>
        </w:tc>
        <w:tc>
          <w:tcPr>
            <w:tcW w:w="10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(2,062)</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(18,344)</w:t>
            </w:r>
          </w:p>
        </w:tc>
      </w:tr>
      <w:tr>
        <w:trPr>
          <w:trHeight w:val="376"/>
        </w:trPr>
        <w:tc>
          <w:tcPr>
            <w:tcW w:w="2500" w:type="dxa"/>
            <w:vAlign w:val="bottom"/>
          </w:tcPr>
          <w:p>
            <w:pPr>
              <w:spacing w:after="0"/>
              <w:rPr>
                <w:sz w:val="24"/>
                <w:szCs w:val="24"/>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Net operating income...</w:t>
            </w:r>
          </w:p>
        </w:tc>
        <w:tc>
          <w:tcPr>
            <w:tcW w:w="240" w:type="dxa"/>
            <w:vAlign w:val="bottom"/>
          </w:tcPr>
          <w:p>
            <w:pPr>
              <w:spacing w:after="0"/>
              <w:rPr>
                <w:sz w:val="24"/>
                <w:szCs w:val="24"/>
                <w:color w:val="auto"/>
              </w:rPr>
            </w:pP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55,260</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60,525</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16,071</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5,779</w:t>
            </w: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137,635</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2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(45,507)</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(45,507)</w:t>
            </w: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Administrative expense...</w:t>
            </w:r>
          </w:p>
        </w:tc>
        <w:tc>
          <w:tcPr>
            <w:tcW w:w="24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(10,888)</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(10,888)</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(16,784)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(17,024)</w:t>
            </w:r>
          </w:p>
        </w:tc>
        <w:tc>
          <w:tcPr>
            <w:tcW w:w="10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(2,879)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(626)</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(37,313)</w:t>
            </w:r>
          </w:p>
        </w:tc>
      </w:tr>
      <w:tr>
        <w:trPr>
          <w:trHeight w:val="376"/>
        </w:trPr>
        <w:tc>
          <w:tcPr>
            <w:tcW w:w="2500" w:type="dxa"/>
            <w:vAlign w:val="bottom"/>
          </w:tcPr>
          <w:p>
            <w:pPr>
              <w:spacing w:after="0"/>
              <w:rPr>
                <w:sz w:val="24"/>
                <w:szCs w:val="24"/>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spacing w:after="0"/>
              <w:rPr>
                <w:sz w:val="20"/>
                <w:szCs w:val="20"/>
                <w:color w:val="auto"/>
              </w:rPr>
            </w:pPr>
            <w:r>
              <w:rPr>
                <w:rFonts w:ascii="Courier New" w:cs="Courier New" w:eastAsia="Courier New" w:hAnsi="Courier New"/>
                <w:sz w:val="16"/>
                <w:szCs w:val="16"/>
                <w:color w:val="auto"/>
              </w:rPr>
              <w:t>Income before investors'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8"/>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share of operations.....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38,476</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$ 43,501</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$ 13,192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($51,242)</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43,927</w:t>
            </w:r>
          </w:p>
        </w:tc>
      </w:tr>
      <w:tr>
        <w:trPr>
          <w:trHeight w:val="376"/>
        </w:trPr>
        <w:tc>
          <w:tcPr>
            <w:tcW w:w="2500" w:type="dxa"/>
            <w:vAlign w:val="bottom"/>
          </w:tcPr>
          <w:p>
            <w:pPr>
              <w:spacing w:after="0"/>
              <w:rPr>
                <w:sz w:val="24"/>
                <w:szCs w:val="24"/>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Capital expenditures.....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24,407</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$ 17,401</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$ 53,160</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94,968</w:t>
            </w:r>
          </w:p>
        </w:tc>
      </w:tr>
      <w:tr>
        <w:trPr>
          <w:trHeight w:val="376"/>
        </w:trPr>
        <w:tc>
          <w:tcPr>
            <w:tcW w:w="2500" w:type="dxa"/>
            <w:vAlign w:val="bottom"/>
          </w:tcPr>
          <w:p>
            <w:pPr>
              <w:spacing w:after="0"/>
              <w:rPr>
                <w:sz w:val="24"/>
                <w:szCs w:val="24"/>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Real estate assets.......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707,982</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$687,134</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$334,058</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$1,729,174</w:t>
            </w:r>
          </w:p>
        </w:tc>
      </w:tr>
      <w:tr>
        <w:trPr>
          <w:trHeight w:val="376"/>
        </w:trPr>
        <w:tc>
          <w:tcPr>
            <w:tcW w:w="2500" w:type="dxa"/>
            <w:vAlign w:val="bottom"/>
          </w:tcPr>
          <w:p>
            <w:pPr>
              <w:spacing w:after="0"/>
              <w:rPr>
                <w:sz w:val="24"/>
                <w:szCs w:val="24"/>
                <w:color w:val="auto"/>
              </w:rPr>
            </w:pPr>
          </w:p>
        </w:tc>
        <w:tc>
          <w:tcPr>
            <w:tcW w:w="10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80" w:right="1440"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20"/>
                <w:szCs w:val="20"/>
                <w:color w:val="auto"/>
              </w:rPr>
            </w:pPr>
            <w:r>
              <w:rPr>
                <w:rFonts w:ascii="Courier New" w:cs="Courier New" w:eastAsia="Courier New" w:hAnsi="Courier New"/>
                <w:sz w:val="16"/>
                <w:szCs w:val="16"/>
                <w:color w:val="auto"/>
              </w:rPr>
              <w:t>Percentage of real</w:t>
            </w: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8"/>
        </w:trPr>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estate assets.........</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376"/>
        </w:trPr>
        <w:tc>
          <w:tcPr>
            <w:tcW w:w="23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752"/>
        </w:trPr>
        <w:tc>
          <w:tcPr>
            <w:tcW w:w="2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S-16</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019"/>
          </w:cols>
          <w:pgMar w:left="440" w:top="142"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The following table sets forth information concerning our properties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1999:</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Northeast Operating Region</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Total Cost</w:t>
            </w:r>
          </w:p>
        </w:tc>
        <w:tc>
          <w:tcPr>
            <w:tcW w:w="1480" w:type="dxa"/>
            <w:vAlign w:val="bottom"/>
          </w:tcPr>
          <w:p>
            <w:pPr>
              <w:spacing w:after="0"/>
              <w:rPr>
                <w:sz w:val="15"/>
                <w:szCs w:val="15"/>
                <w:color w:val="auto"/>
              </w:rPr>
            </w:pPr>
          </w:p>
        </w:tc>
        <w:tc>
          <w:tcPr>
            <w:tcW w:w="2580" w:type="dxa"/>
            <w:vAlign w:val="bottom"/>
          </w:tcPr>
          <w:p>
            <w:pPr>
              <w:spacing w:after="0"/>
              <w:rPr>
                <w:sz w:val="15"/>
                <w:szCs w:val="15"/>
                <w:color w:val="auto"/>
              </w:rPr>
            </w:pPr>
          </w:p>
        </w:tc>
      </w:tr>
      <w:tr>
        <w:trPr>
          <w:trHeight w:val="188"/>
        </w:trPr>
        <w:tc>
          <w:tcPr>
            <w:tcW w:w="2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of Occupancy as of</w:t>
            </w: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Year</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Square</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Acquisition</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September 30,</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Principal</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Property</w:t>
            </w:r>
          </w:p>
        </w:tc>
        <w:tc>
          <w:tcPr>
            <w:tcW w:w="11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Acquired</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Feet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Cost</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1999</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Tenants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75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 ------------------------</w:t>
            </w:r>
          </w:p>
        </w:tc>
      </w:tr>
      <w:tr>
        <w:trPr>
          <w:trHeight w:val="376"/>
        </w:trPr>
        <w:tc>
          <w:tcPr>
            <w:tcW w:w="234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Allwood</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52,000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  3,920,000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4,167,000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Grand Union; Mandee's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Clifton, NJ(1)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Andorra</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259,000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14,778,000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18,023,000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96%</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Acme Markets; AMC</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Andorra Theater; Kohl's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Bala Cynwyd</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279,000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18,031,000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20,956,000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Lord &amp; Taylor; Acme</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Bala Cynwyd,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Markets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Blue Star</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394,000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29,922,000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34,877,000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89%</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Kohl's; Shop-Rite; Toys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Watchung, NJ(1)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"R" Us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Brick Plaza</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402,000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24,715,000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49,610,000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A &amp; P Supermarket;</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Brick, NJ(1)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Sports Authority; The</w:t>
            </w:r>
          </w:p>
        </w:tc>
      </w:tr>
      <w:tr>
        <w:trPr>
          <w:trHeight w:val="188"/>
        </w:trPr>
        <w:tc>
          <w:tcPr>
            <w:tcW w:w="2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Bon Ton</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Bristol</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296,000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19,815,000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20,677,000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88%</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Bradlees; Super Stop &amp;</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Bristol, CT</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Shop; T.J. Maxx</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Brunswick</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261,000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12,456,000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15,064,000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(2)</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A &amp; P Supermarket; Rite-</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North Brunswick, NJ(1)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Aide</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Clifton</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80,000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3,646,000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4,590,000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91%</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Acme Markets; Drug Fair</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Clifton, NJ</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Dedham Plaza</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250,000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25,287,000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26,867,000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92%</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Ames; Cherry &amp; Webb</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Dedham, MA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Ellisburg Circle</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1992</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258,000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$ 15,337,000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$ 25,086,000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88%</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Bed, Bath &amp; Beyond; Ross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Cherry Hill, NJ</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Dress for Less; Shop</w:t>
            </w:r>
          </w:p>
        </w:tc>
      </w:tr>
      <w:tr>
        <w:trPr>
          <w:trHeight w:val="188"/>
        </w:trPr>
        <w:tc>
          <w:tcPr>
            <w:tcW w:w="2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Rite</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Feasterville</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116,000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3,031,000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11,466,000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Office Max; Genuardi's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Feasterville,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Market</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Flourtown</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191,000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5,288,000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8,352,000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Kmart; Genuardi's Market</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Flourtown,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Fresh Meadows</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410,000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49,880,000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52,764,000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98%</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Cineplex Odeon; Filene's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Queens, NY</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Basement; Kmart</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Hamilton</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190,000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5,405,000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7,555,000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99%</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Shop-Rite; Steven's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Hamilton, NJ(1)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Furniture; A.C. Moore</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Hauppauge</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131,000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24,053,000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25,613,000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Shop-Rite; Office Max</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Hauppauge, NY</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Huntington</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279,000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16,008,000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21,332,000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Bed, Bath &amp; Beyond;</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Huntington, NY(1)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Filene's Basement; Toys</w:t>
            </w:r>
          </w:p>
        </w:tc>
      </w:tr>
      <w:tr>
        <w:trPr>
          <w:trHeight w:val="188"/>
        </w:trPr>
        <w:tc>
          <w:tcPr>
            <w:tcW w:w="2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"R" Us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Lancaster</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107,000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2,103,000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4,635,000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94%</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Giant Food; A.C. Moore</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Lancaster, PA(1)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Langhorne Square</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200,000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3,694,000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16,738,000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96%</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Redner's Supermarket;</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Levittown,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Drug Emporium; Marshalls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Lawrence Park</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338,000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12,883,000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22,058,000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93%</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Acme Markets; Jefferson</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Broomall,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HealthCARE; Quest/CHI</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Northeast</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297,000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11,748,000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20,745,000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88%</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Burlington Coat Factory;</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Philadelphia,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Marshalls Bally's Total</w:t>
            </w:r>
          </w:p>
        </w:tc>
      </w:tr>
      <w:tr>
        <w:trPr>
          <w:trHeight w:val="188"/>
        </w:trPr>
        <w:tc>
          <w:tcPr>
            <w:tcW w:w="2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Fitness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Queen Anne Plaza</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149,000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11,776,000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14,191,000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T.J. Maxx; Victory</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Norwell, MA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Supermarket</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Rutgers</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216,000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14,429,000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15,758,000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98%</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Edwards Super Food</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Franklin, NJ(1)</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Store; Kmart</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Saugus Plaza</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171,000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12,674,000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12,964,000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Kmart; Edwards Super</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Saugus, MA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Food Store</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Troy</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202,000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8,319,000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20,241,000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Comp USA; Pathmark; A.C.</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Parsippany-Troy, NJ</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Moore</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Willow Grove</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1984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213,000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8,142,000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25,114,000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Barnes &amp; Noble;</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Willow Grove,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Marshalls; Toys "R" Us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Wynnewood</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1996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257,000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21,814,000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33,303,000</w:t>
            </w:r>
          </w:p>
        </w:tc>
        <w:tc>
          <w:tcPr>
            <w:tcW w:w="1480" w:type="dxa"/>
            <w:vAlign w:val="bottom"/>
          </w:tcPr>
          <w:p>
            <w:pPr>
              <w:ind w:left="540"/>
              <w:spacing w:after="0"/>
              <w:rPr>
                <w:sz w:val="20"/>
                <w:szCs w:val="20"/>
                <w:color w:val="auto"/>
              </w:rPr>
            </w:pPr>
            <w:r>
              <w:rPr>
                <w:rFonts w:ascii="Courier New" w:cs="Courier New" w:eastAsia="Courier New" w:hAnsi="Courier New"/>
                <w:sz w:val="16"/>
                <w:szCs w:val="16"/>
                <w:color w:val="auto"/>
              </w:rPr>
              <w:t>98%</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Bed, Bath &amp; Beyond;</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Wynnewood, PA</w:t>
            </w: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Borders Books &amp; Music;</w:t>
            </w:r>
          </w:p>
        </w:tc>
      </w:tr>
      <w:tr>
        <w:trPr>
          <w:trHeight w:val="188"/>
        </w:trPr>
        <w:tc>
          <w:tcPr>
            <w:tcW w:w="2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Genuardi's Market</w:t>
            </w:r>
          </w:p>
        </w:tc>
      </w:tr>
      <w:tr>
        <w:trPr>
          <w:trHeight w:val="376"/>
        </w:trPr>
        <w:tc>
          <w:tcPr>
            <w:tcW w:w="234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76"/>
        </w:trPr>
        <w:tc>
          <w:tcPr>
            <w:tcW w:w="234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5,998,000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$379,154,000</w:t>
            </w:r>
          </w:p>
        </w:tc>
        <w:tc>
          <w:tcPr>
            <w:tcW w:w="14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$532,746,000</w:t>
            </w:r>
          </w:p>
        </w:tc>
        <w:tc>
          <w:tcPr>
            <w:tcW w:w="14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564"/>
        </w:trPr>
        <w:tc>
          <w:tcPr>
            <w:tcW w:w="2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S-17</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040"/>
          </w:cols>
          <w:pgMar w:left="240" w:top="680" w:right="619" w:bottom="937" w:gutter="0" w:footer="0" w:header="0"/>
        </w:sectPr>
      </w:pPr>
    </w:p>
    <w:bookmarkStart w:id="22" w:name="page23"/>
    <w:bookmarkEnd w:id="22"/>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8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Total Cost as of Occupancy as of</w:t>
            </w:r>
          </w:p>
        </w:tc>
        <w:tc>
          <w:tcPr>
            <w:tcW w:w="2520" w:type="dxa"/>
            <w:vAlign w:val="bottom"/>
          </w:tcPr>
          <w:p>
            <w:pPr>
              <w:spacing w:after="0"/>
              <w:rPr>
                <w:sz w:val="15"/>
                <w:szCs w:val="15"/>
                <w:color w:val="auto"/>
              </w:rPr>
            </w:pPr>
          </w:p>
        </w:tc>
      </w:tr>
      <w:tr>
        <w:trPr>
          <w:trHeight w:val="188"/>
        </w:trPr>
        <w:tc>
          <w:tcPr>
            <w:tcW w:w="2400" w:type="dxa"/>
            <w:vAlign w:val="bottom"/>
          </w:tcPr>
          <w:p>
            <w:pPr>
              <w:spacing w:after="0"/>
              <w:rPr>
                <w:sz w:val="16"/>
                <w:szCs w:val="16"/>
                <w:color w:val="auto"/>
              </w:rPr>
            </w:pPr>
          </w:p>
        </w:tc>
        <w:tc>
          <w:tcPr>
            <w:tcW w:w="14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Year</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Square</w:t>
            </w:r>
          </w:p>
        </w:tc>
        <w:tc>
          <w:tcPr>
            <w:tcW w:w="16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Acquisition</w:t>
            </w:r>
          </w:p>
        </w:tc>
        <w:tc>
          <w:tcPr>
            <w:tcW w:w="1900" w:type="dxa"/>
            <w:vAlign w:val="bottom"/>
            <w:gridSpan w:val="4"/>
          </w:tcPr>
          <w:p>
            <w:pPr>
              <w:jc w:val="right"/>
              <w:ind w:right="199"/>
              <w:spacing w:after="0"/>
              <w:rPr>
                <w:sz w:val="20"/>
                <w:szCs w:val="20"/>
                <w:color w:val="auto"/>
              </w:rPr>
            </w:pPr>
            <w:r>
              <w:rPr>
                <w:rFonts w:ascii="Courier New" w:cs="Courier New" w:eastAsia="Courier New" w:hAnsi="Courier New"/>
                <w:sz w:val="16"/>
                <w:szCs w:val="16"/>
                <w:color w:val="auto"/>
              </w:rPr>
              <w:t>September 30,</w:t>
            </w:r>
          </w:p>
        </w:tc>
        <w:tc>
          <w:tcPr>
            <w:tcW w:w="3900" w:type="dxa"/>
            <w:vAlign w:val="bottom"/>
            <w:gridSpan w:val="2"/>
          </w:tcPr>
          <w:p>
            <w:pPr>
              <w:spacing w:after="0"/>
              <w:rPr>
                <w:sz w:val="20"/>
                <w:szCs w:val="20"/>
                <w:color w:val="auto"/>
              </w:rPr>
            </w:pPr>
            <w:r>
              <w:rPr>
                <w:rFonts w:ascii="Courier New" w:cs="Courier New" w:eastAsia="Courier New" w:hAnsi="Courier New"/>
                <w:sz w:val="16"/>
                <w:szCs w:val="16"/>
                <w:color w:val="auto"/>
              </w:rPr>
              <w:t>September 30, Principal</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Property</w:t>
            </w:r>
          </w:p>
        </w:tc>
        <w:tc>
          <w:tcPr>
            <w:tcW w:w="14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Acquired</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Feet</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Cost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1999</w:t>
            </w:r>
          </w:p>
        </w:tc>
        <w:tc>
          <w:tcPr>
            <w:tcW w:w="390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1999 Tenants</w:t>
            </w: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120" w:type="dxa"/>
            <w:vAlign w:val="bottom"/>
            <w:gridSpan w:val="13"/>
          </w:tcPr>
          <w:p>
            <w:pPr>
              <w:ind w:left="340"/>
              <w:spacing w:after="0"/>
              <w:rPr>
                <w:sz w:val="20"/>
                <w:szCs w:val="20"/>
                <w:color w:val="auto"/>
              </w:rPr>
            </w:pPr>
            <w:r>
              <w:rPr>
                <w:rFonts w:ascii="Courier New" w:cs="Courier New" w:eastAsia="Courier New" w:hAnsi="Courier New"/>
                <w:sz w:val="16"/>
                <w:szCs w:val="16"/>
                <w:color w:val="auto"/>
              </w:rPr>
              <w:t>--------- --------- ------------ ---------------- --------------- ------------------------</w:t>
            </w:r>
          </w:p>
        </w:tc>
      </w:tr>
      <w:tr>
        <w:trPr>
          <w:trHeight w:val="376"/>
        </w:trPr>
        <w:tc>
          <w:tcPr>
            <w:tcW w:w="2400" w:type="dxa"/>
            <w:vAlign w:val="bottom"/>
          </w:tcPr>
          <w:p>
            <w:pPr>
              <w:spacing w:after="0"/>
              <w:rPr>
                <w:sz w:val="20"/>
                <w:szCs w:val="20"/>
                <w:color w:val="auto"/>
              </w:rPr>
            </w:pPr>
            <w:r>
              <w:rPr>
                <w:rFonts w:ascii="Courier New" w:cs="Courier New" w:eastAsia="Courier New" w:hAnsi="Courier New"/>
                <w:sz w:val="16"/>
                <w:szCs w:val="16"/>
                <w:color w:val="auto"/>
              </w:rPr>
              <w:t>Main Street Retail</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Properties</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Central Avenue</w:t>
            </w:r>
          </w:p>
        </w:tc>
        <w:tc>
          <w:tcPr>
            <w:tcW w:w="720" w:type="dxa"/>
            <w:vAlign w:val="bottom"/>
          </w:tcPr>
          <w:p>
            <w:pPr>
              <w:ind w:left="340"/>
              <w:spacing w:after="0"/>
              <w:rPr>
                <w:sz w:val="20"/>
                <w:szCs w:val="20"/>
                <w:color w:val="auto"/>
              </w:rPr>
            </w:pPr>
            <w:r>
              <w:rPr>
                <w:rFonts w:ascii="Courier New" w:cs="Courier New" w:eastAsia="Courier New" w:hAnsi="Courier New"/>
                <w:sz w:val="16"/>
                <w:szCs w:val="16"/>
                <w:color w:val="auto"/>
                <w:w w:val="93"/>
              </w:rPr>
              <w:t>1995</w:t>
            </w:r>
          </w:p>
        </w:tc>
        <w:tc>
          <w:tcPr>
            <w:tcW w:w="7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11,000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2,203,000</w:t>
            </w:r>
          </w:p>
        </w:tc>
        <w:tc>
          <w:tcPr>
            <w:tcW w:w="4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3,259,000</w:t>
            </w:r>
          </w:p>
        </w:tc>
        <w:tc>
          <w:tcPr>
            <w:tcW w:w="1380" w:type="dxa"/>
            <w:vAlign w:val="bottom"/>
          </w:tcPr>
          <w:p>
            <w:pPr>
              <w:ind w:left="400"/>
              <w:spacing w:after="0"/>
              <w:rPr>
                <w:sz w:val="20"/>
                <w:szCs w:val="20"/>
                <w:color w:val="auto"/>
              </w:rPr>
            </w:pPr>
            <w:r>
              <w:rPr>
                <w:rFonts w:ascii="Courier New" w:cs="Courier New" w:eastAsia="Courier New" w:hAnsi="Courier New"/>
                <w:sz w:val="16"/>
                <w:szCs w:val="16"/>
                <w:color w:val="auto"/>
              </w:rPr>
              <w:t>100%</w:t>
            </w:r>
          </w:p>
        </w:tc>
        <w:tc>
          <w:tcPr>
            <w:tcW w:w="2520" w:type="dxa"/>
            <w:vAlign w:val="bottom"/>
          </w:tcPr>
          <w:p>
            <w:pPr>
              <w:spacing w:after="0"/>
              <w:rPr>
                <w:sz w:val="20"/>
                <w:szCs w:val="20"/>
                <w:color w:val="auto"/>
              </w:rPr>
            </w:pPr>
            <w:r>
              <w:rPr>
                <w:rFonts w:ascii="Courier New" w:cs="Courier New" w:eastAsia="Courier New" w:hAnsi="Courier New"/>
                <w:sz w:val="16"/>
                <w:szCs w:val="16"/>
                <w:color w:val="auto"/>
              </w:rPr>
              <w:t>Legg Mason; Imaginarium</w:t>
            </w: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Westfield, NJ</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Coolidge Corner</w:t>
            </w:r>
          </w:p>
        </w:tc>
        <w:tc>
          <w:tcPr>
            <w:tcW w:w="720" w:type="dxa"/>
            <w:vAlign w:val="bottom"/>
          </w:tcPr>
          <w:p>
            <w:pPr>
              <w:ind w:left="340"/>
              <w:spacing w:after="0"/>
              <w:rPr>
                <w:sz w:val="20"/>
                <w:szCs w:val="20"/>
                <w:color w:val="auto"/>
              </w:rPr>
            </w:pPr>
            <w:r>
              <w:rPr>
                <w:rFonts w:ascii="Courier New" w:cs="Courier New" w:eastAsia="Courier New" w:hAnsi="Courier New"/>
                <w:sz w:val="16"/>
                <w:szCs w:val="16"/>
                <w:color w:val="auto"/>
                <w:w w:val="93"/>
              </w:rPr>
              <w:t>1995</w:t>
            </w:r>
          </w:p>
        </w:tc>
        <w:tc>
          <w:tcPr>
            <w:tcW w:w="7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13,000</w:t>
            </w:r>
          </w:p>
        </w:tc>
        <w:tc>
          <w:tcPr>
            <w:tcW w:w="1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3,757,000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3,983,000</w:t>
            </w:r>
          </w:p>
        </w:tc>
        <w:tc>
          <w:tcPr>
            <w:tcW w:w="1380" w:type="dxa"/>
            <w:vAlign w:val="bottom"/>
          </w:tcPr>
          <w:p>
            <w:pPr>
              <w:ind w:left="400"/>
              <w:spacing w:after="0"/>
              <w:rPr>
                <w:sz w:val="20"/>
                <w:szCs w:val="20"/>
                <w:color w:val="auto"/>
              </w:rPr>
            </w:pPr>
            <w:r>
              <w:rPr>
                <w:rFonts w:ascii="Courier New" w:cs="Courier New" w:eastAsia="Courier New" w:hAnsi="Courier New"/>
                <w:sz w:val="16"/>
                <w:szCs w:val="16"/>
                <w:color w:val="auto"/>
              </w:rPr>
              <w:t>100%</w:t>
            </w:r>
          </w:p>
        </w:tc>
        <w:tc>
          <w:tcPr>
            <w:tcW w:w="2520" w:type="dxa"/>
            <w:vAlign w:val="bottom"/>
          </w:tcPr>
          <w:p>
            <w:pPr>
              <w:spacing w:after="0"/>
              <w:rPr>
                <w:sz w:val="20"/>
                <w:szCs w:val="20"/>
                <w:color w:val="auto"/>
              </w:rPr>
            </w:pPr>
            <w:r>
              <w:rPr>
                <w:rFonts w:ascii="Courier New" w:cs="Courier New" w:eastAsia="Courier New" w:hAnsi="Courier New"/>
                <w:sz w:val="16"/>
                <w:szCs w:val="16"/>
                <w:color w:val="auto"/>
              </w:rPr>
              <w:t>Best Cellars Wine</w:t>
            </w: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Brookline, MA</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Forest Hills (four</w:t>
            </w:r>
          </w:p>
        </w:tc>
        <w:tc>
          <w:tcPr>
            <w:tcW w:w="720" w:type="dxa"/>
            <w:vAlign w:val="bottom"/>
          </w:tcPr>
          <w:p>
            <w:pPr>
              <w:ind w:left="340"/>
              <w:spacing w:after="0"/>
              <w:rPr>
                <w:sz w:val="20"/>
                <w:szCs w:val="20"/>
                <w:color w:val="auto"/>
              </w:rPr>
            </w:pPr>
            <w:r>
              <w:rPr>
                <w:rFonts w:ascii="Courier New" w:cs="Courier New" w:eastAsia="Courier New" w:hAnsi="Courier New"/>
                <w:sz w:val="16"/>
                <w:szCs w:val="16"/>
                <w:color w:val="auto"/>
                <w:w w:val="93"/>
              </w:rPr>
              <w:t>1997</w:t>
            </w:r>
          </w:p>
        </w:tc>
        <w:tc>
          <w:tcPr>
            <w:tcW w:w="7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92,000</w:t>
            </w:r>
          </w:p>
        </w:tc>
        <w:tc>
          <w:tcPr>
            <w:tcW w:w="1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15,453,000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21,318,000</w:t>
            </w:r>
          </w:p>
        </w:tc>
        <w:tc>
          <w:tcPr>
            <w:tcW w:w="1380" w:type="dxa"/>
            <w:vAlign w:val="bottom"/>
          </w:tcPr>
          <w:p>
            <w:pPr>
              <w:ind w:left="400"/>
              <w:spacing w:after="0"/>
              <w:rPr>
                <w:sz w:val="20"/>
                <w:szCs w:val="20"/>
                <w:color w:val="auto"/>
              </w:rPr>
            </w:pPr>
            <w:r>
              <w:rPr>
                <w:rFonts w:ascii="Courier New" w:cs="Courier New" w:eastAsia="Courier New" w:hAnsi="Courier New"/>
                <w:sz w:val="16"/>
                <w:szCs w:val="16"/>
                <w:color w:val="auto"/>
              </w:rPr>
              <w:t>97%(3)</w:t>
            </w:r>
          </w:p>
        </w:tc>
        <w:tc>
          <w:tcPr>
            <w:tcW w:w="2520" w:type="dxa"/>
            <w:vAlign w:val="bottom"/>
          </w:tcPr>
          <w:p>
            <w:pPr>
              <w:spacing w:after="0"/>
              <w:rPr>
                <w:sz w:val="20"/>
                <w:szCs w:val="20"/>
                <w:color w:val="auto"/>
              </w:rPr>
            </w:pPr>
            <w:r>
              <w:rPr>
                <w:rFonts w:ascii="Courier New" w:cs="Courier New" w:eastAsia="Courier New" w:hAnsi="Courier New"/>
                <w:sz w:val="16"/>
                <w:szCs w:val="16"/>
                <w:color w:val="auto"/>
              </w:rPr>
              <w:t>Duane Reade</w:t>
            </w: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Forest Hills, NY</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Greenwich Avenue (four</w:t>
            </w:r>
          </w:p>
        </w:tc>
        <w:tc>
          <w:tcPr>
            <w:tcW w:w="14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1995-1996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81,000</w:t>
            </w:r>
          </w:p>
        </w:tc>
        <w:tc>
          <w:tcPr>
            <w:tcW w:w="1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27,650,000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29,080,000</w:t>
            </w:r>
          </w:p>
        </w:tc>
        <w:tc>
          <w:tcPr>
            <w:tcW w:w="1380" w:type="dxa"/>
            <w:vAlign w:val="bottom"/>
          </w:tcPr>
          <w:p>
            <w:pPr>
              <w:ind w:left="400"/>
              <w:spacing w:after="0"/>
              <w:rPr>
                <w:sz w:val="20"/>
                <w:szCs w:val="20"/>
                <w:color w:val="auto"/>
              </w:rPr>
            </w:pPr>
            <w:r>
              <w:rPr>
                <w:rFonts w:ascii="Courier New" w:cs="Courier New" w:eastAsia="Courier New" w:hAnsi="Courier New"/>
                <w:sz w:val="16"/>
                <w:szCs w:val="16"/>
                <w:color w:val="auto"/>
              </w:rPr>
              <w:t>100%</w:t>
            </w:r>
          </w:p>
        </w:tc>
        <w:tc>
          <w:tcPr>
            <w:tcW w:w="2520" w:type="dxa"/>
            <w:vAlign w:val="bottom"/>
          </w:tcPr>
          <w:p>
            <w:pPr>
              <w:spacing w:after="0"/>
              <w:rPr>
                <w:sz w:val="20"/>
                <w:szCs w:val="20"/>
                <w:color w:val="auto"/>
              </w:rPr>
            </w:pPr>
            <w:r>
              <w:rPr>
                <w:rFonts w:ascii="Courier New" w:cs="Courier New" w:eastAsia="Courier New" w:hAnsi="Courier New"/>
                <w:sz w:val="16"/>
                <w:szCs w:val="16"/>
                <w:color w:val="auto"/>
              </w:rPr>
              <w:t>Saks Fifth Avenue;</w:t>
            </w: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Courier New" w:cs="Courier New" w:eastAsia="Courier New" w:hAnsi="Courier New"/>
                <w:sz w:val="16"/>
                <w:szCs w:val="16"/>
                <w:color w:val="auto"/>
              </w:rPr>
              <w:t>Banana Republic</w:t>
            </w: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Greenwich, CT</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West Hartford (seven</w:t>
            </w:r>
          </w:p>
        </w:tc>
        <w:tc>
          <w:tcPr>
            <w:tcW w:w="720" w:type="dxa"/>
            <w:vAlign w:val="bottom"/>
          </w:tcPr>
          <w:p>
            <w:pPr>
              <w:ind w:left="340"/>
              <w:spacing w:after="0"/>
              <w:rPr>
                <w:sz w:val="20"/>
                <w:szCs w:val="20"/>
                <w:color w:val="auto"/>
              </w:rPr>
            </w:pPr>
            <w:r>
              <w:rPr>
                <w:rFonts w:ascii="Courier New" w:cs="Courier New" w:eastAsia="Courier New" w:hAnsi="Courier New"/>
                <w:sz w:val="16"/>
                <w:szCs w:val="16"/>
                <w:color w:val="auto"/>
                <w:w w:val="93"/>
              </w:rPr>
              <w:t>1995</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103,000</w:t>
            </w:r>
          </w:p>
        </w:tc>
        <w:tc>
          <w:tcPr>
            <w:tcW w:w="1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15,492,000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16,014,000</w:t>
            </w:r>
          </w:p>
        </w:tc>
        <w:tc>
          <w:tcPr>
            <w:tcW w:w="1380" w:type="dxa"/>
            <w:vAlign w:val="bottom"/>
          </w:tcPr>
          <w:p>
            <w:pPr>
              <w:ind w:left="400"/>
              <w:spacing w:after="0"/>
              <w:rPr>
                <w:sz w:val="20"/>
                <w:szCs w:val="20"/>
                <w:color w:val="auto"/>
              </w:rPr>
            </w:pPr>
            <w:r>
              <w:rPr>
                <w:rFonts w:ascii="Courier New" w:cs="Courier New" w:eastAsia="Courier New" w:hAnsi="Courier New"/>
                <w:sz w:val="16"/>
                <w:szCs w:val="16"/>
                <w:color w:val="auto"/>
              </w:rPr>
              <w:t>98%</w:t>
            </w:r>
          </w:p>
        </w:tc>
        <w:tc>
          <w:tcPr>
            <w:tcW w:w="2520" w:type="dxa"/>
            <w:vAlign w:val="bottom"/>
          </w:tcPr>
          <w:p>
            <w:pPr>
              <w:spacing w:after="0"/>
              <w:rPr>
                <w:sz w:val="20"/>
                <w:szCs w:val="20"/>
                <w:color w:val="auto"/>
              </w:rPr>
            </w:pPr>
            <w:r>
              <w:rPr>
                <w:rFonts w:ascii="Courier New" w:cs="Courier New" w:eastAsia="Courier New" w:hAnsi="Courier New"/>
                <w:sz w:val="16"/>
                <w:szCs w:val="16"/>
                <w:color w:val="auto"/>
              </w:rPr>
              <w:t>Charles Schwab;</w:t>
            </w: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Courier New" w:cs="Courier New" w:eastAsia="Courier New" w:hAnsi="Courier New"/>
                <w:sz w:val="16"/>
                <w:szCs w:val="16"/>
                <w:color w:val="auto"/>
              </w:rPr>
              <w:t>Blockbuster Video</w:t>
            </w: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West Hartford, CT</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Westport (two buildings)</w:t>
            </w:r>
          </w:p>
        </w:tc>
        <w:tc>
          <w:tcPr>
            <w:tcW w:w="720" w:type="dxa"/>
            <w:vAlign w:val="bottom"/>
          </w:tcPr>
          <w:p>
            <w:pPr>
              <w:ind w:left="340"/>
              <w:spacing w:after="0"/>
              <w:rPr>
                <w:sz w:val="20"/>
                <w:szCs w:val="20"/>
                <w:color w:val="auto"/>
              </w:rPr>
            </w:pPr>
            <w:r>
              <w:rPr>
                <w:rFonts w:ascii="Courier New" w:cs="Courier New" w:eastAsia="Courier New" w:hAnsi="Courier New"/>
                <w:sz w:val="16"/>
                <w:szCs w:val="16"/>
                <w:color w:val="auto"/>
                <w:w w:val="93"/>
              </w:rPr>
              <w:t>1995</w:t>
            </w:r>
          </w:p>
        </w:tc>
        <w:tc>
          <w:tcPr>
            <w:tcW w:w="7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26,000</w:t>
            </w:r>
          </w:p>
        </w:tc>
        <w:tc>
          <w:tcPr>
            <w:tcW w:w="1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9,658,000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9,893,000</w:t>
            </w:r>
          </w:p>
        </w:tc>
        <w:tc>
          <w:tcPr>
            <w:tcW w:w="1380" w:type="dxa"/>
            <w:vAlign w:val="bottom"/>
          </w:tcPr>
          <w:p>
            <w:pPr>
              <w:ind w:left="400"/>
              <w:spacing w:after="0"/>
              <w:rPr>
                <w:sz w:val="20"/>
                <w:szCs w:val="20"/>
                <w:color w:val="auto"/>
              </w:rPr>
            </w:pPr>
            <w:r>
              <w:rPr>
                <w:rFonts w:ascii="Courier New" w:cs="Courier New" w:eastAsia="Courier New" w:hAnsi="Courier New"/>
                <w:sz w:val="16"/>
                <w:szCs w:val="16"/>
                <w:color w:val="auto"/>
              </w:rPr>
              <w:t>100%</w:t>
            </w:r>
          </w:p>
        </w:tc>
        <w:tc>
          <w:tcPr>
            <w:tcW w:w="2520" w:type="dxa"/>
            <w:vAlign w:val="bottom"/>
          </w:tcPr>
          <w:p>
            <w:pPr>
              <w:spacing w:after="0"/>
              <w:rPr>
                <w:sz w:val="20"/>
                <w:szCs w:val="20"/>
                <w:color w:val="auto"/>
              </w:rPr>
            </w:pPr>
            <w:r>
              <w:rPr>
                <w:rFonts w:ascii="Courier New" w:cs="Courier New" w:eastAsia="Courier New" w:hAnsi="Courier New"/>
                <w:sz w:val="16"/>
                <w:szCs w:val="16"/>
                <w:color w:val="auto"/>
              </w:rPr>
              <w:t>Pottery Barn; Eddie</w:t>
            </w: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Westport, CT</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20"/>
                <w:szCs w:val="20"/>
                <w:color w:val="auto"/>
              </w:rPr>
            </w:pPr>
            <w:r>
              <w:rPr>
                <w:rFonts w:ascii="Courier New" w:cs="Courier New" w:eastAsia="Courier New" w:hAnsi="Courier New"/>
                <w:sz w:val="16"/>
                <w:szCs w:val="16"/>
                <w:color w:val="auto"/>
              </w:rPr>
              <w:t>Bauer</w:t>
            </w:r>
          </w:p>
        </w:tc>
      </w:tr>
      <w:tr>
        <w:trPr>
          <w:trHeight w:val="376"/>
        </w:trPr>
        <w:tc>
          <w:tcPr>
            <w:tcW w:w="2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00" w:type="dxa"/>
            <w:vAlign w:val="bottom"/>
            <w:gridSpan w:val="10"/>
          </w:tcPr>
          <w:p>
            <w:pPr>
              <w:jc w:val="right"/>
              <w:ind w:right="199"/>
              <w:spacing w:after="0"/>
              <w:rPr>
                <w:sz w:val="20"/>
                <w:szCs w:val="20"/>
                <w:color w:val="auto"/>
              </w:rPr>
            </w:pPr>
            <w:r>
              <w:rPr>
                <w:rFonts w:ascii="Courier New" w:cs="Courier New" w:eastAsia="Courier New" w:hAnsi="Courier New"/>
                <w:sz w:val="16"/>
                <w:szCs w:val="16"/>
                <w:color w:val="auto"/>
              </w:rPr>
              <w:t>--------- ------------ ----------------</w:t>
            </w:r>
          </w:p>
        </w:tc>
        <w:tc>
          <w:tcPr>
            <w:tcW w:w="1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76"/>
        </w:trPr>
        <w:tc>
          <w:tcPr>
            <w:tcW w:w="2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326,001</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74,213,000</w:t>
            </w: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83,547,000</w:t>
            </w:r>
          </w:p>
        </w:tc>
        <w:tc>
          <w:tcPr>
            <w:tcW w:w="1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76"/>
        </w:trPr>
        <w:tc>
          <w:tcPr>
            <w:tcW w:w="2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00" w:type="dxa"/>
            <w:vAlign w:val="bottom"/>
            <w:gridSpan w:val="10"/>
          </w:tcPr>
          <w:p>
            <w:pPr>
              <w:jc w:val="right"/>
              <w:ind w:right="199"/>
              <w:spacing w:after="0"/>
              <w:rPr>
                <w:sz w:val="20"/>
                <w:szCs w:val="20"/>
                <w:color w:val="auto"/>
              </w:rPr>
            </w:pPr>
            <w:r>
              <w:rPr>
                <w:rFonts w:ascii="Courier New" w:cs="Courier New" w:eastAsia="Courier New" w:hAnsi="Courier New"/>
                <w:sz w:val="16"/>
                <w:szCs w:val="16"/>
                <w:color w:val="auto"/>
              </w:rPr>
              <w:t>--------- ------------ ----------------</w:t>
            </w:r>
          </w:p>
        </w:tc>
        <w:tc>
          <w:tcPr>
            <w:tcW w:w="1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76"/>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Total Northeast</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88"/>
        </w:trPr>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operating properties</w:t>
            </w:r>
          </w:p>
        </w:tc>
        <w:tc>
          <w:tcPr>
            <w:tcW w:w="7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6,324,000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453,367,000</w:t>
            </w:r>
          </w:p>
        </w:tc>
        <w:tc>
          <w:tcPr>
            <w:tcW w:w="4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360" w:type="dxa"/>
            <w:vAlign w:val="bottom"/>
            <w:gridSpan w:val="2"/>
          </w:tcPr>
          <w:p>
            <w:pPr>
              <w:spacing w:after="0"/>
              <w:rPr>
                <w:sz w:val="20"/>
                <w:szCs w:val="20"/>
                <w:color w:val="auto"/>
              </w:rPr>
            </w:pPr>
            <w:r>
              <w:rPr>
                <w:rFonts w:ascii="Courier New" w:cs="Courier New" w:eastAsia="Courier New" w:hAnsi="Courier New"/>
                <w:sz w:val="16"/>
                <w:szCs w:val="16"/>
                <w:color w:val="auto"/>
              </w:rPr>
              <w:t>616,293,000</w:t>
            </w: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376"/>
        </w:trPr>
        <w:tc>
          <w:tcPr>
            <w:tcW w:w="2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00" w:type="dxa"/>
            <w:vAlign w:val="bottom"/>
            <w:gridSpan w:val="10"/>
          </w:tcPr>
          <w:p>
            <w:pPr>
              <w:jc w:val="right"/>
              <w:ind w:right="199"/>
              <w:spacing w:after="0"/>
              <w:rPr>
                <w:sz w:val="20"/>
                <w:szCs w:val="20"/>
                <w:color w:val="auto"/>
              </w:rPr>
            </w:pPr>
            <w:r>
              <w:rPr>
                <w:rFonts w:ascii="Courier New" w:cs="Courier New" w:eastAsia="Courier New" w:hAnsi="Courier New"/>
                <w:sz w:val="16"/>
                <w:szCs w:val="16"/>
                <w:color w:val="auto"/>
              </w:rPr>
              <w:t>========= ============ ================</w:t>
            </w:r>
          </w:p>
        </w:tc>
        <w:tc>
          <w:tcPr>
            <w:tcW w:w="1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564"/>
        </w:trPr>
        <w:tc>
          <w:tcPr>
            <w:tcW w:w="3120" w:type="dxa"/>
            <w:vAlign w:val="bottom"/>
            <w:gridSpan w:val="2"/>
          </w:tcPr>
          <w:p>
            <w:pPr>
              <w:spacing w:after="0"/>
              <w:rPr>
                <w:sz w:val="20"/>
                <w:szCs w:val="20"/>
                <w:color w:val="auto"/>
              </w:rPr>
            </w:pPr>
            <w:r>
              <w:rPr>
                <w:rFonts w:ascii="Courier New" w:cs="Courier New" w:eastAsia="Courier New" w:hAnsi="Courier New"/>
                <w:sz w:val="16"/>
                <w:szCs w:val="16"/>
                <w:color w:val="auto"/>
              </w:rPr>
              <w:t>Mid-Atlantic Operating Region</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564"/>
        </w:trPr>
        <w:tc>
          <w:tcPr>
            <w:tcW w:w="240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Barracks Road</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1985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483,000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$20,822,000</w:t>
            </w:r>
          </w:p>
        </w:tc>
        <w:tc>
          <w:tcPr>
            <w:tcW w:w="1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37,182,000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Harris Teeter; Kroger;</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Charlottesville, VA</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Bed Bath &amp; Beyond; Old</w:t>
            </w: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Navy</w:t>
            </w: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Congressional Plaza</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1965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341,000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10,217,000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45,179,000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97%</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Buy Buy Baby; Fresh</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Rockville, MD</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Fields; Tower Records</w:t>
            </w: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Courthouse Center</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38,000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$ 3,619,000</w:t>
            </w:r>
          </w:p>
        </w:tc>
        <w:tc>
          <w:tcPr>
            <w:tcW w:w="1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3,656,000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86%</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Rockville Interiors</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Rockville, MD</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Eastgate</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1986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159,000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7,383,000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11,925,000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94%</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Food Lion; A Southern</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Chapel Hill, NC</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Season</w:t>
            </w: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Falls Plaza</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1967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69,000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1,265,000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8,185,000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100%</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Giant Food</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Falls Plaza--East Falls</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1972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71,000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1,073,000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3,344,000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100%</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CVS Pharmacy; Staples</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Church, VA</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Federal Plaza</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1989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242,000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28,111,000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60,478,000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Comp USA; T. J. Maxx;</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Rockville, MD</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Ross Dress for Less</w:t>
            </w: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Gaithersburg Square</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208,000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12,972,000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23,126,000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94%</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Borders Books &amp; Music;</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Gaithersburg, MD</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Bed, Bath &amp; Beyond; Ross</w:t>
            </w:r>
          </w:p>
        </w:tc>
      </w:tr>
      <w:tr>
        <w:trPr>
          <w:trHeight w:val="188"/>
        </w:trPr>
        <w:tc>
          <w:tcPr>
            <w:tcW w:w="2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Dress for Less</w:t>
            </w: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Governor Plaza</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1985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252,000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6,973,000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17,150,000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100%</w:t>
            </w:r>
          </w:p>
        </w:tc>
        <w:tc>
          <w:tcPr>
            <w:tcW w:w="48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Office Depot; Syms; Comp</w:t>
            </w: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Glen Burnie, MD</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USA</w:t>
            </w: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Idylwood Plaza</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73,000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14,334,000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14,928,000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100%</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Fresh Fields</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Laurel</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1986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384,000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29,983,000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44,187,000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88%</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Giant Food; Marshalls;</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Laurel, MD</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Toys "R" Us</w:t>
            </w: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Leesburg Plaza</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247,000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18,906,000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19,681,000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Kmart; Giant Food;</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Leesburg, VA</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Peebles</w:t>
            </w: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Loehmann's Plaza</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1983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242,000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16,333,000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21,913,000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98%</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Loehmann's; Linens N</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Fairfax, VA</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Things</w:t>
            </w: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Magruder's Center</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109,000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9,413,000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9,632,000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100%</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Magruder's; Tuesday</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Rockville, MD</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Morning</w:t>
            </w: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Mid-Pike Plaza</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1982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315,000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10,335,000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16,332,000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100%</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Bally's Total Fitness;</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Rockville, MD(1)</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Filene's Basement; G</w:t>
            </w: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Street Fabrics</w:t>
            </w: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Northeast Plaza</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1986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448,000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33,166,000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31,899,000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67%</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Mars Music Superstore;</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Atlanta, GA(4)</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Publix</w:t>
            </w: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Old Keene Mill</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1976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92,000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1,636,000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4,896,000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93%</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Fresh Fields; One Stop</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Springfield, VA</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Pet &amp; Aquarium</w:t>
            </w: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Pan Am</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218,000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21,623,000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24,276,000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93%</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Micro Center; Safeway;</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Fairfax, VA</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w w:val="99"/>
              </w:rPr>
              <w:t>Michael's</w:t>
            </w: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Perring Plaza</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1985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412,000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9,261,000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23,914,000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100%</w:t>
            </w:r>
          </w:p>
        </w:tc>
        <w:tc>
          <w:tcPr>
            <w:tcW w:w="48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Burlington Coat Factory;</w:t>
            </w: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Baltimore, MD</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Home Depot; Metro Foods</w:t>
            </w: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Pike 7</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163,000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32,508,000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32,907,000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97%</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Staples; T. J. Maxx</w:t>
            </w:r>
          </w:p>
        </w:tc>
        <w:tc>
          <w:tcPr>
            <w:tcW w:w="2520" w:type="dxa"/>
            <w:vAlign w:val="bottom"/>
          </w:tcPr>
          <w:p>
            <w:pPr>
              <w:spacing w:after="0"/>
              <w:rPr>
                <w:sz w:val="16"/>
                <w:szCs w:val="16"/>
                <w:color w:val="auto"/>
              </w:rPr>
            </w:pPr>
          </w:p>
        </w:tc>
      </w:tr>
      <w:tr>
        <w:trPr>
          <w:trHeight w:val="188"/>
        </w:trPr>
        <w:tc>
          <w:tcPr>
            <w:tcW w:w="2400" w:type="dxa"/>
            <w:vAlign w:val="bottom"/>
          </w:tcPr>
          <w:p>
            <w:pPr>
              <w:ind w:left="100"/>
              <w:spacing w:after="0"/>
              <w:rPr>
                <w:sz w:val="20"/>
                <w:szCs w:val="20"/>
                <w:color w:val="auto"/>
              </w:rPr>
            </w:pPr>
            <w:r>
              <w:rPr>
                <w:rFonts w:ascii="Courier New" w:cs="Courier New" w:eastAsia="Courier New" w:hAnsi="Courier New"/>
                <w:sz w:val="16"/>
                <w:szCs w:val="16"/>
                <w:color w:val="auto"/>
              </w:rPr>
              <w:t>Tysons Corner, VA</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88"/>
        </w:trPr>
        <w:tc>
          <w:tcPr>
            <w:tcW w:w="2400" w:type="dxa"/>
            <w:vAlign w:val="bottom"/>
          </w:tcPr>
          <w:p>
            <w:pPr>
              <w:spacing w:after="0"/>
              <w:rPr>
                <w:sz w:val="20"/>
                <w:szCs w:val="20"/>
                <w:color w:val="auto"/>
              </w:rPr>
            </w:pPr>
            <w:r>
              <w:rPr>
                <w:rFonts w:ascii="Courier New" w:cs="Courier New" w:eastAsia="Courier New" w:hAnsi="Courier New"/>
                <w:sz w:val="16"/>
                <w:szCs w:val="16"/>
                <w:color w:val="auto"/>
              </w:rPr>
              <w:t>Quince Orchard</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1993</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240,000</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11,146,000</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16,741,000</w:t>
            </w:r>
          </w:p>
        </w:tc>
        <w:tc>
          <w:tcPr>
            <w:tcW w:w="10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48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Circuit City; Magruder's</w:t>
            </w:r>
          </w:p>
        </w:tc>
      </w:tr>
    </w:tbl>
    <w:p>
      <w:pPr>
        <w:sectPr>
          <w:pgSz w:w="11900" w:h="16853" w:orient="portrait"/>
          <w:cols w:equalWidth="0" w:num="1">
            <w:col w:w="11520"/>
          </w:cols>
          <w:pgMar w:left="240" w:top="1056" w:right="139" w:bottom="0" w:gutter="0" w:footer="0" w:header="0"/>
        </w:sectPr>
      </w:pPr>
    </w:p>
    <w:bookmarkStart w:id="23" w:name="page24"/>
    <w:bookmarkEnd w:id="23"/>
    <w:p>
      <w:pPr>
        <w:ind w:left="100"/>
        <w:spacing w:after="0"/>
        <w:rPr>
          <w:sz w:val="20"/>
          <w:szCs w:val="20"/>
          <w:color w:val="auto"/>
        </w:rPr>
      </w:pPr>
      <w:r>
        <w:rPr>
          <w:rFonts w:ascii="Courier New" w:cs="Courier New" w:eastAsia="Courier New" w:hAnsi="Courier New"/>
          <w:sz w:val="16"/>
          <w:szCs w:val="16"/>
          <w:color w:val="auto"/>
        </w:rPr>
        <w:t>Gaithersburg,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Supermarket; Staples</w:t>
      </w:r>
    </w:p>
    <w:p>
      <w:pPr>
        <w:spacing w:after="0" w:line="7" w:lineRule="exact"/>
        <w:rPr>
          <w:sz w:val="20"/>
          <w:szCs w:val="20"/>
          <w:color w:val="auto"/>
        </w:rPr>
      </w:pPr>
    </w:p>
    <w:p>
      <w:pPr>
        <w:sectPr>
          <w:pgSz w:w="11900" w:h="16838" w:orient="portrait"/>
          <w:cols w:equalWidth="0" w:num="2">
            <w:col w:w="6020" w:space="720"/>
            <w:col w:w="3479"/>
          </w:cols>
          <w:pgMar w:left="240" w:top="142" w:right="1440" w:bottom="1440" w:gutter="0" w:footer="0" w:header="0"/>
        </w:sectPr>
      </w:pPr>
    </w:p>
    <w:p>
      <w:pPr>
        <w:spacing w:after="0"/>
        <w:rPr>
          <w:sz w:val="20"/>
          <w:szCs w:val="20"/>
          <w:color w:val="auto"/>
        </w:rPr>
      </w:pPr>
      <w:r>
        <w:rPr>
          <w:rFonts w:ascii="Courier New" w:cs="Courier New" w:eastAsia="Courier New" w:hAnsi="Courier New"/>
          <w:sz w:val="16"/>
          <w:szCs w:val="16"/>
          <w:color w:val="auto"/>
        </w:rPr>
        <w:t>Rollingwood Apartments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1971 282 units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2,798,000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6,632,000 100%</w:t>
      </w:r>
    </w:p>
    <w:p>
      <w:pPr>
        <w:spacing w:after="0" w:line="7" w:lineRule="exact"/>
        <w:rPr>
          <w:sz w:val="20"/>
          <w:szCs w:val="20"/>
          <w:color w:val="auto"/>
        </w:rPr>
      </w:pPr>
    </w:p>
    <w:p>
      <w:pPr>
        <w:sectPr>
          <w:pgSz w:w="11900" w:h="16838" w:orient="portrait"/>
          <w:cols w:equalWidth="0" w:num="4">
            <w:col w:w="2160" w:space="280"/>
            <w:col w:w="1380" w:space="280"/>
            <w:col w:w="880" w:space="300"/>
            <w:col w:w="4939"/>
          </w:cols>
          <w:pgMar w:left="240" w:top="142"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Silver Spring, MD</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S-18</w:t>
      </w:r>
    </w:p>
    <w:p>
      <w:pPr>
        <w:sectPr>
          <w:pgSz w:w="11900" w:h="16838" w:orient="portrait"/>
          <w:cols w:equalWidth="0" w:num="1">
            <w:col w:w="10219"/>
          </w:cols>
          <w:pgMar w:left="240" w:top="142" w:right="1440" w:bottom="1440" w:gutter="0" w:footer="0" w:header="0"/>
          <w:type w:val="continuous"/>
        </w:sectPr>
      </w:pPr>
    </w:p>
    <w:bookmarkStart w:id="24" w:name="page25"/>
    <w:bookmarkEnd w:id="2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Occupancy</w:t>
            </w:r>
          </w:p>
        </w:tc>
        <w:tc>
          <w:tcPr>
            <w:tcW w:w="2580" w:type="dxa"/>
            <w:vAlign w:val="bottom"/>
          </w:tcPr>
          <w:p>
            <w:pPr>
              <w:spacing w:after="0"/>
              <w:rPr>
                <w:sz w:val="15"/>
                <w:szCs w:val="15"/>
                <w:color w:val="auto"/>
              </w:rPr>
            </w:pPr>
          </w:p>
        </w:tc>
      </w:tr>
      <w:tr>
        <w:trPr>
          <w:trHeight w:val="188"/>
        </w:trPr>
        <w:tc>
          <w:tcPr>
            <w:tcW w:w="2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Cost as of</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as of</w:t>
            </w: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Year</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Square</w:t>
            </w:r>
          </w:p>
        </w:tc>
        <w:tc>
          <w:tcPr>
            <w:tcW w:w="1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Acquisition</w:t>
            </w:r>
          </w:p>
        </w:tc>
        <w:tc>
          <w:tcPr>
            <w:tcW w:w="240" w:type="dxa"/>
            <w:vAlign w:val="bottom"/>
          </w:tcPr>
          <w:p>
            <w:pPr>
              <w:spacing w:after="0"/>
              <w:rPr>
                <w:sz w:val="16"/>
                <w:szCs w:val="16"/>
                <w:color w:val="auto"/>
              </w:rPr>
            </w:pPr>
          </w:p>
        </w:tc>
        <w:tc>
          <w:tcPr>
            <w:tcW w:w="46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September September Principal</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Property</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Acquired</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Feet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Cost</w:t>
            </w:r>
          </w:p>
        </w:tc>
        <w:tc>
          <w:tcPr>
            <w:tcW w:w="240" w:type="dxa"/>
            <w:vAlign w:val="bottom"/>
          </w:tcPr>
          <w:p>
            <w:pPr>
              <w:spacing w:after="0"/>
              <w:rPr>
                <w:sz w:val="16"/>
                <w:szCs w:val="16"/>
                <w:color w:val="auto"/>
              </w:rPr>
            </w:pPr>
          </w:p>
        </w:tc>
        <w:tc>
          <w:tcPr>
            <w:tcW w:w="460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30, 1999  30, 1999 Tenants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c>
          <w:tcPr>
            <w:tcW w:w="100" w:type="dxa"/>
            <w:vAlign w:val="bottom"/>
          </w:tcPr>
          <w:p>
            <w:pPr>
              <w:spacing w:after="0"/>
              <w:rPr>
                <w:sz w:val="16"/>
                <w:szCs w:val="16"/>
                <w:color w:val="auto"/>
              </w:rPr>
            </w:pPr>
          </w:p>
        </w:tc>
        <w:tc>
          <w:tcPr>
            <w:tcW w:w="58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76"/>
        </w:trPr>
        <w:tc>
          <w:tcPr>
            <w:tcW w:w="2340" w:type="dxa"/>
            <w:vAlign w:val="bottom"/>
          </w:tcPr>
          <w:p>
            <w:pPr>
              <w:spacing w:after="0"/>
              <w:rPr>
                <w:sz w:val="20"/>
                <w:szCs w:val="20"/>
                <w:color w:val="auto"/>
              </w:rPr>
            </w:pPr>
            <w:r>
              <w:rPr>
                <w:rFonts w:ascii="Courier New" w:cs="Courier New" w:eastAsia="Courier New" w:hAnsi="Courier New"/>
                <w:sz w:val="16"/>
                <w:szCs w:val="16"/>
                <w:color w:val="auto"/>
              </w:rPr>
              <w:t>Tower</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1998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109,000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17,688,000</w:t>
            </w:r>
          </w:p>
        </w:tc>
        <w:tc>
          <w:tcPr>
            <w:tcW w:w="240" w:type="dxa"/>
            <w:vAlign w:val="bottom"/>
          </w:tcPr>
          <w:p>
            <w:pPr>
              <w:spacing w:after="0"/>
              <w:rPr>
                <w:sz w:val="24"/>
                <w:szCs w:val="24"/>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17,810,000</w:t>
            </w:r>
          </w:p>
        </w:tc>
        <w:tc>
          <w:tcPr>
            <w:tcW w:w="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95%</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Virginia Fine Wines;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Springfield, VA</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Talbots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Tysons Station</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1978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841,000</w:t>
            </w:r>
          </w:p>
        </w:tc>
        <w:tc>
          <w:tcPr>
            <w:tcW w:w="24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3,379,000</w:t>
            </w:r>
          </w:p>
        </w:tc>
        <w:tc>
          <w:tcPr>
            <w:tcW w:w="7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Trader Joe's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Falls Church, VA</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Wildwood</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1969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85,000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10,172,000</w:t>
            </w:r>
          </w:p>
        </w:tc>
        <w:tc>
          <w:tcPr>
            <w:tcW w:w="24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15,448,000</w:t>
            </w:r>
          </w:p>
        </w:tc>
        <w:tc>
          <w:tcPr>
            <w:tcW w:w="7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CVS Pharmacy; Sutton</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Bethesda, MD</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Place Gourmet</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Williamsburg</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1986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251,000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9,918,000</w:t>
            </w:r>
          </w:p>
        </w:tc>
        <w:tc>
          <w:tcPr>
            <w:tcW w:w="24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13,326,000</w:t>
            </w:r>
          </w:p>
        </w:tc>
        <w:tc>
          <w:tcPr>
            <w:tcW w:w="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96%</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Food Lion; Peebles;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Williamsburg, VA</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Rose's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Willow Lawn</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1983</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449,000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10,915,000</w:t>
            </w:r>
          </w:p>
        </w:tc>
        <w:tc>
          <w:tcPr>
            <w:tcW w:w="24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55,363,000</w:t>
            </w:r>
          </w:p>
        </w:tc>
        <w:tc>
          <w:tcPr>
            <w:tcW w:w="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92%</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Regal Cinema; Dillard's;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Richmond, VA</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Hannaford Brothers</w:t>
            </w:r>
          </w:p>
        </w:tc>
      </w:tr>
      <w:tr>
        <w:trPr>
          <w:trHeight w:val="376"/>
        </w:trPr>
        <w:tc>
          <w:tcPr>
            <w:tcW w:w="2340" w:type="dxa"/>
            <w:vAlign w:val="bottom"/>
          </w:tcPr>
          <w:p>
            <w:pPr>
              <w:spacing w:after="0"/>
              <w:rPr>
                <w:sz w:val="24"/>
                <w:szCs w:val="24"/>
                <w:color w:val="auto"/>
              </w:rPr>
            </w:pPr>
          </w:p>
        </w:tc>
        <w:tc>
          <w:tcPr>
            <w:tcW w:w="4640" w:type="dxa"/>
            <w:vAlign w:val="bottom"/>
            <w:gridSpan w:val="7"/>
          </w:tcPr>
          <w:p>
            <w:pPr>
              <w:jc w:val="right"/>
              <w:ind w:right="259"/>
              <w:spacing w:after="0"/>
              <w:rPr>
                <w:sz w:val="20"/>
                <w:szCs w:val="20"/>
                <w:color w:val="auto"/>
              </w:rPr>
            </w:pPr>
            <w:r>
              <w:rPr>
                <w:rFonts w:ascii="Courier New" w:cs="Courier New" w:eastAsia="Courier New" w:hAnsi="Courier New"/>
                <w:sz w:val="16"/>
                <w:szCs w:val="16"/>
                <w:color w:val="auto"/>
              </w:rPr>
              <w:t>--------- ------------ ------------</w:t>
            </w: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76"/>
        </w:trPr>
        <w:tc>
          <w:tcPr>
            <w:tcW w:w="234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5,750,000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353,411,000</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$583,489,000</w:t>
            </w: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Main Street Retail</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Properties</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Bethesda Row</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1993</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284,000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21,965,000</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$ 35,208,000</w:t>
            </w:r>
          </w:p>
        </w:tc>
        <w:tc>
          <w:tcPr>
            <w:tcW w:w="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99%</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Barnes &amp; Noble; Giant</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Bethesda, MD (1)</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Food; Giant Pharmacy</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Sam's Park N Shop</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11,159,000</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$ 11,694,000</w:t>
            </w:r>
          </w:p>
        </w:tc>
        <w:tc>
          <w:tcPr>
            <w:tcW w:w="7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Petco; Pizzeria Uno</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Washington, D.C.</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Winter Park (two</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28,000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6,837,000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6,854,000</w:t>
            </w:r>
          </w:p>
        </w:tc>
        <w:tc>
          <w:tcPr>
            <w:tcW w:w="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90%</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Limited Express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Winter Park, FL</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The Village at</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362,000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24,569,000</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$ 27,683,000</w:t>
            </w:r>
          </w:p>
        </w:tc>
        <w:tc>
          <w:tcPr>
            <w:tcW w:w="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92%</w:t>
            </w: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Carlyle Grand Cafe;</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Shirlington</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6"/>
                <w:szCs w:val="16"/>
                <w:color w:val="auto"/>
              </w:rPr>
              <w:t>Cineplex Odeon</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Shirlington, VA</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376"/>
        </w:trPr>
        <w:tc>
          <w:tcPr>
            <w:tcW w:w="2340" w:type="dxa"/>
            <w:vAlign w:val="bottom"/>
          </w:tcPr>
          <w:p>
            <w:pPr>
              <w:spacing w:after="0"/>
              <w:rPr>
                <w:sz w:val="24"/>
                <w:szCs w:val="24"/>
                <w:color w:val="auto"/>
              </w:rPr>
            </w:pPr>
          </w:p>
        </w:tc>
        <w:tc>
          <w:tcPr>
            <w:tcW w:w="4640" w:type="dxa"/>
            <w:vAlign w:val="bottom"/>
            <w:gridSpan w:val="7"/>
          </w:tcPr>
          <w:p>
            <w:pPr>
              <w:jc w:val="right"/>
              <w:ind w:right="259"/>
              <w:spacing w:after="0"/>
              <w:rPr>
                <w:sz w:val="20"/>
                <w:szCs w:val="20"/>
                <w:color w:val="auto"/>
              </w:rPr>
            </w:pPr>
            <w:r>
              <w:rPr>
                <w:rFonts w:ascii="Courier New" w:cs="Courier New" w:eastAsia="Courier New" w:hAnsi="Courier New"/>
                <w:sz w:val="16"/>
                <w:szCs w:val="16"/>
                <w:color w:val="auto"/>
              </w:rPr>
              <w:t>--------- ------------ ------------</w:t>
            </w: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76"/>
        </w:trPr>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8"/>
              </w:rPr>
              <w:t>724,000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64,530,000</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$ 81,439,000</w:t>
            </w: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76"/>
        </w:trPr>
        <w:tc>
          <w:tcPr>
            <w:tcW w:w="2340" w:type="dxa"/>
            <w:vAlign w:val="bottom"/>
          </w:tcPr>
          <w:p>
            <w:pPr>
              <w:spacing w:after="0"/>
              <w:rPr>
                <w:sz w:val="24"/>
                <w:szCs w:val="24"/>
                <w:color w:val="auto"/>
              </w:rPr>
            </w:pPr>
          </w:p>
        </w:tc>
        <w:tc>
          <w:tcPr>
            <w:tcW w:w="4640" w:type="dxa"/>
            <w:vAlign w:val="bottom"/>
            <w:gridSpan w:val="7"/>
          </w:tcPr>
          <w:p>
            <w:pPr>
              <w:jc w:val="right"/>
              <w:ind w:right="259"/>
              <w:spacing w:after="0"/>
              <w:rPr>
                <w:sz w:val="20"/>
                <w:szCs w:val="20"/>
                <w:color w:val="auto"/>
              </w:rPr>
            </w:pPr>
            <w:r>
              <w:rPr>
                <w:rFonts w:ascii="Courier New" w:cs="Courier New" w:eastAsia="Courier New" w:hAnsi="Courier New"/>
                <w:sz w:val="16"/>
                <w:szCs w:val="16"/>
                <w:color w:val="auto"/>
              </w:rPr>
              <w:t>--------- ------------ ------------</w:t>
            </w: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76"/>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Total Mid-Atlantic</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88"/>
        </w:trPr>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operating properties</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6,474,000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417,941,000</w:t>
            </w:r>
          </w:p>
        </w:tc>
        <w:tc>
          <w:tcPr>
            <w:tcW w:w="15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$664,928,000</w:t>
            </w: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376"/>
        </w:trPr>
        <w:tc>
          <w:tcPr>
            <w:tcW w:w="2340" w:type="dxa"/>
            <w:vAlign w:val="bottom"/>
          </w:tcPr>
          <w:p>
            <w:pPr>
              <w:spacing w:after="0"/>
              <w:rPr>
                <w:sz w:val="24"/>
                <w:szCs w:val="24"/>
                <w:color w:val="auto"/>
              </w:rPr>
            </w:pPr>
          </w:p>
        </w:tc>
        <w:tc>
          <w:tcPr>
            <w:tcW w:w="4640" w:type="dxa"/>
            <w:vAlign w:val="bottom"/>
            <w:gridSpan w:val="7"/>
          </w:tcPr>
          <w:p>
            <w:pPr>
              <w:jc w:val="right"/>
              <w:ind w:right="259"/>
              <w:spacing w:after="0"/>
              <w:rPr>
                <w:sz w:val="20"/>
                <w:szCs w:val="20"/>
                <w:color w:val="auto"/>
              </w:rPr>
            </w:pPr>
            <w:r>
              <w:rPr>
                <w:rFonts w:ascii="Courier New" w:cs="Courier New" w:eastAsia="Courier New" w:hAnsi="Courier New"/>
                <w:sz w:val="16"/>
                <w:szCs w:val="16"/>
                <w:color w:val="auto"/>
              </w:rPr>
              <w:t>========= ============ ============</w:t>
            </w: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564"/>
        </w:trPr>
        <w:tc>
          <w:tcPr>
            <w:tcW w:w="3420" w:type="dxa"/>
            <w:vAlign w:val="bottom"/>
            <w:gridSpan w:val="2"/>
          </w:tcPr>
          <w:p>
            <w:pPr>
              <w:spacing w:after="0"/>
              <w:rPr>
                <w:sz w:val="20"/>
                <w:szCs w:val="20"/>
                <w:color w:val="auto"/>
              </w:rPr>
            </w:pPr>
            <w:r>
              <w:rPr>
                <w:rFonts w:ascii="Courier New" w:cs="Courier New" w:eastAsia="Courier New" w:hAnsi="Courier New"/>
                <w:sz w:val="16"/>
                <w:szCs w:val="16"/>
                <w:color w:val="auto"/>
              </w:rPr>
              <w:t>West Coast Operating Region</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564"/>
        </w:trPr>
        <w:tc>
          <w:tcPr>
            <w:tcW w:w="234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Crossroads</w:t>
            </w:r>
          </w:p>
        </w:tc>
        <w:tc>
          <w:tcPr>
            <w:tcW w:w="10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1993</w:t>
            </w:r>
          </w:p>
        </w:tc>
        <w:tc>
          <w:tcPr>
            <w:tcW w:w="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173,000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$ 16,246,000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$ 21,339,000</w:t>
            </w:r>
          </w:p>
        </w:tc>
        <w:tc>
          <w:tcPr>
            <w:tcW w:w="7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93%</w:t>
            </w: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Comp USA; Binny's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Highland Park, IL</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Beverage Golfsmith</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Escondido</w:t>
            </w:r>
          </w:p>
        </w:tc>
        <w:tc>
          <w:tcPr>
            <w:tcW w:w="10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1996</w:t>
            </w:r>
          </w:p>
        </w:tc>
        <w:tc>
          <w:tcPr>
            <w:tcW w:w="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221,000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23,652,000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24,308,000</w:t>
            </w:r>
          </w:p>
        </w:tc>
        <w:tc>
          <w:tcPr>
            <w:tcW w:w="7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98%</w:t>
            </w: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Toys "R" Us; T. J.</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Escondido, CA</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Maxx</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Finley</w:t>
            </w:r>
          </w:p>
        </w:tc>
        <w:tc>
          <w:tcPr>
            <w:tcW w:w="10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1995</w:t>
            </w:r>
          </w:p>
        </w:tc>
        <w:tc>
          <w:tcPr>
            <w:tcW w:w="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313,000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18,796,000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24,939,000</w:t>
            </w:r>
          </w:p>
        </w:tc>
        <w:tc>
          <w:tcPr>
            <w:tcW w:w="7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93%</w:t>
            </w: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Bed, Bath &amp; Beyond</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Downers Grove, IL</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Service Merchandise</w:t>
            </w:r>
          </w:p>
        </w:tc>
      </w:tr>
      <w:tr>
        <w:trPr>
          <w:trHeight w:val="188"/>
        </w:trPr>
        <w:tc>
          <w:tcPr>
            <w:tcW w:w="2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Sports Authority</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Garden Market</w:t>
            </w:r>
          </w:p>
        </w:tc>
        <w:tc>
          <w:tcPr>
            <w:tcW w:w="10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1994</w:t>
            </w:r>
          </w:p>
        </w:tc>
        <w:tc>
          <w:tcPr>
            <w:tcW w:w="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134,000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7,506,000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8,206,000</w:t>
            </w:r>
          </w:p>
        </w:tc>
        <w:tc>
          <w:tcPr>
            <w:tcW w:w="7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88%</w:t>
            </w: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Dominick's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Western Springs, IL</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Gratiot Plaza</w:t>
            </w:r>
          </w:p>
        </w:tc>
        <w:tc>
          <w:tcPr>
            <w:tcW w:w="10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1973</w:t>
            </w:r>
          </w:p>
        </w:tc>
        <w:tc>
          <w:tcPr>
            <w:tcW w:w="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215,000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2,126,000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16,275,000</w:t>
            </w:r>
          </w:p>
        </w:tc>
        <w:tc>
          <w:tcPr>
            <w:tcW w:w="7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99%</w:t>
            </w: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Bed, Bath &amp; Beyond</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Roseville, MI</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Farmer Jack</w:t>
            </w:r>
          </w:p>
        </w:tc>
      </w:tr>
      <w:tr>
        <w:trPr>
          <w:trHeight w:val="188"/>
        </w:trPr>
        <w:tc>
          <w:tcPr>
            <w:tcW w:w="2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Drug Emporium</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Kings Court</w:t>
            </w:r>
          </w:p>
        </w:tc>
        <w:tc>
          <w:tcPr>
            <w:tcW w:w="10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1998</w:t>
            </w:r>
          </w:p>
        </w:tc>
        <w:tc>
          <w:tcPr>
            <w:tcW w:w="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78,000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10,714,000</w:t>
            </w:r>
          </w:p>
        </w:tc>
        <w:tc>
          <w:tcPr>
            <w:tcW w:w="202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10,620,000 100%</w:t>
            </w: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Lunardi's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Los Gatos, CA(5)</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Long's Drug Store</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North Lake Commons</w:t>
            </w:r>
          </w:p>
        </w:tc>
        <w:tc>
          <w:tcPr>
            <w:tcW w:w="10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1994</w:t>
            </w:r>
          </w:p>
        </w:tc>
        <w:tc>
          <w:tcPr>
            <w:tcW w:w="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129,000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11,133,000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12,752,000</w:t>
            </w:r>
          </w:p>
        </w:tc>
        <w:tc>
          <w:tcPr>
            <w:tcW w:w="7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98%</w:t>
            </w: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Dominick's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Lake Zurich, IL</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Peninsula</w:t>
            </w:r>
          </w:p>
        </w:tc>
        <w:tc>
          <w:tcPr>
            <w:tcW w:w="10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1997</w:t>
            </w:r>
          </w:p>
        </w:tc>
        <w:tc>
          <w:tcPr>
            <w:tcW w:w="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296,000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44,168,000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45,572,000</w:t>
            </w:r>
          </w:p>
        </w:tc>
        <w:tc>
          <w:tcPr>
            <w:tcW w:w="7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97%</w:t>
            </w: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Von's Pavilion</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Palos Verdes, CA</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T. J. Maxx</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Uptown</w:t>
            </w:r>
          </w:p>
        </w:tc>
        <w:tc>
          <w:tcPr>
            <w:tcW w:w="10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1997</w:t>
            </w:r>
          </w:p>
        </w:tc>
        <w:tc>
          <w:tcPr>
            <w:tcW w:w="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100,000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16,103,000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16,348,000</w:t>
            </w:r>
          </w:p>
        </w:tc>
        <w:tc>
          <w:tcPr>
            <w:tcW w:w="7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98%</w:t>
            </w: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Elephant's Deli</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Portland, OR</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Zupan's Market</w:t>
            </w:r>
          </w:p>
        </w:tc>
      </w:tr>
      <w:tr>
        <w:trPr>
          <w:trHeight w:val="376"/>
        </w:trPr>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6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w:t>
            </w: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76"/>
        </w:trPr>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1,659,000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$150,444,000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$180,359,000</w:t>
            </w: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Main Street Retail</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Properties</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Colorado Boulevard (two</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w w:val="99"/>
              </w:rPr>
              <w:t>1996-1998</w:t>
            </w:r>
          </w:p>
        </w:tc>
        <w:tc>
          <w:tcPr>
            <w:tcW w:w="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67,000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$9,394,000</w:t>
            </w:r>
          </w:p>
        </w:tc>
        <w:tc>
          <w:tcPr>
            <w:tcW w:w="460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$12,829,000 100%(3) Pottery Barn</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Pasadena, CA</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Evanston (two buildings)</w:t>
            </w:r>
          </w:p>
        </w:tc>
        <w:tc>
          <w:tcPr>
            <w:tcW w:w="10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1995</w:t>
            </w:r>
          </w:p>
        </w:tc>
        <w:tc>
          <w:tcPr>
            <w:tcW w:w="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19,000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3,616,000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4,157,000</w:t>
            </w:r>
          </w:p>
        </w:tc>
        <w:tc>
          <w:tcPr>
            <w:tcW w:w="7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79%</w:t>
            </w: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The Gap</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Evanston, IL</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6"/>
                <w:szCs w:val="16"/>
                <w:color w:val="auto"/>
              </w:rPr>
              <w:t>Food Stuffs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Fifth Avenue (five</w:t>
            </w:r>
          </w:p>
        </w:tc>
        <w:tc>
          <w:tcPr>
            <w:tcW w:w="10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1996</w:t>
            </w:r>
          </w:p>
        </w:tc>
        <w:tc>
          <w:tcPr>
            <w:tcW w:w="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64,000</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5,196,000</w:t>
            </w:r>
          </w:p>
        </w:tc>
        <w:tc>
          <w:tcPr>
            <w:tcW w:w="4600" w:type="dxa"/>
            <w:vAlign w:val="bottom"/>
            <w:gridSpan w:val="3"/>
          </w:tcPr>
          <w:p>
            <w:pPr>
              <w:ind w:left="400"/>
              <w:spacing w:after="0"/>
              <w:rPr>
                <w:sz w:val="20"/>
                <w:szCs w:val="20"/>
                <w:color w:val="auto"/>
              </w:rPr>
            </w:pPr>
            <w:r>
              <w:rPr>
                <w:rFonts w:ascii="Courier New" w:cs="Courier New" w:eastAsia="Courier New" w:hAnsi="Courier New"/>
                <w:sz w:val="16"/>
                <w:szCs w:val="16"/>
                <w:color w:val="auto"/>
              </w:rPr>
              <w:t>9,080,000 100%(3) Urban Outfitters</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San Diego, CA</w:t>
            </w: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80" w:type="dxa"/>
            <w:vAlign w:val="bottom"/>
          </w:tcPr>
          <w:p>
            <w:pPr>
              <w:spacing w:after="0"/>
              <w:rPr>
                <w:sz w:val="16"/>
                <w:szCs w:val="16"/>
                <w:color w:val="auto"/>
              </w:rPr>
            </w:pPr>
          </w:p>
        </w:tc>
      </w:tr>
    </w:tbl>
    <w:p>
      <w:pPr>
        <w:sectPr>
          <w:pgSz w:w="11900" w:h="16853" w:orient="portrait"/>
          <w:cols w:equalWidth="0" w:num="1">
            <w:col w:w="10260"/>
          </w:cols>
          <w:pgMar w:left="240" w:top="1056" w:right="139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20"/>
                <w:szCs w:val="20"/>
                <w:color w:val="auto"/>
              </w:rPr>
            </w:pPr>
            <w:r>
              <w:rPr>
                <w:rFonts w:ascii="Courier New" w:cs="Courier New" w:eastAsia="Courier New" w:hAnsi="Courier New"/>
                <w:sz w:val="16"/>
                <w:szCs w:val="16"/>
                <w:color w:val="auto"/>
              </w:rPr>
              <w:t>Hermosa Avenue/</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1997</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6,000</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1,323,000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1,788,000</w:t>
            </w:r>
          </w:p>
        </w:tc>
        <w:tc>
          <w:tcPr>
            <w:tcW w:w="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w:t>
            </w:r>
          </w:p>
        </w:tc>
        <w:tc>
          <w:tcPr>
            <w:tcW w:w="980" w:type="dxa"/>
            <w:vAlign w:val="bottom"/>
          </w:tcPr>
          <w:p>
            <w:pPr>
              <w:spacing w:after="0"/>
              <w:rPr>
                <w:sz w:val="15"/>
                <w:szCs w:val="15"/>
                <w:color w:val="auto"/>
              </w:rPr>
            </w:pPr>
          </w:p>
        </w:tc>
      </w:tr>
      <w:tr>
        <w:trPr>
          <w:trHeight w:val="188"/>
        </w:trPr>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Hermosa Beach, CA</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2300" w:type="dxa"/>
            <w:vAlign w:val="bottom"/>
          </w:tcPr>
          <w:p>
            <w:pPr>
              <w:spacing w:after="0"/>
              <w:rPr>
                <w:sz w:val="20"/>
                <w:szCs w:val="20"/>
                <w:color w:val="auto"/>
              </w:rPr>
            </w:pPr>
            <w:r>
              <w:rPr>
                <w:rFonts w:ascii="Courier New" w:cs="Courier New" w:eastAsia="Courier New" w:hAnsi="Courier New"/>
                <w:sz w:val="16"/>
                <w:szCs w:val="16"/>
                <w:color w:val="auto"/>
              </w:rPr>
              <w:t>Hollywood Boulevard</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196,000</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26,355,000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26,432,000</w:t>
            </w:r>
          </w:p>
        </w:tc>
        <w:tc>
          <w:tcPr>
            <w:tcW w:w="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w:t>
            </w:r>
          </w:p>
        </w:tc>
        <w:tc>
          <w:tcPr>
            <w:tcW w:w="980" w:type="dxa"/>
            <w:vAlign w:val="bottom"/>
          </w:tcPr>
          <w:p>
            <w:pPr>
              <w:spacing w:after="0"/>
              <w:rPr>
                <w:sz w:val="16"/>
                <w:szCs w:val="16"/>
                <w:color w:val="auto"/>
              </w:rPr>
            </w:pPr>
          </w:p>
        </w:tc>
      </w:tr>
      <w:tr>
        <w:trPr>
          <w:trHeight w:val="188"/>
        </w:trPr>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(three buildings)</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Hollywood, CA</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2300" w:type="dxa"/>
            <w:vAlign w:val="bottom"/>
          </w:tcPr>
          <w:p>
            <w:pPr>
              <w:spacing w:after="0"/>
              <w:rPr>
                <w:sz w:val="20"/>
                <w:szCs w:val="20"/>
                <w:color w:val="auto"/>
              </w:rPr>
            </w:pPr>
            <w:r>
              <w:rPr>
                <w:rFonts w:ascii="Courier New" w:cs="Courier New" w:eastAsia="Courier New" w:hAnsi="Courier New"/>
                <w:sz w:val="16"/>
                <w:szCs w:val="16"/>
                <w:color w:val="auto"/>
              </w:rPr>
              <w:t>Mill Avenue (two</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1998</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40,000</w:t>
            </w:r>
          </w:p>
        </w:tc>
        <w:tc>
          <w:tcPr>
            <w:tcW w:w="12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10,438,000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10,626,000</w:t>
            </w:r>
          </w:p>
        </w:tc>
        <w:tc>
          <w:tcPr>
            <w:tcW w:w="6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w:t>
            </w:r>
          </w:p>
        </w:tc>
        <w:tc>
          <w:tcPr>
            <w:tcW w:w="980" w:type="dxa"/>
            <w:vAlign w:val="bottom"/>
          </w:tcPr>
          <w:p>
            <w:pPr>
              <w:ind w:left="200"/>
              <w:spacing w:after="0"/>
              <w:rPr>
                <w:sz w:val="20"/>
                <w:szCs w:val="20"/>
                <w:color w:val="auto"/>
              </w:rPr>
            </w:pPr>
            <w:r>
              <w:rPr>
                <w:rFonts w:ascii="Courier New" w:cs="Courier New" w:eastAsia="Courier New" w:hAnsi="Courier New"/>
                <w:sz w:val="16"/>
                <w:szCs w:val="16"/>
                <w:color w:val="auto"/>
                <w:w w:val="98"/>
              </w:rPr>
              <w:t>Beeloe's</w:t>
            </w:r>
          </w:p>
        </w:tc>
      </w:tr>
      <w:tr>
        <w:trPr>
          <w:trHeight w:val="188"/>
        </w:trPr>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buildings)</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2300" w:type="dxa"/>
            <w:vAlign w:val="bottom"/>
          </w:tcPr>
          <w:p>
            <w:pPr>
              <w:ind w:left="100"/>
              <w:spacing w:after="0"/>
              <w:rPr>
                <w:sz w:val="20"/>
                <w:szCs w:val="20"/>
                <w:color w:val="auto"/>
              </w:rPr>
            </w:pPr>
            <w:r>
              <w:rPr>
                <w:rFonts w:ascii="Courier New" w:cs="Courier New" w:eastAsia="Courier New" w:hAnsi="Courier New"/>
                <w:sz w:val="16"/>
                <w:szCs w:val="16"/>
                <w:color w:val="auto"/>
              </w:rPr>
              <w:t>Tempe, Arizona</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752"/>
        </w:trPr>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S-19</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Total</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Occupancy</w:t>
            </w:r>
          </w:p>
        </w:tc>
        <w:tc>
          <w:tcPr>
            <w:tcW w:w="2280" w:type="dxa"/>
            <w:vAlign w:val="bottom"/>
          </w:tcPr>
          <w:p>
            <w:pPr>
              <w:spacing w:after="0"/>
              <w:rPr>
                <w:sz w:val="15"/>
                <w:szCs w:val="15"/>
                <w:color w:val="auto"/>
              </w:rPr>
            </w:pPr>
          </w:p>
        </w:tc>
      </w:tr>
      <w:tr>
        <w:trPr>
          <w:trHeight w:val="188"/>
        </w:trPr>
        <w:tc>
          <w:tcPr>
            <w:tcW w:w="2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Cost as of</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as of</w:t>
            </w:r>
          </w:p>
        </w:tc>
        <w:tc>
          <w:tcPr>
            <w:tcW w:w="2280" w:type="dxa"/>
            <w:vAlign w:val="bottom"/>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Year</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Square</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Acquisition</w:t>
            </w:r>
          </w:p>
        </w:tc>
        <w:tc>
          <w:tcPr>
            <w:tcW w:w="2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 September 30,</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Principal</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Property</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Acquired</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Feet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Cost</w:t>
            </w: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Tenants</w:t>
            </w: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500" w:type="dxa"/>
            <w:vAlign w:val="bottom"/>
            <w:gridSpan w:val="6"/>
          </w:tcPr>
          <w:p>
            <w:pPr>
              <w:ind w:left="400"/>
              <w:spacing w:after="0"/>
              <w:rPr>
                <w:sz w:val="20"/>
                <w:szCs w:val="20"/>
                <w:color w:val="auto"/>
              </w:rPr>
            </w:pPr>
            <w:r>
              <w:rPr>
                <w:rFonts w:ascii="Courier New" w:cs="Courier New" w:eastAsia="Courier New" w:hAnsi="Courier New"/>
                <w:sz w:val="16"/>
                <w:szCs w:val="16"/>
                <w:color w:val="auto"/>
              </w:rPr>
              <w:t>--------- --------- ------------ -------------- ------------- ---------------------</w:t>
            </w:r>
          </w:p>
        </w:tc>
      </w:tr>
      <w:tr>
        <w:trPr>
          <w:trHeight w:val="376"/>
        </w:trPr>
        <w:tc>
          <w:tcPr>
            <w:tcW w:w="2340" w:type="dxa"/>
            <w:vAlign w:val="bottom"/>
          </w:tcPr>
          <w:p>
            <w:pPr>
              <w:spacing w:after="0"/>
              <w:rPr>
                <w:sz w:val="20"/>
                <w:szCs w:val="20"/>
                <w:color w:val="auto"/>
              </w:rPr>
            </w:pPr>
            <w:r>
              <w:rPr>
                <w:rFonts w:ascii="Courier New" w:cs="Courier New" w:eastAsia="Courier New" w:hAnsi="Courier New"/>
                <w:sz w:val="16"/>
                <w:szCs w:val="16"/>
                <w:color w:val="auto"/>
              </w:rPr>
              <w:t>Oak Street</w:t>
            </w:r>
          </w:p>
        </w:tc>
        <w:tc>
          <w:tcPr>
            <w:tcW w:w="1220" w:type="dxa"/>
            <w:vAlign w:val="bottom"/>
          </w:tcPr>
          <w:p>
            <w:pPr>
              <w:ind w:left="400"/>
              <w:spacing w:after="0"/>
              <w:rPr>
                <w:sz w:val="20"/>
                <w:szCs w:val="20"/>
                <w:color w:val="auto"/>
              </w:rPr>
            </w:pPr>
            <w:r>
              <w:rPr>
                <w:rFonts w:ascii="Courier New" w:cs="Courier New" w:eastAsia="Courier New" w:hAnsi="Courier New"/>
                <w:sz w:val="16"/>
                <w:szCs w:val="16"/>
                <w:color w:val="auto"/>
              </w:rPr>
              <w:t>1997</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4,205,000</w:t>
            </w: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4,222,000</w:t>
            </w:r>
          </w:p>
        </w:tc>
        <w:tc>
          <w:tcPr>
            <w:tcW w:w="11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100%</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Versace</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Chicago, IL</w:t>
            </w: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Old Town Center</w:t>
            </w:r>
          </w:p>
        </w:tc>
        <w:tc>
          <w:tcPr>
            <w:tcW w:w="1220" w:type="dxa"/>
            <w:vAlign w:val="bottom"/>
          </w:tcPr>
          <w:p>
            <w:pPr>
              <w:ind w:left="400"/>
              <w:spacing w:after="0"/>
              <w:rPr>
                <w:sz w:val="20"/>
                <w:szCs w:val="20"/>
                <w:color w:val="auto"/>
              </w:rPr>
            </w:pPr>
            <w:r>
              <w:rPr>
                <w:rFonts w:ascii="Courier New" w:cs="Courier New" w:eastAsia="Courier New" w:hAnsi="Courier New"/>
                <w:sz w:val="16"/>
                <w:szCs w:val="16"/>
                <w:color w:val="auto"/>
              </w:rPr>
              <w:t>1997</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101,000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6,185,000</w:t>
            </w: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26,730,000</w:t>
            </w: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w:t>
            </w:r>
          </w:p>
        </w:tc>
        <w:tc>
          <w:tcPr>
            <w:tcW w:w="2280" w:type="dxa"/>
            <w:vAlign w:val="bottom"/>
          </w:tcPr>
          <w:p>
            <w:pPr>
              <w:spacing w:after="0"/>
              <w:rPr>
                <w:sz w:val="16"/>
                <w:szCs w:val="16"/>
                <w:color w:val="auto"/>
              </w:rPr>
            </w:pP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Los Gatos, CA</w:t>
            </w: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Post Street</w:t>
            </w:r>
          </w:p>
        </w:tc>
        <w:tc>
          <w:tcPr>
            <w:tcW w:w="1220" w:type="dxa"/>
            <w:vAlign w:val="bottom"/>
          </w:tcPr>
          <w:p>
            <w:pPr>
              <w:ind w:left="400"/>
              <w:spacing w:after="0"/>
              <w:rPr>
                <w:sz w:val="20"/>
                <w:szCs w:val="20"/>
                <w:color w:val="auto"/>
              </w:rPr>
            </w:pPr>
            <w:r>
              <w:rPr>
                <w:rFonts w:ascii="Courier New" w:cs="Courier New" w:eastAsia="Courier New" w:hAnsi="Courier New"/>
                <w:sz w:val="16"/>
                <w:szCs w:val="16"/>
                <w:color w:val="auto"/>
              </w:rPr>
              <w:t>1997</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96,000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20,866,000</w:t>
            </w: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23,546,000</w:t>
            </w:r>
          </w:p>
        </w:tc>
        <w:tc>
          <w:tcPr>
            <w:tcW w:w="11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77%</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Williams Sonoma</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San Francisco, CA</w:t>
            </w: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88"/>
        </w:trPr>
        <w:tc>
          <w:tcPr>
            <w:tcW w:w="2340" w:type="dxa"/>
            <w:vAlign w:val="bottom"/>
          </w:tcPr>
          <w:p>
            <w:pPr>
              <w:spacing w:after="0"/>
              <w:rPr>
                <w:sz w:val="20"/>
                <w:szCs w:val="20"/>
                <w:color w:val="auto"/>
              </w:rPr>
            </w:pPr>
            <w:r>
              <w:rPr>
                <w:rFonts w:ascii="Courier New" w:cs="Courier New" w:eastAsia="Courier New" w:hAnsi="Courier New"/>
                <w:sz w:val="16"/>
                <w:szCs w:val="16"/>
                <w:color w:val="auto"/>
              </w:rPr>
              <w:t>Third Street Promenade</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1996-1998</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153,000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32,764,000</w:t>
            </w: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48,781,000</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100%(3)</w:t>
            </w: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Banana Republic</w:t>
            </w:r>
          </w:p>
        </w:tc>
      </w:tr>
      <w:tr>
        <w:trPr>
          <w:trHeight w:val="188"/>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(eight buildings)</w:t>
            </w: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6"/>
                <w:szCs w:val="16"/>
                <w:color w:val="auto"/>
              </w:rPr>
              <w:t>Abercrombie &amp; Fitch</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Santa Monica, CA</w:t>
            </w:r>
          </w:p>
        </w:tc>
        <w:tc>
          <w:tcPr>
            <w:tcW w:w="1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76"/>
        </w:trPr>
        <w:tc>
          <w:tcPr>
            <w:tcW w:w="2500" w:type="dxa"/>
            <w:vAlign w:val="bottom"/>
          </w:tcPr>
          <w:p>
            <w:pPr>
              <w:spacing w:after="0"/>
              <w:rPr>
                <w:sz w:val="24"/>
                <w:szCs w:val="24"/>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747,000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$120,342,000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168,191,000</w:t>
            </w:r>
          </w:p>
        </w:tc>
      </w:tr>
      <w:tr>
        <w:trPr>
          <w:trHeight w:val="376"/>
        </w:trPr>
        <w:tc>
          <w:tcPr>
            <w:tcW w:w="2500" w:type="dxa"/>
            <w:vAlign w:val="bottom"/>
          </w:tcPr>
          <w:p>
            <w:pPr>
              <w:spacing w:after="0"/>
              <w:rPr>
                <w:sz w:val="24"/>
                <w:szCs w:val="24"/>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spacing w:after="0"/>
              <w:rPr>
                <w:sz w:val="20"/>
                <w:szCs w:val="20"/>
                <w:color w:val="auto"/>
              </w:rPr>
            </w:pPr>
            <w:r>
              <w:rPr>
                <w:rFonts w:ascii="Courier New" w:cs="Courier New" w:eastAsia="Courier New" w:hAnsi="Courier New"/>
                <w:sz w:val="16"/>
                <w:szCs w:val="16"/>
                <w:color w:val="auto"/>
              </w:rPr>
              <w:t>Total West Coast</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2,406,000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$270,786,000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348,550,000</w:t>
            </w:r>
          </w:p>
        </w:tc>
      </w:tr>
      <w:tr>
        <w:trPr>
          <w:trHeight w:val="188"/>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operating properties</w:t>
            </w: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76"/>
        </w:trPr>
        <w:tc>
          <w:tcPr>
            <w:tcW w:w="2500" w:type="dxa"/>
            <w:vAlign w:val="bottom"/>
          </w:tcPr>
          <w:p>
            <w:pPr>
              <w:spacing w:after="0"/>
              <w:rPr>
                <w:sz w:val="24"/>
                <w:szCs w:val="24"/>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spacing w:after="0"/>
              <w:rPr>
                <w:sz w:val="20"/>
                <w:szCs w:val="20"/>
                <w:color w:val="auto"/>
              </w:rPr>
            </w:pPr>
            <w:r>
              <w:rPr>
                <w:rFonts w:ascii="Courier New" w:cs="Courier New" w:eastAsia="Courier New" w:hAnsi="Courier New"/>
                <w:sz w:val="16"/>
                <w:szCs w:val="16"/>
                <w:color w:val="auto"/>
              </w:rPr>
              <w:t>Development</w:t>
            </w: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8"/>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w:t>
            </w:r>
          </w:p>
        </w:tc>
      </w:tr>
      <w:tr>
        <w:trPr>
          <w:trHeight w:val="188"/>
        </w:trPr>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Cost as of</w:t>
            </w:r>
          </w:p>
        </w:tc>
      </w:tr>
      <w:tr>
        <w:trPr>
          <w:trHeight w:val="188"/>
        </w:trPr>
        <w:tc>
          <w:tcPr>
            <w:tcW w:w="2500" w:type="dxa"/>
            <w:vAlign w:val="bottom"/>
          </w:tcPr>
          <w:p>
            <w:pPr>
              <w:spacing w:after="0"/>
              <w:rPr>
                <w:sz w:val="16"/>
                <w:szCs w:val="16"/>
                <w:color w:val="auto"/>
              </w:rPr>
            </w:pPr>
          </w:p>
        </w:tc>
        <w:tc>
          <w:tcPr>
            <w:tcW w:w="19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Year</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Property</w:t>
            </w:r>
          </w:p>
        </w:tc>
        <w:tc>
          <w:tcPr>
            <w:tcW w:w="19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Acquired</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1999(6)</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4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spacing w:after="0"/>
              <w:rPr>
                <w:sz w:val="20"/>
                <w:szCs w:val="20"/>
                <w:color w:val="auto"/>
              </w:rPr>
            </w:pPr>
            <w:r>
              <w:rPr>
                <w:rFonts w:ascii="Courier New" w:cs="Courier New" w:eastAsia="Courier New" w:hAnsi="Courier New"/>
                <w:sz w:val="16"/>
                <w:szCs w:val="16"/>
                <w:color w:val="auto"/>
              </w:rPr>
              <w:t>Bethesda Row Bethesda,</w:t>
            </w: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8"/>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MD</w:t>
            </w:r>
          </w:p>
        </w:tc>
        <w:tc>
          <w:tcPr>
            <w:tcW w:w="19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1993</w:t>
            </w:r>
          </w:p>
        </w:tc>
        <w:tc>
          <w:tcPr>
            <w:tcW w:w="12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15,449,000</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Houston Street (eleven</w:t>
            </w: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8"/>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properties)</w:t>
            </w: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8"/>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San Antonio, TX</w:t>
            </w:r>
          </w:p>
        </w:tc>
        <w:tc>
          <w:tcPr>
            <w:tcW w:w="19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20,332,000</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Pentagon Row Arlington,</w:t>
            </w: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8"/>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VA</w:t>
            </w:r>
          </w:p>
        </w:tc>
        <w:tc>
          <w:tcPr>
            <w:tcW w:w="19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1999</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6,556,000</w:t>
            </w:r>
          </w:p>
        </w:tc>
      </w:tr>
      <w:tr>
        <w:trPr>
          <w:trHeight w:val="188"/>
        </w:trPr>
        <w:tc>
          <w:tcPr>
            <w:tcW w:w="2500" w:type="dxa"/>
            <w:vAlign w:val="bottom"/>
          </w:tcPr>
          <w:p>
            <w:pPr>
              <w:spacing w:after="0"/>
              <w:rPr>
                <w:sz w:val="20"/>
                <w:szCs w:val="20"/>
                <w:color w:val="auto"/>
              </w:rPr>
            </w:pPr>
            <w:r>
              <w:rPr>
                <w:rFonts w:ascii="Courier New" w:cs="Courier New" w:eastAsia="Courier New" w:hAnsi="Courier New"/>
                <w:sz w:val="16"/>
                <w:szCs w:val="16"/>
                <w:color w:val="auto"/>
              </w:rPr>
              <w:t>Santana Row San Jose, CA</w:t>
            </w:r>
          </w:p>
        </w:tc>
        <w:tc>
          <w:tcPr>
            <w:tcW w:w="194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1997</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57,066,000</w:t>
            </w:r>
          </w:p>
        </w:tc>
      </w:tr>
      <w:tr>
        <w:trPr>
          <w:trHeight w:val="376"/>
        </w:trPr>
        <w:tc>
          <w:tcPr>
            <w:tcW w:w="2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ind w:left="100"/>
              <w:spacing w:after="0"/>
              <w:rPr>
                <w:sz w:val="20"/>
                <w:szCs w:val="20"/>
                <w:color w:val="auto"/>
              </w:rPr>
            </w:pPr>
            <w:r>
              <w:rPr>
                <w:rFonts w:ascii="Courier New" w:cs="Courier New" w:eastAsia="Courier New" w:hAnsi="Courier New"/>
                <w:sz w:val="16"/>
                <w:szCs w:val="16"/>
                <w:color w:val="auto"/>
              </w:rPr>
              <w:t>Total development</w:t>
            </w: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99,403,000</w:t>
            </w:r>
          </w:p>
        </w:tc>
      </w:tr>
      <w:tr>
        <w:trPr>
          <w:trHeight w:val="376"/>
        </w:trPr>
        <w:tc>
          <w:tcPr>
            <w:tcW w:w="2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spacing w:after="0"/>
              <w:rPr>
                <w:sz w:val="20"/>
                <w:szCs w:val="20"/>
                <w:color w:val="auto"/>
              </w:rPr>
            </w:pPr>
            <w:r>
              <w:rPr>
                <w:rFonts w:ascii="Courier New" w:cs="Courier New" w:eastAsia="Courier New" w:hAnsi="Courier New"/>
                <w:sz w:val="16"/>
                <w:szCs w:val="16"/>
                <w:color w:val="auto"/>
              </w:rPr>
              <w:t>Total real estate</w:t>
            </w: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$1,729,174,000</w:t>
            </w:r>
          </w:p>
        </w:tc>
      </w:tr>
      <w:tr>
        <w:trPr>
          <w:trHeight w:val="376"/>
        </w:trPr>
        <w:tc>
          <w:tcPr>
            <w:tcW w:w="2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25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4" w:lineRule="exact"/>
        <w:rPr>
          <w:sz w:val="20"/>
          <w:szCs w:val="20"/>
          <w:color w:val="auto"/>
        </w:rPr>
      </w:pPr>
    </w:p>
    <w:p>
      <w:pPr>
        <w:ind w:left="400" w:hanging="400"/>
        <w:spacing w:after="0"/>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a leasehold interest in this center.</w:t>
      </w:r>
    </w:p>
    <w:p>
      <w:pPr>
        <w:spacing w:after="0" w:line="6"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property is under redevelopment.</w:t>
      </w:r>
    </w:p>
    <w:p>
      <w:pPr>
        <w:spacing w:after="0" w:line="6" w:lineRule="exact"/>
        <w:rPr>
          <w:rFonts w:ascii="Courier New" w:cs="Courier New" w:eastAsia="Courier New" w:hAnsi="Courier New"/>
          <w:sz w:val="16"/>
          <w:szCs w:val="16"/>
          <w:color w:val="auto"/>
        </w:rPr>
      </w:pPr>
    </w:p>
    <w:p>
      <w:pPr>
        <w:ind w:left="400" w:right="3120" w:hanging="400"/>
        <w:spacing w:after="0" w:line="248"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of these buildings are under redevelopment. These buildings are not included in occupancy.</w:t>
      </w:r>
    </w:p>
    <w:p>
      <w:pPr>
        <w:spacing w:after="0" w:line="1" w:lineRule="exact"/>
        <w:rPr>
          <w:rFonts w:ascii="Courier New" w:cs="Courier New" w:eastAsia="Courier New" w:hAnsi="Courier New"/>
          <w:sz w:val="16"/>
          <w:szCs w:val="16"/>
          <w:color w:val="auto"/>
        </w:rPr>
      </w:pPr>
    </w:p>
    <w:p>
      <w:pPr>
        <w:ind w:left="400" w:right="3120" w:hanging="400"/>
        <w:spacing w:after="0" w:line="248"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property was sold in October 1999. At September 30, 1999, its cost had been decreased to its estimated fair value.</w:t>
      </w:r>
    </w:p>
    <w:p>
      <w:pPr>
        <w:spacing w:after="0" w:line="1" w:lineRule="exact"/>
        <w:rPr>
          <w:rFonts w:ascii="Courier New" w:cs="Courier New" w:eastAsia="Courier New" w:hAnsi="Courier New"/>
          <w:sz w:val="16"/>
          <w:szCs w:val="16"/>
          <w:color w:val="auto"/>
        </w:rPr>
      </w:pPr>
    </w:p>
    <w:p>
      <w:pPr>
        <w:ind w:left="400" w:right="3320" w:hanging="400"/>
        <w:spacing w:after="0" w:line="248"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purchased an additional interest in this property at a discount to the original cost of the interest.</w:t>
      </w:r>
    </w:p>
    <w:p>
      <w:pPr>
        <w:spacing w:after="0" w:line="1" w:lineRule="exact"/>
        <w:rPr>
          <w:rFonts w:ascii="Courier New" w:cs="Courier New" w:eastAsia="Courier New" w:hAnsi="Courier New"/>
          <w:sz w:val="16"/>
          <w:szCs w:val="16"/>
          <w:color w:val="auto"/>
        </w:rPr>
      </w:pPr>
    </w:p>
    <w:p>
      <w:pPr>
        <w:ind w:left="400" w:hanging="400"/>
        <w:spacing w:after="0"/>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acquisition cost and construction in process.</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S-20</w:t>
      </w:r>
    </w:p>
    <w:p>
      <w:pPr>
        <w:sectPr>
          <w:pgSz w:w="11900" w:h="16838" w:orient="portrait"/>
          <w:cols w:equalWidth="0" w:num="1">
            <w:col w:w="10840"/>
          </w:cols>
          <w:pgMar w:left="240" w:top="1056" w:right="819" w:bottom="1440" w:gutter="0" w:footer="0" w:header="0"/>
        </w:sectPr>
      </w:pPr>
    </w:p>
    <w:bookmarkStart w:id="27" w:name="page28"/>
    <w:bookmarkEnd w:id="27"/>
    <w:p>
      <w:pPr>
        <w:spacing w:after="0" w:line="21"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DESCRIPTION OF NOTES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following description of the particular terms of the notes offered hereby supplements the description of the general terms and provisions of Debt Securities set forth in the accompanying prospectus under the caption "Description of Debt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are offering $ of our % notes maturing on , . The notes are to be issued as a separate series of Debt Securities under the Senior Indenture, which is more fully described in the accompanying prospectus. Certain terms used herein are defined in the accompanying prospectus.</w:t>
      </w:r>
    </w:p>
    <w:p>
      <w:pPr>
        <w:spacing w:after="0" w:line="188" w:lineRule="exact"/>
        <w:rPr>
          <w:sz w:val="20"/>
          <w:szCs w:val="20"/>
          <w:color w:val="auto"/>
        </w:rPr>
      </w:pPr>
    </w:p>
    <w:p>
      <w:pPr>
        <w:ind w:left="300"/>
        <w:spacing w:after="0"/>
        <w:tabs>
          <w:tab w:leader="none" w:pos="6820" w:val="left"/>
        </w:tabs>
        <w:rPr>
          <w:sz w:val="20"/>
          <w:szCs w:val="20"/>
          <w:color w:val="auto"/>
        </w:rPr>
      </w:pPr>
      <w:r>
        <w:rPr>
          <w:rFonts w:ascii="Courier New" w:cs="Courier New" w:eastAsia="Courier New" w:hAnsi="Courier New"/>
          <w:sz w:val="16"/>
          <w:szCs w:val="16"/>
          <w:color w:val="auto"/>
        </w:rPr>
        <w:t>We will pay interest on the notes semi-annually in arrears on</w:t>
      </w:r>
      <w:r>
        <w:rPr>
          <w:sz w:val="20"/>
          <w:szCs w:val="20"/>
          <w:color w:val="auto"/>
        </w:rPr>
        <w:tab/>
      </w:r>
      <w:r>
        <w:rPr>
          <w:rFonts w:ascii="Courier New" w:cs="Courier New" w:eastAsia="Courier New" w:hAnsi="Courier New"/>
          <w:sz w:val="16"/>
          <w:szCs w:val="16"/>
          <w:color w:val="auto"/>
        </w:rPr>
        <w:t>and</w:t>
      </w:r>
    </w:p>
    <w:p>
      <w:pPr>
        <w:spacing w:after="0" w:line="7"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6"/>
          <w:szCs w:val="16"/>
          <w:color w:val="auto"/>
        </w:rPr>
        <w:t>of each year, commencing</w:t>
      </w:r>
      <w:r>
        <w:rPr>
          <w:sz w:val="20"/>
          <w:szCs w:val="20"/>
          <w:color w:val="auto"/>
        </w:rPr>
        <w:tab/>
      </w:r>
      <w:r>
        <w:rPr>
          <w:rFonts w:ascii="Courier New" w:cs="Courier New" w:eastAsia="Courier New" w:hAnsi="Courier New"/>
          <w:sz w:val="16"/>
          <w:szCs w:val="16"/>
          <w:color w:val="auto"/>
        </w:rPr>
        <w:t>, 2000, to the registered holders of the notes</w:t>
      </w:r>
    </w:p>
    <w:p>
      <w:pPr>
        <w:spacing w:after="0" w:line="7" w:lineRule="exact"/>
        <w:rPr>
          <w:sz w:val="20"/>
          <w:szCs w:val="20"/>
          <w:color w:val="auto"/>
        </w:rPr>
      </w:pPr>
    </w:p>
    <w:p>
      <w:pPr>
        <w:spacing w:after="0"/>
        <w:tabs>
          <w:tab w:leader="none" w:pos="2140" w:val="left"/>
          <w:tab w:leader="none" w:pos="2820" w:val="left"/>
        </w:tabs>
        <w:rPr>
          <w:sz w:val="20"/>
          <w:szCs w:val="20"/>
          <w:color w:val="auto"/>
        </w:rPr>
      </w:pPr>
      <w:r>
        <w:rPr>
          <w:rFonts w:ascii="Courier New" w:cs="Courier New" w:eastAsia="Courier New" w:hAnsi="Courier New"/>
          <w:sz w:val="16"/>
          <w:szCs w:val="16"/>
          <w:color w:val="auto"/>
        </w:rPr>
        <w:t>on the preceding</w:t>
      </w:r>
      <w:r>
        <w:rPr>
          <w:sz w:val="20"/>
          <w:szCs w:val="20"/>
          <w:color w:val="auto"/>
        </w:rPr>
        <w:tab/>
      </w:r>
      <w:r>
        <w:rPr>
          <w:rFonts w:ascii="Courier New" w:cs="Courier New" w:eastAsia="Courier New" w:hAnsi="Courier New"/>
          <w:sz w:val="16"/>
          <w:szCs w:val="16"/>
          <w:color w:val="auto"/>
        </w:rPr>
        <w:t>or</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jc w:val="both"/>
        <w:ind w:right="2799" w:firstLine="293"/>
        <w:spacing w:after="0" w:line="252" w:lineRule="auto"/>
        <w:rPr>
          <w:sz w:val="20"/>
          <w:szCs w:val="20"/>
          <w:color w:val="auto"/>
        </w:rPr>
      </w:pPr>
      <w:r>
        <w:rPr>
          <w:rFonts w:ascii="Courier New" w:cs="Courier New" w:eastAsia="Courier New" w:hAnsi="Courier New"/>
          <w:sz w:val="16"/>
          <w:szCs w:val="16"/>
          <w:color w:val="auto"/>
        </w:rPr>
        <w:t>The defeasance and covenant defeasance provisions of the Senior Indenture apply to the notes.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may redeem the notes at any time in whole or from time to time in part at a redemption price equal to the greater of (1) 100% of the principal amount of the notes being redeemed, and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basis points plus, in each case, accrued interest thereon to the redemption date.</w:t>
      </w:r>
    </w:p>
    <w:p>
      <w:pPr>
        <w:spacing w:after="0" w:line="18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As used herein:</w:t>
      </w:r>
    </w:p>
    <w:p>
      <w:pPr>
        <w:spacing w:after="0" w:line="195" w:lineRule="exact"/>
        <w:rPr>
          <w:sz w:val="20"/>
          <w:szCs w:val="20"/>
          <w:color w:val="auto"/>
        </w:rPr>
      </w:pPr>
    </w:p>
    <w:p>
      <w:pPr>
        <w:ind w:left="200" w:right="2699" w:firstLine="293"/>
        <w:spacing w:after="0" w:line="249" w:lineRule="auto"/>
        <w:rPr>
          <w:sz w:val="20"/>
          <w:szCs w:val="20"/>
          <w:color w:val="auto"/>
        </w:rPr>
      </w:pPr>
      <w:r>
        <w:rPr>
          <w:rFonts w:ascii="Courier New" w:cs="Courier New" w:eastAsia="Courier New" w:hAnsi="Courier New"/>
          <w:sz w:val="16"/>
          <w:szCs w:val="16"/>
          <w:color w:val="auto"/>
        </w:rPr>
        <w:t>"Adjusted Treasury Rate"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7" w:lineRule="exact"/>
        <w:rPr>
          <w:sz w:val="20"/>
          <w:szCs w:val="20"/>
          <w:color w:val="auto"/>
        </w:rPr>
      </w:pPr>
    </w:p>
    <w:p>
      <w:pPr>
        <w:ind w:left="200" w:right="2879" w:firstLine="293"/>
        <w:spacing w:after="0" w:line="249"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"Comparable Treasury Price" means, with respect to any redemption date,</w:t>
      </w:r>
    </w:p>
    <w:p>
      <w:pPr>
        <w:spacing w:after="0" w:line="7" w:lineRule="exact"/>
        <w:rPr>
          <w:sz w:val="20"/>
          <w:szCs w:val="20"/>
          <w:color w:val="auto"/>
        </w:rPr>
      </w:pPr>
    </w:p>
    <w:p>
      <w:pPr>
        <w:ind w:left="200" w:right="2799" w:hanging="4"/>
        <w:spacing w:after="0" w:line="249" w:lineRule="auto"/>
        <w:tabs>
          <w:tab w:leader="none" w:pos="59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"Quotation Agent" means the Reference Treasury Dealer appointed by us.</w:t>
      </w:r>
    </w:p>
    <w:p>
      <w:pPr>
        <w:spacing w:after="0" w:line="195" w:lineRule="exact"/>
        <w:rPr>
          <w:sz w:val="20"/>
          <w:szCs w:val="20"/>
          <w:color w:val="auto"/>
        </w:rPr>
      </w:pPr>
    </w:p>
    <w:p>
      <w:pPr>
        <w:ind w:left="200" w:right="2699" w:firstLine="293"/>
        <w:spacing w:after="0" w:line="249" w:lineRule="auto"/>
        <w:rPr>
          <w:sz w:val="20"/>
          <w:szCs w:val="20"/>
          <w:color w:val="auto"/>
        </w:rPr>
      </w:pPr>
      <w:r>
        <w:rPr>
          <w:rFonts w:ascii="Courier New" w:cs="Courier New" w:eastAsia="Courier New" w:hAnsi="Courier New"/>
          <w:sz w:val="16"/>
          <w:szCs w:val="16"/>
          <w:color w:val="auto"/>
        </w:rPr>
        <w:t>"Reference Treasury Dealer" means (1) each of Goldman, Sachs &amp; Co., J.P. Morgan Securities Inc., First Union Securities, Inc., PNC Capital Markets, Inc. and Warburg Dillon Read LLC and their respective successors; provided, however, that if the foregoing ceases to be a primary U.S. Government securities dealer (a "Primary Treasury Dealer"), we will substitute therefor another Primary Treasury Dealer; and (2) any other Primary Treasury Dealer selected by us.</w:t>
      </w:r>
    </w:p>
    <w:p>
      <w:pPr>
        <w:spacing w:after="0" w:line="187" w:lineRule="exact"/>
        <w:rPr>
          <w:sz w:val="20"/>
          <w:szCs w:val="20"/>
          <w:color w:val="auto"/>
        </w:rPr>
      </w:pPr>
    </w:p>
    <w:p>
      <w:pPr>
        <w:ind w:left="200" w:right="2799" w:firstLine="293"/>
        <w:spacing w:after="0" w:line="249"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95" w:lineRule="exact"/>
        <w:rPr>
          <w:sz w:val="20"/>
          <w:szCs w:val="20"/>
          <w:color w:val="auto"/>
        </w:rPr>
      </w:pPr>
    </w:p>
    <w:p>
      <w:pPr>
        <w:ind w:right="2599" w:firstLine="293"/>
        <w:spacing w:after="0" w:line="250" w:lineRule="auto"/>
        <w:rPr>
          <w:sz w:val="20"/>
          <w:szCs w:val="20"/>
          <w:color w:val="auto"/>
        </w:rPr>
      </w:pPr>
      <w:r>
        <w:rPr>
          <w:rFonts w:ascii="Courier New" w:cs="Courier New" w:eastAsia="Courier New" w:hAnsi="Courier New"/>
          <w:sz w:val="16"/>
          <w:szCs w:val="16"/>
          <w:color w:val="auto"/>
        </w:rPr>
        <w:t>Limitations on Incurrence of Debt. The notes will provide that we will not, and will not permit any subsidiary to, incur any Debt (as defined below) if, immediately after giving effect to the incurrence of such Debt and the</w:t>
      </w:r>
    </w:p>
    <w:p>
      <w:pPr>
        <w:sectPr>
          <w:pgSz w:w="11900" w:h="16859" w:orient="portrait"/>
          <w:cols w:equalWidth="0" w:num="1">
            <w:col w:w="10219"/>
          </w:cols>
          <w:pgMar w:left="240" w:top="680"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application of</w:t>
      </w:r>
    </w:p>
    <w:p>
      <w:pPr>
        <w:spacing w:after="0" w:line="195"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S-21</w:t>
      </w:r>
    </w:p>
    <w:p>
      <w:pPr>
        <w:sectPr>
          <w:pgSz w:w="11900" w:h="16838" w:orient="portrait"/>
          <w:cols w:equalWidth="0" w:num="1">
            <w:col w:w="10219"/>
          </w:cols>
          <w:pgMar w:left="240" w:top="142" w:right="1440" w:bottom="1440" w:gutter="0" w:footer="0" w:header="0"/>
        </w:sectPr>
      </w:pPr>
    </w:p>
    <w:bookmarkStart w:id="29" w:name="page30"/>
    <w:bookmarkEnd w:id="29"/>
    <w:p>
      <w:pPr>
        <w:spacing w:after="0" w:line="1"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proceeds thereof, the aggregate principal amount of all of our outstanding Debt and our subsidiaries on a consolidated basis determined in accordance with generally accepted accounting principles is greater than 65% of the sum of (without duplication) (1) our Total Assets as of the end of the calendar quarter covered in our annual report on Form 10-K or quarterly report on Form 10-Q, as the case may be, most recently filed with the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subsidiary's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our Total Assets; provided that for purposes of this limitation, the amount of obligations under capital leases shown as a liability on our consolidated balance sheet shall be deducted from Debt and from Total Assets.</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In addition to the foregoing limitations on the incurrence of Debt, the notes will provide that we will not and will not permit any subsidiary to, incur any Senior Debt if the ratio of Consolidated Income Available for Senior Debt Service (as defined below) to the Annual Senior Debt Service Charge (as defined below) for the four consecutive fiscal quarters most recently ended prior to the date on which such Senior Debt is to be incurred shall have been less than 1.5 to 1, on an unaudited pro forma basis after giving effect thereto and to the application of the proceeds therefrom, and calculated on the assumption that (1) such Senior Debt and any other Senior Debt incurred by us and our subsidiaries since the first day of such four-quarter period and the application of the proceeds therefrom, including to refinance other Senior Debt, had occurred at the beginning of such period; (2) the repayment or retirement of any other Senior Debt by us and our subsidiaries since the first day of such four-quarter period had been incurred, repaid or retired at the beginning of such period (except that, in making such computation, the amount of Senior Debt under any revolving credit facility shall be computed based upon the average daily balance of such Senior Debt during such period); (3) in the case of Acquired Debt (as defined below) or Senior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Senior Debt had occurred as of the first day of such period with the appropriate adjustments with respect to such acquisition or disposition being included in such unaudited pro forma calculation.</w:t>
      </w:r>
    </w:p>
    <w:p>
      <w:pPr>
        <w:spacing w:after="0" w:line="373" w:lineRule="exact"/>
        <w:rPr>
          <w:sz w:val="20"/>
          <w:szCs w:val="20"/>
          <w:color w:val="auto"/>
        </w:rPr>
      </w:pPr>
    </w:p>
    <w:p>
      <w:pPr>
        <w:ind w:right="2599" w:firstLine="293"/>
        <w:spacing w:after="0" w:line="248" w:lineRule="auto"/>
        <w:rPr>
          <w:sz w:val="20"/>
          <w:szCs w:val="20"/>
          <w:color w:val="auto"/>
        </w:rPr>
      </w:pPr>
      <w:r>
        <w:rPr>
          <w:rFonts w:ascii="Courier New" w:cs="Courier New" w:eastAsia="Courier New" w:hAnsi="Courier New"/>
          <w:sz w:val="16"/>
          <w:szCs w:val="16"/>
          <w:color w:val="auto"/>
        </w:rPr>
        <w:t>Furthermore, the notes also will provide that we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1.3 to 1, on an unaudited pro forma basis after giving effect thereto and to the application of the proceeds therefrom, and calculated on the assumption that (1) such Debt and any other Debt incurred by us and our subsidiaries since the first day of such four- quarter period and the application of the proceeds therefrom, including to refinance other Debt, had occurred at the beginning of such period; (2) the repayment or retirement of any other Debt by us and our subsidiaries since the 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ectPr>
          <w:pgSz w:w="11900" w:h="16839" w:orient="portrait"/>
          <w:cols w:equalWidth="0" w:num="1">
            <w:col w:w="10219"/>
          </w:cols>
          <w:pgMar w:left="240" w:top="680" w:right="1440" w:bottom="0" w:gutter="0" w:footer="0" w:header="0"/>
        </w:sectPr>
      </w:pPr>
    </w:p>
    <w:bookmarkStart w:id="30" w:name="page31"/>
    <w:bookmarkEnd w:id="30"/>
    <w:p>
      <w:pPr>
        <w:ind w:left="2420"/>
        <w:spacing w:after="0"/>
        <w:rPr>
          <w:sz w:val="20"/>
          <w:szCs w:val="20"/>
          <w:color w:val="auto"/>
        </w:rPr>
      </w:pPr>
      <w:r>
        <w:rPr>
          <w:rFonts w:ascii="Courier New" w:cs="Courier New" w:eastAsia="Courier New" w:hAnsi="Courier New"/>
          <w:sz w:val="15"/>
          <w:szCs w:val="15"/>
          <w:color w:val="auto"/>
        </w:rPr>
        <w:t>S-22</w:t>
      </w:r>
    </w:p>
    <w:p>
      <w:pPr>
        <w:sectPr>
          <w:pgSz w:w="11900" w:h="16838" w:orient="portrait"/>
          <w:cols w:equalWidth="0" w:num="1">
            <w:col w:w="9019"/>
          </w:cols>
          <w:pgMar w:left="1440" w:top="330" w:right="1440" w:bottom="1440" w:gutter="0" w:footer="0" w:header="0"/>
        </w:sectPr>
      </w:pPr>
    </w:p>
    <w:bookmarkStart w:id="31" w:name="page32"/>
    <w:bookmarkEnd w:id="31"/>
    <w:p>
      <w:pPr>
        <w:spacing w:after="0" w:line="1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As used herein,</w:t>
      </w:r>
    </w:p>
    <w:p>
      <w:pPr>
        <w:spacing w:after="0" w:line="195" w:lineRule="exact"/>
        <w:rPr>
          <w:sz w:val="20"/>
          <w:szCs w:val="20"/>
          <w:color w:val="auto"/>
        </w:rPr>
      </w:pPr>
    </w:p>
    <w:p>
      <w:pPr>
        <w:ind w:left="4" w:right="2699" w:firstLine="293"/>
        <w:spacing w:after="0" w:line="249" w:lineRule="auto"/>
        <w:rPr>
          <w:sz w:val="20"/>
          <w:szCs w:val="20"/>
          <w:color w:val="auto"/>
        </w:rPr>
      </w:pPr>
      <w:r>
        <w:rPr>
          <w:rFonts w:ascii="Courier New" w:cs="Courier New" w:eastAsia="Courier New" w:hAnsi="Courier New"/>
          <w:sz w:val="16"/>
          <w:szCs w:val="16"/>
          <w:color w:val="auto"/>
        </w:rPr>
        <w:t>"Acquired Debt" means Debt (or Senior Debt, as the case may be) of a Person (1) existing at the time such Person becomes a subsidiary or (2) assumed in connection with the acquisition of assets from such Person, in each case, other than Debt (or Senior Debt, as the case may be)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87" w:lineRule="exact"/>
        <w:rPr>
          <w:sz w:val="20"/>
          <w:szCs w:val="20"/>
          <w:color w:val="auto"/>
        </w:rPr>
      </w:pPr>
    </w:p>
    <w:p>
      <w:pPr>
        <w:ind w:left="4" w:right="2699" w:firstLine="293"/>
        <w:spacing w:after="0" w:line="249" w:lineRule="auto"/>
        <w:rPr>
          <w:sz w:val="20"/>
          <w:szCs w:val="20"/>
          <w:color w:val="auto"/>
        </w:rPr>
      </w:pPr>
      <w:r>
        <w:rPr>
          <w:rFonts w:ascii="Courier New" w:cs="Courier New" w:eastAsia="Courier New" w:hAnsi="Courier New"/>
          <w:sz w:val="16"/>
          <w:szCs w:val="16"/>
          <w:color w:val="auto"/>
        </w:rPr>
        <w:t>"Annual Debt Service Charge" as of any date means the maximum amount which is payable in any period for interest on, and original issue discount of, our and our subsidiaries' Debt and the amount of dividends which are payable in respect of any Disqualified Stock (as defined below).</w:t>
      </w:r>
    </w:p>
    <w:p>
      <w:pPr>
        <w:spacing w:after="0" w:line="188" w:lineRule="exact"/>
        <w:rPr>
          <w:sz w:val="20"/>
          <w:szCs w:val="20"/>
          <w:color w:val="auto"/>
        </w:rPr>
      </w:pPr>
    </w:p>
    <w:p>
      <w:pPr>
        <w:ind w:left="4" w:right="2879" w:firstLine="293"/>
        <w:spacing w:after="0" w:line="250" w:lineRule="auto"/>
        <w:rPr>
          <w:sz w:val="20"/>
          <w:szCs w:val="20"/>
          <w:color w:val="auto"/>
        </w:rPr>
      </w:pPr>
      <w:r>
        <w:rPr>
          <w:rFonts w:ascii="Courier New" w:cs="Courier New" w:eastAsia="Courier New" w:hAnsi="Courier New"/>
          <w:sz w:val="16"/>
          <w:szCs w:val="16"/>
          <w:color w:val="auto"/>
        </w:rPr>
        <w:t>"Annual Senior Debt Service Charge" as of any date means the maximum amount which is payable in any period for interest on, and original issue discount of, our and our subsidiaries' Senior Debt.</w:t>
      </w:r>
    </w:p>
    <w:p>
      <w:pPr>
        <w:spacing w:after="0" w:line="185" w:lineRule="exact"/>
        <w:rPr>
          <w:sz w:val="20"/>
          <w:szCs w:val="20"/>
          <w:color w:val="auto"/>
        </w:rPr>
      </w:pPr>
    </w:p>
    <w:p>
      <w:pPr>
        <w:ind w:left="4" w:right="2799" w:firstLine="293"/>
        <w:spacing w:after="0" w:line="249" w:lineRule="auto"/>
        <w:rPr>
          <w:sz w:val="20"/>
          <w:szCs w:val="20"/>
          <w:color w:val="auto"/>
        </w:rPr>
      </w:pPr>
      <w:r>
        <w:rPr>
          <w:rFonts w:ascii="Courier New" w:cs="Courier New" w:eastAsia="Courier New" w:hAnsi="Courier New"/>
          <w:sz w:val="16"/>
          <w:szCs w:val="16"/>
          <w:color w:val="auto"/>
        </w:rPr>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7" w:lineRule="exact"/>
        <w:rPr>
          <w:sz w:val="20"/>
          <w:szCs w:val="20"/>
          <w:color w:val="auto"/>
        </w:rPr>
      </w:pPr>
    </w:p>
    <w:p>
      <w:pPr>
        <w:ind w:left="4" w:right="2799" w:firstLine="293"/>
        <w:spacing w:after="0" w:line="249" w:lineRule="auto"/>
        <w:rPr>
          <w:sz w:val="20"/>
          <w:szCs w:val="20"/>
          <w:color w:val="auto"/>
        </w:rPr>
      </w:pPr>
      <w:r>
        <w:rPr>
          <w:rFonts w:ascii="Courier New" w:cs="Courier New" w:eastAsia="Courier New" w:hAnsi="Courier New"/>
          <w:sz w:val="16"/>
          <w:szCs w:val="16"/>
          <w:color w:val="auto"/>
        </w:rPr>
        <w:t>"Consolidated Income Available for Debt Service" and "Consolidated Income Available for Senior Debt Service" for any period means our and our subsidiaries' Funds from Operations (as defined below) plus amounts which have been deducted for interest on our and our subsidiaries' Debt.</w:t>
      </w:r>
    </w:p>
    <w:p>
      <w:pPr>
        <w:spacing w:after="0" w:line="188" w:lineRule="exact"/>
        <w:rPr>
          <w:sz w:val="20"/>
          <w:szCs w:val="20"/>
          <w:color w:val="auto"/>
        </w:rPr>
      </w:pPr>
    </w:p>
    <w:p>
      <w:pPr>
        <w:ind w:left="4" w:right="2699" w:firstLine="293"/>
        <w:spacing w:after="0" w:line="248" w:lineRule="auto"/>
        <w:rPr>
          <w:sz w:val="20"/>
          <w:szCs w:val="20"/>
          <w:color w:val="auto"/>
        </w:rPr>
      </w:pPr>
      <w:r>
        <w:rPr>
          <w:rFonts w:ascii="Courier New" w:cs="Courier New" w:eastAsia="Courier New" w:hAnsi="Courier New"/>
          <w:sz w:val="16"/>
          <w:szCs w:val="16"/>
          <w:color w:val="auto"/>
        </w:rPr>
        <w:t>"Debt" means any of our or any of our subsidiaries' indebtedness, whether or not contingent, in respect of (without duplication) (1) borrowed money or evidenced by bonds, notes, debentures or similar instruments, (2) indebtedness secured by any mortgage, pledge, lien, charge, encumbrance or any security interest existing on property owned by us or any subsidiary,</w:t>
      </w:r>
    </w:p>
    <w:p>
      <w:pPr>
        <w:spacing w:after="0" w:line="3" w:lineRule="exact"/>
        <w:rPr>
          <w:sz w:val="20"/>
          <w:szCs w:val="20"/>
          <w:color w:val="auto"/>
        </w:rPr>
      </w:pPr>
    </w:p>
    <w:p>
      <w:pPr>
        <w:ind w:left="4" w:right="2699" w:hanging="4"/>
        <w:spacing w:after="0" w:line="249" w:lineRule="auto"/>
        <w:tabs>
          <w:tab w:leader="none" w:pos="39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has assigned our interest, provided that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86" w:lineRule="exact"/>
        <w:rPr>
          <w:sz w:val="20"/>
          <w:szCs w:val="20"/>
          <w:color w:val="auto"/>
        </w:rPr>
      </w:pPr>
    </w:p>
    <w:p>
      <w:pPr>
        <w:ind w:left="4" w:right="2799" w:firstLine="293"/>
        <w:spacing w:after="0" w:line="248" w:lineRule="auto"/>
        <w:rPr>
          <w:sz w:val="20"/>
          <w:szCs w:val="20"/>
          <w:color w:val="auto"/>
        </w:rPr>
      </w:pPr>
      <w:r>
        <w:rPr>
          <w:rFonts w:ascii="Courier New" w:cs="Courier New" w:eastAsia="Courier New" w:hAnsi="Courier New"/>
          <w:sz w:val="16"/>
          <w:szCs w:val="16"/>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w:t>
      </w:r>
    </w:p>
    <w:p>
      <w:pPr>
        <w:spacing w:after="0" w:line="3" w:lineRule="exact"/>
        <w:rPr>
          <w:sz w:val="20"/>
          <w:szCs w:val="20"/>
          <w:color w:val="auto"/>
        </w:rPr>
      </w:pPr>
    </w:p>
    <w:p>
      <w:pPr>
        <w:ind w:left="4" w:right="2699" w:hanging="4"/>
        <w:spacing w:after="0" w:line="249" w:lineRule="auto"/>
        <w:tabs>
          <w:tab w:leader="none" w:pos="39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87" w:lineRule="exact"/>
        <w:rPr>
          <w:sz w:val="20"/>
          <w:szCs w:val="20"/>
          <w:color w:val="auto"/>
        </w:rPr>
      </w:pPr>
    </w:p>
    <w:p>
      <w:pPr>
        <w:jc w:val="both"/>
        <w:ind w:left="4" w:right="2799" w:firstLine="293"/>
        <w:spacing w:after="0" w:line="252" w:lineRule="auto"/>
        <w:rPr>
          <w:sz w:val="20"/>
          <w:szCs w:val="20"/>
          <w:color w:val="auto"/>
        </w:rPr>
      </w:pPr>
      <w:r>
        <w:rPr>
          <w:rFonts w:ascii="Courier New" w:cs="Courier New" w:eastAsia="Courier New" w:hAnsi="Courier New"/>
          <w:sz w:val="16"/>
          <w:szCs w:val="16"/>
          <w:color w:val="auto"/>
        </w:rPr>
        <w:t>"Funds from Operations" for any period means income before depreciation and amortization and extraordinary items less gain on sale of real estate.</w:t>
      </w:r>
    </w:p>
    <w:p>
      <w:pPr>
        <w:spacing w:after="0" w:line="183" w:lineRule="exact"/>
        <w:rPr>
          <w:sz w:val="20"/>
          <w:szCs w:val="20"/>
          <w:color w:val="auto"/>
        </w:rPr>
      </w:pPr>
    </w:p>
    <w:p>
      <w:pPr>
        <w:ind w:left="4" w:right="2699" w:firstLine="293"/>
        <w:spacing w:after="0" w:line="252" w:lineRule="auto"/>
        <w:rPr>
          <w:sz w:val="20"/>
          <w:szCs w:val="20"/>
          <w:color w:val="auto"/>
        </w:rPr>
      </w:pPr>
      <w:r>
        <w:rPr>
          <w:rFonts w:ascii="Courier New" w:cs="Courier New" w:eastAsia="Courier New" w:hAnsi="Courier New"/>
          <w:sz w:val="16"/>
          <w:szCs w:val="16"/>
          <w:color w:val="auto"/>
        </w:rPr>
        <w:t>"Senior Debt" means Debt other than subordinated Debt and payments under our Disqualified Stock.</w:t>
      </w:r>
    </w:p>
    <w:p>
      <w:pPr>
        <w:spacing w:after="0" w:line="183" w:lineRule="exact"/>
        <w:rPr>
          <w:sz w:val="20"/>
          <w:szCs w:val="20"/>
          <w:color w:val="auto"/>
        </w:rPr>
      </w:pPr>
    </w:p>
    <w:p>
      <w:pPr>
        <w:ind w:left="4" w:right="2699" w:firstLine="293"/>
        <w:spacing w:after="0" w:line="250" w:lineRule="auto"/>
        <w:rPr>
          <w:sz w:val="20"/>
          <w:szCs w:val="20"/>
          <w:color w:val="auto"/>
        </w:rPr>
      </w:pPr>
      <w:r>
        <w:rPr>
          <w:rFonts w:ascii="Courier New" w:cs="Courier New" w:eastAsia="Courier New" w:hAnsi="Courier New"/>
          <w:sz w:val="16"/>
          <w:szCs w:val="16"/>
          <w:color w:val="auto"/>
        </w:rPr>
        <w:t>"Total Assets" as of any date means the sum of (1) our Undepreciated Real Estate Assets and (2) all of our other assets determined in accordance with generally accepted accounting principles (but excluding goodwill).</w:t>
      </w:r>
    </w:p>
    <w:p>
      <w:pPr>
        <w:spacing w:after="0" w:line="185" w:lineRule="exact"/>
        <w:rPr>
          <w:sz w:val="20"/>
          <w:szCs w:val="20"/>
          <w:color w:val="auto"/>
        </w:rPr>
      </w:pPr>
    </w:p>
    <w:p>
      <w:pPr>
        <w:ind w:left="4" w:right="2699" w:firstLine="293"/>
        <w:spacing w:after="0" w:line="249" w:lineRule="auto"/>
        <w:rPr>
          <w:sz w:val="20"/>
          <w:szCs w:val="20"/>
          <w:color w:val="auto"/>
        </w:rPr>
      </w:pPr>
      <w:r>
        <w:rPr>
          <w:rFonts w:ascii="Courier New" w:cs="Courier New" w:eastAsia="Courier New" w:hAnsi="Courier New"/>
          <w:sz w:val="16"/>
          <w:szCs w:val="16"/>
          <w:color w:val="auto"/>
        </w:rPr>
        <w:t>"Undepreciated Real Estate Assets" as of any date means the cost (original cost plus capital improvements) of our and our subsidiaries' real estate assets on such date, before depreciation and amortization determined on a consolidated basis in accordance with generally accepted accounting</w:t>
      </w:r>
    </w:p>
    <w:p>
      <w:pPr>
        <w:sectPr>
          <w:pgSz w:w="11900" w:h="16857" w:orient="portrait"/>
          <w:cols w:equalWidth="0" w:num="1">
            <w:col w:w="10023"/>
          </w:cols>
          <w:pgMar w:left="436" w:top="680" w:right="1440" w:bottom="0" w:gutter="0" w:footer="0" w:header="0"/>
        </w:sectPr>
      </w:pPr>
    </w:p>
    <w:bookmarkStart w:id="32" w:name="page33"/>
    <w:bookmarkEnd w:id="32"/>
    <w:p>
      <w:pPr>
        <w:ind w:left="200"/>
        <w:spacing w:after="0"/>
        <w:rPr>
          <w:sz w:val="20"/>
          <w:szCs w:val="20"/>
          <w:color w:val="auto"/>
        </w:rPr>
      </w:pPr>
      <w:r>
        <w:rPr>
          <w:rFonts w:ascii="Courier New" w:cs="Courier New" w:eastAsia="Courier New" w:hAnsi="Courier New"/>
          <w:sz w:val="16"/>
          <w:szCs w:val="16"/>
          <w:color w:val="auto"/>
        </w:rPr>
        <w:t>principles.</w:t>
      </w:r>
    </w:p>
    <w:p>
      <w:pPr>
        <w:spacing w:after="0" w:line="195" w:lineRule="exact"/>
        <w:rPr>
          <w:sz w:val="20"/>
          <w:szCs w:val="20"/>
          <w:color w:val="auto"/>
        </w:rPr>
      </w:pPr>
    </w:p>
    <w:p>
      <w:pPr>
        <w:ind w:right="2599" w:firstLine="293"/>
        <w:spacing w:after="0" w:line="252" w:lineRule="auto"/>
        <w:rPr>
          <w:sz w:val="20"/>
          <w:szCs w:val="20"/>
          <w:color w:val="auto"/>
        </w:rPr>
      </w:pPr>
      <w:r>
        <w:rPr>
          <w:rFonts w:ascii="Courier New" w:cs="Courier New" w:eastAsia="Courier New" w:hAnsi="Courier New"/>
          <w:sz w:val="16"/>
          <w:szCs w:val="16"/>
          <w:color w:val="auto"/>
        </w:rPr>
        <w:t>See "Description of Debt Securities--Certain Covenants" in the accompanying prospectus for a description of additional covenants applicable to us.</w:t>
      </w:r>
    </w:p>
    <w:p>
      <w:pPr>
        <w:spacing w:after="0" w:line="37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S-23</w:t>
      </w:r>
    </w:p>
    <w:p>
      <w:pPr>
        <w:sectPr>
          <w:pgSz w:w="11900" w:h="16838" w:orient="portrait"/>
          <w:cols w:equalWidth="0" w:num="1">
            <w:col w:w="10219"/>
          </w:cols>
          <w:pgMar w:left="240" w:top="142" w:right="1440" w:bottom="1440" w:gutter="0" w:footer="0" w:header="0"/>
        </w:sectPr>
      </w:pPr>
    </w:p>
    <w:bookmarkStart w:id="33" w:name="page34"/>
    <w:bookmarkEnd w:id="33"/>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Form</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We have established a depositary arrangement with The Depository Trust Company with respect to the notes, the terms of which are summarized below. Upon issuance, the notes will be represented by a single Global Security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37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So long as the Depositary or its nominee is the registered owner of a Global Security, the Depositary or its nominee, as the case may be, will be the sole Holder of the notes for all purposes under the Senior Indenture. Except as otherwise provided in this section, the Beneficial Owners of the Global Security or Securities representing the notes will not be entitled to receive physical delivery of Certificated notes and will not be considered the Holders thereof for any purpose under the Senior Indenture, and no Global Security representing the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Senior Indenture. The laws of some jurisdictions require that certain purchasers of securities take physical delivery of such securities in certificated form. Such limits and such laws may impair the ability to transfer beneficial interests in a Global Security representing the notes.</w:t>
      </w:r>
    </w:p>
    <w:p>
      <w:pPr>
        <w:spacing w:after="0" w:line="374"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Securities or the Depositary ceases to be a clearing agency registered under the Exchange Act (if so required by applicable law or regulation) and, in each case, a successor Depositary is not appointed by us within 90 days after we receive such notice or becomes aware of such unwillingness, inability or ineligibility, (2) we, in our discretion, determine that the Global Security shall be exchangeable for Certificated Notes or (3) there shall have occurred and be continuing an Event of Default under the Senior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or Securities representing the notes, which names shall be provided by the Depositary's relevant Participants (as identified by the Depositary) to the Securities Registrar.</w:t>
      </w:r>
    </w:p>
    <w:p>
      <w:pPr>
        <w:spacing w:after="0" w:line="186"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(including the Agents),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Commission.</w:t>
      </w:r>
    </w:p>
    <w:p>
      <w:pPr>
        <w:spacing w:after="0" w:line="186"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Participants' and Indirect Participants' records. Beneficial Owners will not receive written confirmation from the Depositary of</w:t>
      </w:r>
    </w:p>
    <w:p>
      <w:pPr>
        <w:sectPr>
          <w:pgSz w:w="11900" w:h="16857" w:orient="portrait"/>
          <w:cols w:equalWidth="0" w:num="1">
            <w:col w:w="10219"/>
          </w:cols>
          <w:pgMar w:left="240" w:top="680" w:right="1440" w:bottom="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their purchase, but</w:t>
      </w:r>
    </w:p>
    <w:p>
      <w:pPr>
        <w:spacing w:after="0" w:line="195" w:lineRule="exact"/>
        <w:rPr>
          <w:sz w:val="20"/>
          <w:szCs w:val="20"/>
          <w:color w:val="auto"/>
        </w:rPr>
      </w:pPr>
    </w:p>
    <w:p>
      <w:pPr>
        <w:jc w:val="right"/>
        <w:ind w:right="6219"/>
        <w:spacing w:after="0"/>
        <w:rPr>
          <w:sz w:val="20"/>
          <w:szCs w:val="20"/>
          <w:color w:val="auto"/>
        </w:rPr>
      </w:pPr>
      <w:r>
        <w:rPr>
          <w:rFonts w:ascii="Courier New" w:cs="Courier New" w:eastAsia="Courier New" w:hAnsi="Courier New"/>
          <w:sz w:val="16"/>
          <w:szCs w:val="16"/>
          <w:color w:val="auto"/>
        </w:rPr>
        <w:t>S-24</w:t>
      </w:r>
    </w:p>
    <w:p>
      <w:pPr>
        <w:sectPr>
          <w:pgSz w:w="11900" w:h="16838" w:orient="portrait"/>
          <w:cols w:equalWidth="0" w:num="1">
            <w:col w:w="10219"/>
          </w:cols>
          <w:pgMar w:left="240" w:top="142" w:right="1440" w:bottom="1440" w:gutter="0" w:footer="0" w:header="0"/>
        </w:sectPr>
      </w:pPr>
    </w:p>
    <w:bookmarkStart w:id="35" w:name="page36"/>
    <w:bookmarkEnd w:id="35"/>
    <w:p>
      <w:pPr>
        <w:spacing w:after="0" w:line="20"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37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To facilitate subsequent transfers, the Global Security representing the notes which are deposited with, or on behalf of, the Depositary are registered in the name of the Depositary's partnership nominee, Cede &amp; Co. The deposit of the Global Security with, or on behalf of, the Depositary and their registration in the name of Cede &amp; Co. effect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7"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7"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186"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If applicable, redemption notices shall be sent to Cede &amp; Co. If less than all of the notes within an issue are being redeemed, the Depositary's practice is to determine by lot the amount of the interest of each Direct Participant in such issue to be redeemed.</w:t>
      </w:r>
    </w:p>
    <w:p>
      <w:pPr>
        <w:spacing w:after="0" w:line="188"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Depositary may discontinue providing its services as securities depository with respect to the notes at any time by giving reasonable notice to us or the Trustee.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8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FEDERAL INCOME TAX CONSIDERATIONS</w:t>
      </w:r>
    </w:p>
    <w:p>
      <w:pPr>
        <w:spacing w:after="0" w:line="195"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Proposed changes to REIT qualification requirements. Two legislative proposals, one made by the Clinton Administration and the other passed by Congress, but vetoed by the President, sought to change some of the requirements that a REIT must meet in order to qualify as a REIT. The Clinton Administration's fiscal year 2000 budget proposal, announced February 1, 1999, includes a proposal that would change the 10% voting securities test to a 10% vote or value test. Under the proposal, a REIT would not be able to own more than 10% of the vote or value of the outstanding securities of any corporation, except for a qualified REIT subsidiary or another REIT. The proposal also contains an exception to the 5% and 10% asset tests that would allow a REIT to have "taxable REIT subsidiaries," including both "qualified independent contractor subsidiaries," which could perform noncustomary and other currently prohibited services for tenants and other customers, and "qualified business subsidiaries," which could undertake third-party management and development activities as well as other non-real estate related activities. Under the proposal, no more</w:t>
      </w:r>
    </w:p>
    <w:p>
      <w:pPr>
        <w:sectPr>
          <w:pgSz w:w="11900" w:h="16858" w:orient="portrait"/>
          <w:cols w:equalWidth="0" w:num="1">
            <w:col w:w="10219"/>
          </w:cols>
          <w:pgMar w:left="240" w:top="680" w:right="1440" w:bottom="0" w:gutter="0" w:footer="0" w:header="0"/>
        </w:sectPr>
      </w:pPr>
    </w:p>
    <w:bookmarkStart w:id="36" w:name="page37"/>
    <w:bookmarkEnd w:id="36"/>
    <w:p>
      <w:pPr>
        <w:ind w:left="2420"/>
        <w:spacing w:after="0"/>
        <w:rPr>
          <w:sz w:val="20"/>
          <w:szCs w:val="20"/>
          <w:color w:val="auto"/>
        </w:rPr>
      </w:pPr>
      <w:r>
        <w:rPr>
          <w:rFonts w:ascii="Courier New" w:cs="Courier New" w:eastAsia="Courier New" w:hAnsi="Courier New"/>
          <w:sz w:val="15"/>
          <w:szCs w:val="15"/>
          <w:color w:val="auto"/>
        </w:rPr>
        <w:t>S-25</w:t>
      </w:r>
    </w:p>
    <w:p>
      <w:pPr>
        <w:sectPr>
          <w:pgSz w:w="11900" w:h="16838" w:orient="portrait"/>
          <w:cols w:equalWidth="0" w:num="1">
            <w:col w:w="9019"/>
          </w:cols>
          <w:pgMar w:left="1440" w:top="330" w:right="1440" w:bottom="1440" w:gutter="0" w:footer="0" w:header="0"/>
        </w:sectPr>
      </w:pPr>
    </w:p>
    <w:bookmarkStart w:id="37" w:name="page38"/>
    <w:bookmarkEnd w:id="37"/>
    <w:p>
      <w:pPr>
        <w:ind w:right="2599"/>
        <w:spacing w:after="0" w:line="249" w:lineRule="auto"/>
        <w:rPr>
          <w:sz w:val="20"/>
          <w:szCs w:val="20"/>
          <w:color w:val="auto"/>
        </w:rPr>
      </w:pPr>
      <w:r>
        <w:rPr>
          <w:rFonts w:ascii="Courier New" w:cs="Courier New" w:eastAsia="Courier New" w:hAnsi="Courier New"/>
          <w:sz w:val="16"/>
          <w:szCs w:val="16"/>
          <w:color w:val="auto"/>
        </w:rPr>
        <w:t>than 15% of a REIT's total assets could consist of taxable REIT subsidiaries and no more than 5% of a REIT's total assets could consist of qualified independent contractor subsidiaries. Under the budget proposal, a taxable REIT subsidiary would not be entitled to deduct any interest on debt funded directly or indirectly by the REIT. This proposal would be effective after the date of enactment and a REIT would be allowed to combine and convert existing corporate subsidiaries into taxable REIT subsidiaries tax-free prior to a certain date. A transition period would allow for conversion of existing corporate subsidiaries before the 10% vote or value test would become effective. For the REIT's taxable years after the effective date of the proposal and after any applicable transition period, the 10% vote or value test would apply to the REIT's ownership in any of the non-controlled subsidiaries that are not converted into taxable REIT subsidiaries.</w:t>
      </w:r>
    </w:p>
    <w:p>
      <w:pPr>
        <w:spacing w:after="0" w:line="187"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Currently, legislative proposals containing provisions regarding REITs are before Congress. The REIT provisions are substantially the same as those contained in the Financial Freedom Act of 1999, which was passed by Congress, but later vetoed by the President. The Financial Freedom Act contained provisions relating to REITs that were similar to the administration's REIT proposal in several respects. Like the administration's proposal, the bill would have created "taxable REIT subsidiaries" that would not have been subject to the 5% asset test, but that would have been subject to the 25% asset test. The "taxable REIT subsidiaries" would also have been subject to "earnings stripping" limitations on the deductibility of interest. Under the Financial Freedom Act, a REIT would have been able to rent up to 10% of a property to a taxable REIT subsidiary and generally have the rent qualify as good income. The Financial Freedom Act would also have changed the 10% voting securities test to a 10% vote or value test unless the corporation elected to be a taxable REIT subsidiary or the "grandfather rule" applied. In general, the "grandfather rule" would have applied to securities of a corporation in which the REIT owned an interest as of a specific date prior to the enactment of the new vote or value test (such as the non-controlled subsidiaries). Securities of a corporation would lose their "grandfathered" status if the corporation acquired any substantial asset or engaged in a substantial new line of business after a specified date (other than pursuant to a binding contract in effect on that date).</w:t>
      </w:r>
    </w:p>
    <w:p>
      <w:pPr>
        <w:spacing w:after="0" w:line="186"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It is presently uncertain whether any proposal regarding REITs will be enacted or, if enacted, what the terms, including the effective date, of such proposal will be. We have made no decision at this time with regard to any actions we might take if any legislative proposal regarding REITs were to be enacted in the future.</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S-26</w:t>
      </w:r>
    </w:p>
    <w:p>
      <w:pPr>
        <w:sectPr>
          <w:pgSz w:w="11900" w:h="16838" w:orient="portrait"/>
          <w:cols w:equalWidth="0" w:num="1">
            <w:col w:w="10219"/>
          </w:cols>
          <w:pgMar w:left="240" w:top="680" w:right="1440" w:bottom="1440" w:gutter="0" w:footer="0" w:header="0"/>
        </w:sectPr>
      </w:pPr>
    </w:p>
    <w:bookmarkStart w:id="38" w:name="page39"/>
    <w:bookmarkEnd w:id="38"/>
    <w:p>
      <w:pPr>
        <w:spacing w:after="0" w:line="23"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UNDERWRITING</w:t>
      </w:r>
    </w:p>
    <w:p>
      <w:pPr>
        <w:spacing w:after="0" w:line="195" w:lineRule="exact"/>
        <w:rPr>
          <w:sz w:val="20"/>
          <w:szCs w:val="20"/>
          <w:color w:val="auto"/>
        </w:rPr>
      </w:pPr>
    </w:p>
    <w:p>
      <w:pPr>
        <w:ind w:right="2699" w:firstLine="293"/>
        <w:spacing w:after="0" w:line="249" w:lineRule="auto"/>
        <w:rPr>
          <w:sz w:val="20"/>
          <w:szCs w:val="20"/>
          <w:color w:val="auto"/>
        </w:rPr>
      </w:pPr>
      <w:r>
        <w:rPr>
          <w:rFonts w:ascii="Courier New" w:cs="Courier New" w:eastAsia="Courier New" w:hAnsi="Courier New"/>
          <w:sz w:val="16"/>
          <w:szCs w:val="16"/>
          <w:color w:val="auto"/>
        </w:rPr>
        <w:t>Subject to the terms and conditions set forth in an underwriting agreement among Goldman, Sachs &amp; Co., J.P. Morgan Securities Inc., First Union Securities, Inc., PNC Capital Markets, Inc. and Warburg Dillon Read LLC, as underwriters, and us, we have agreed to sell to the underwriters, and the underwriters have severally agreed to purchase, the principal amounts of the notes set forth opposite their respective names below.</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5"/>
                <w:szCs w:val="15"/>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Principal</w:t>
            </w:r>
          </w:p>
        </w:tc>
      </w:tr>
      <w:tr>
        <w:trPr>
          <w:trHeight w:val="188"/>
        </w:trPr>
        <w:tc>
          <w:tcPr>
            <w:tcW w:w="680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amount of</w:t>
            </w:r>
          </w:p>
        </w:tc>
      </w:tr>
      <w:tr>
        <w:trPr>
          <w:trHeight w:val="188"/>
        </w:trPr>
        <w:tc>
          <w:tcPr>
            <w:tcW w:w="6800" w:type="dxa"/>
            <w:vAlign w:val="bottom"/>
          </w:tcPr>
          <w:p>
            <w:pPr>
              <w:spacing w:after="0"/>
              <w:rPr>
                <w:sz w:val="20"/>
                <w:szCs w:val="20"/>
                <w:color w:val="auto"/>
              </w:rPr>
            </w:pPr>
            <w:r>
              <w:rPr>
                <w:rFonts w:ascii="Courier New" w:cs="Courier New" w:eastAsia="Courier New" w:hAnsi="Courier New"/>
                <w:sz w:val="16"/>
                <w:szCs w:val="16"/>
                <w:color w:val="auto"/>
              </w:rPr>
              <w:t>Underwriter</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notes</w:t>
            </w:r>
          </w:p>
        </w:tc>
      </w:tr>
      <w:tr>
        <w:trPr>
          <w:trHeight w:val="188"/>
        </w:trPr>
        <w:tc>
          <w:tcPr>
            <w:tcW w:w="68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6800" w:type="dxa"/>
            <w:vAlign w:val="bottom"/>
          </w:tcPr>
          <w:p>
            <w:pPr>
              <w:spacing w:after="0"/>
              <w:rPr>
                <w:sz w:val="20"/>
                <w:szCs w:val="20"/>
                <w:color w:val="auto"/>
              </w:rPr>
            </w:pPr>
            <w:r>
              <w:rPr>
                <w:rFonts w:ascii="Courier New" w:cs="Courier New" w:eastAsia="Courier New" w:hAnsi="Courier New"/>
                <w:sz w:val="16"/>
                <w:szCs w:val="16"/>
                <w:color w:val="auto"/>
              </w:rPr>
              <w:t>Goldman, Sachs &amp; Co. ................................................</w:t>
            </w:r>
          </w:p>
        </w:tc>
        <w:tc>
          <w:tcPr>
            <w:tcW w:w="11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0" w:type="dxa"/>
            <w:vAlign w:val="bottom"/>
          </w:tcPr>
          <w:p>
            <w:pPr>
              <w:spacing w:after="0"/>
              <w:rPr>
                <w:sz w:val="20"/>
                <w:szCs w:val="20"/>
                <w:color w:val="auto"/>
              </w:rPr>
            </w:pPr>
            <w:r>
              <w:rPr>
                <w:rFonts w:ascii="Courier New" w:cs="Courier New" w:eastAsia="Courier New" w:hAnsi="Courier New"/>
                <w:sz w:val="16"/>
                <w:szCs w:val="16"/>
                <w:color w:val="auto"/>
              </w:rPr>
              <w:t>J.P. Morgan Securities Inc. .........................................</w:t>
            </w:r>
          </w:p>
        </w:tc>
        <w:tc>
          <w:tcPr>
            <w:tcW w:w="1120" w:type="dxa"/>
            <w:vAlign w:val="bottom"/>
          </w:tcPr>
          <w:p>
            <w:pPr>
              <w:spacing w:after="0"/>
              <w:rPr>
                <w:sz w:val="16"/>
                <w:szCs w:val="16"/>
                <w:color w:val="auto"/>
              </w:rPr>
            </w:pPr>
          </w:p>
        </w:tc>
      </w:tr>
      <w:tr>
        <w:trPr>
          <w:trHeight w:val="188"/>
        </w:trPr>
        <w:tc>
          <w:tcPr>
            <w:tcW w:w="6800" w:type="dxa"/>
            <w:vAlign w:val="bottom"/>
          </w:tcPr>
          <w:p>
            <w:pPr>
              <w:spacing w:after="0"/>
              <w:rPr>
                <w:sz w:val="20"/>
                <w:szCs w:val="20"/>
                <w:color w:val="auto"/>
              </w:rPr>
            </w:pPr>
            <w:r>
              <w:rPr>
                <w:rFonts w:ascii="Courier New" w:cs="Courier New" w:eastAsia="Courier New" w:hAnsi="Courier New"/>
                <w:sz w:val="16"/>
                <w:szCs w:val="16"/>
                <w:color w:val="auto"/>
              </w:rPr>
              <w:t>First Union Securities, Inc. ........................................</w:t>
            </w:r>
          </w:p>
        </w:tc>
        <w:tc>
          <w:tcPr>
            <w:tcW w:w="1120" w:type="dxa"/>
            <w:vAlign w:val="bottom"/>
          </w:tcPr>
          <w:p>
            <w:pPr>
              <w:spacing w:after="0"/>
              <w:rPr>
                <w:sz w:val="16"/>
                <w:szCs w:val="16"/>
                <w:color w:val="auto"/>
              </w:rPr>
            </w:pPr>
          </w:p>
        </w:tc>
      </w:tr>
      <w:tr>
        <w:trPr>
          <w:trHeight w:val="188"/>
        </w:trPr>
        <w:tc>
          <w:tcPr>
            <w:tcW w:w="6800" w:type="dxa"/>
            <w:vAlign w:val="bottom"/>
          </w:tcPr>
          <w:p>
            <w:pPr>
              <w:spacing w:after="0"/>
              <w:rPr>
                <w:sz w:val="20"/>
                <w:szCs w:val="20"/>
                <w:color w:val="auto"/>
              </w:rPr>
            </w:pPr>
            <w:r>
              <w:rPr>
                <w:rFonts w:ascii="Courier New" w:cs="Courier New" w:eastAsia="Courier New" w:hAnsi="Courier New"/>
                <w:sz w:val="16"/>
                <w:szCs w:val="16"/>
                <w:color w:val="auto"/>
              </w:rPr>
              <w:t>PNC Capital Markets, Inc. ...........................................</w:t>
            </w:r>
          </w:p>
        </w:tc>
        <w:tc>
          <w:tcPr>
            <w:tcW w:w="1120" w:type="dxa"/>
            <w:vAlign w:val="bottom"/>
          </w:tcPr>
          <w:p>
            <w:pPr>
              <w:spacing w:after="0"/>
              <w:rPr>
                <w:sz w:val="16"/>
                <w:szCs w:val="16"/>
                <w:color w:val="auto"/>
              </w:rPr>
            </w:pPr>
          </w:p>
        </w:tc>
      </w:tr>
      <w:tr>
        <w:trPr>
          <w:trHeight w:val="188"/>
        </w:trPr>
        <w:tc>
          <w:tcPr>
            <w:tcW w:w="6800" w:type="dxa"/>
            <w:vAlign w:val="bottom"/>
          </w:tcPr>
          <w:p>
            <w:pPr>
              <w:spacing w:after="0"/>
              <w:rPr>
                <w:sz w:val="20"/>
                <w:szCs w:val="20"/>
                <w:color w:val="auto"/>
              </w:rPr>
            </w:pPr>
            <w:r>
              <w:rPr>
                <w:rFonts w:ascii="Courier New" w:cs="Courier New" w:eastAsia="Courier New" w:hAnsi="Courier New"/>
                <w:sz w:val="16"/>
                <w:szCs w:val="16"/>
                <w:color w:val="auto"/>
              </w:rPr>
              <w:t>Warburg Dillon Read LLC..............................................</w:t>
            </w:r>
          </w:p>
        </w:tc>
        <w:tc>
          <w:tcPr>
            <w:tcW w:w="1120" w:type="dxa"/>
            <w:vAlign w:val="bottom"/>
          </w:tcPr>
          <w:p>
            <w:pPr>
              <w:spacing w:after="0"/>
              <w:rPr>
                <w:sz w:val="16"/>
                <w:szCs w:val="16"/>
                <w:color w:val="auto"/>
              </w:rPr>
            </w:pPr>
          </w:p>
        </w:tc>
      </w:tr>
      <w:tr>
        <w:trPr>
          <w:trHeight w:val="376"/>
        </w:trPr>
        <w:tc>
          <w:tcPr>
            <w:tcW w:w="6800" w:type="dxa"/>
            <w:vAlign w:val="bottom"/>
          </w:tcPr>
          <w:p>
            <w:pPr>
              <w:spacing w:after="0"/>
              <w:rPr>
                <w:sz w:val="24"/>
                <w:szCs w:val="24"/>
                <w:color w:val="auto"/>
              </w:rPr>
            </w:pPr>
          </w:p>
        </w:tc>
        <w:tc>
          <w:tcPr>
            <w:tcW w:w="11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w:t>
            </w:r>
          </w:p>
        </w:tc>
      </w:tr>
      <w:tr>
        <w:trPr>
          <w:trHeight w:val="376"/>
        </w:trPr>
        <w:tc>
          <w:tcPr>
            <w:tcW w:w="6800" w:type="dxa"/>
            <w:vAlign w:val="bottom"/>
          </w:tcPr>
          <w:p>
            <w:pPr>
              <w:ind w:left="200"/>
              <w:spacing w:after="0"/>
              <w:rPr>
                <w:sz w:val="20"/>
                <w:szCs w:val="20"/>
                <w:color w:val="auto"/>
              </w:rPr>
            </w:pPr>
            <w:r>
              <w:rPr>
                <w:rFonts w:ascii="Courier New" w:cs="Courier New" w:eastAsia="Courier New" w:hAnsi="Courier New"/>
                <w:sz w:val="16"/>
                <w:szCs w:val="16"/>
                <w:color w:val="auto"/>
              </w:rPr>
              <w:t>Total..............................................................</w:t>
            </w:r>
          </w:p>
        </w:tc>
        <w:tc>
          <w:tcPr>
            <w:tcW w:w="11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w:t>
            </w:r>
          </w:p>
        </w:tc>
      </w:tr>
      <w:tr>
        <w:trPr>
          <w:trHeight w:val="376"/>
        </w:trPr>
        <w:tc>
          <w:tcPr>
            <w:tcW w:w="6800" w:type="dxa"/>
            <w:vAlign w:val="bottom"/>
          </w:tcPr>
          <w:p>
            <w:pPr>
              <w:spacing w:after="0"/>
              <w:rPr>
                <w:sz w:val="24"/>
                <w:szCs w:val="24"/>
                <w:color w:val="auto"/>
              </w:rPr>
            </w:pPr>
          </w:p>
        </w:tc>
        <w:tc>
          <w:tcPr>
            <w:tcW w:w="11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right="2979" w:firstLine="293"/>
        <w:spacing w:after="0" w:line="250" w:lineRule="auto"/>
        <w:rPr>
          <w:sz w:val="20"/>
          <w:szCs w:val="20"/>
          <w:color w:val="auto"/>
        </w:rPr>
      </w:pPr>
      <w:r>
        <w:rPr>
          <w:rFonts w:ascii="Courier New" w:cs="Courier New" w:eastAsia="Courier New" w:hAnsi="Courier New"/>
          <w:sz w:val="16"/>
          <w:szCs w:val="16"/>
          <w:color w:val="auto"/>
        </w:rPr>
        <w:t>Under the terms and conditions of the underwriting agreement, if the underwriters take any of the notes, then the underwriters are obligated to take and pay for all of the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ind w:left="300"/>
              <w:spacing w:after="0"/>
              <w:rPr>
                <w:sz w:val="20"/>
                <w:szCs w:val="20"/>
                <w:color w:val="auto"/>
              </w:rPr>
            </w:pPr>
            <w:r>
              <w:rPr>
                <w:rFonts w:ascii="Courier New" w:cs="Courier New" w:eastAsia="Courier New" w:hAnsi="Courier New"/>
                <w:sz w:val="16"/>
                <w:szCs w:val="16"/>
                <w:color w:val="auto"/>
              </w:rPr>
              <w:t>The notes</w:t>
            </w:r>
          </w:p>
        </w:tc>
        <w:tc>
          <w:tcPr>
            <w:tcW w:w="9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are a new</w:t>
            </w:r>
          </w:p>
        </w:tc>
        <w:tc>
          <w:tcPr>
            <w:tcW w:w="532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issue of securities with no established trading market</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and will not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be</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listed</w:t>
            </w:r>
          </w:p>
        </w:tc>
        <w:tc>
          <w:tcPr>
            <w:tcW w:w="300" w:type="dxa"/>
            <w:vAlign w:val="bottom"/>
          </w:tcPr>
          <w:p>
            <w:pPr>
              <w:ind w:left="40"/>
              <w:spacing w:after="0"/>
              <w:rPr>
                <w:sz w:val="20"/>
                <w:szCs w:val="20"/>
                <w:color w:val="auto"/>
              </w:rPr>
            </w:pPr>
            <w:r>
              <w:rPr>
                <w:rFonts w:ascii="Courier New" w:cs="Courier New" w:eastAsia="Courier New" w:hAnsi="Courier New"/>
                <w:sz w:val="16"/>
                <w:szCs w:val="16"/>
                <w:color w:val="auto"/>
              </w:rPr>
              <w:t>on</w:t>
            </w:r>
          </w:p>
        </w:tc>
        <w:tc>
          <w:tcPr>
            <w:tcW w:w="1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any national</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securities</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exchange. The</w:t>
            </w:r>
          </w:p>
        </w:tc>
        <w:tc>
          <w:tcPr>
            <w:tcW w:w="1320" w:type="dxa"/>
            <w:vAlign w:val="bottom"/>
          </w:tcPr>
          <w:p>
            <w:pPr>
              <w:ind w:left="60"/>
              <w:spacing w:after="0"/>
              <w:rPr>
                <w:sz w:val="20"/>
                <w:szCs w:val="20"/>
                <w:color w:val="auto"/>
              </w:rPr>
            </w:pPr>
            <w:r>
              <w:rPr>
                <w:rFonts w:ascii="Courier New" w:cs="Courier New" w:eastAsia="Courier New" w:hAnsi="Courier New"/>
                <w:sz w:val="16"/>
                <w:szCs w:val="16"/>
                <w:color w:val="auto"/>
              </w:rPr>
              <w:t>underwriters</w:t>
            </w:r>
          </w:p>
        </w:tc>
      </w:tr>
      <w:tr>
        <w:trPr>
          <w:trHeight w:val="188"/>
        </w:trPr>
        <w:tc>
          <w:tcPr>
            <w:tcW w:w="1220" w:type="dxa"/>
            <w:vAlign w:val="bottom"/>
          </w:tcPr>
          <w:p>
            <w:pPr>
              <w:spacing w:after="0"/>
              <w:rPr>
                <w:sz w:val="20"/>
                <w:szCs w:val="20"/>
                <w:color w:val="auto"/>
              </w:rPr>
            </w:pPr>
            <w:r>
              <w:rPr>
                <w:rFonts w:ascii="Courier New" w:cs="Courier New" w:eastAsia="Courier New" w:hAnsi="Courier New"/>
                <w:sz w:val="16"/>
                <w:szCs w:val="16"/>
                <w:color w:val="auto"/>
              </w:rPr>
              <w:t>have advised</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us</w:t>
            </w:r>
          </w:p>
        </w:tc>
        <w:tc>
          <w:tcPr>
            <w:tcW w:w="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that they</w:t>
            </w:r>
          </w:p>
        </w:tc>
        <w:tc>
          <w:tcPr>
            <w:tcW w:w="23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intend to make a market</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in the notes,</w:t>
            </w:r>
          </w:p>
        </w:tc>
        <w:tc>
          <w:tcPr>
            <w:tcW w:w="1320" w:type="dxa"/>
            <w:vAlign w:val="bottom"/>
          </w:tcPr>
          <w:p>
            <w:pPr>
              <w:ind w:left="60"/>
              <w:spacing w:after="0"/>
              <w:rPr>
                <w:sz w:val="20"/>
                <w:szCs w:val="20"/>
                <w:color w:val="auto"/>
              </w:rPr>
            </w:pPr>
            <w:r>
              <w:rPr>
                <w:rFonts w:ascii="Courier New" w:cs="Courier New" w:eastAsia="Courier New" w:hAnsi="Courier New"/>
                <w:sz w:val="16"/>
                <w:szCs w:val="16"/>
                <w:color w:val="auto"/>
                <w:w w:val="99"/>
              </w:rPr>
              <w:t>but they have</w:t>
            </w:r>
          </w:p>
        </w:tc>
      </w:tr>
      <w:tr>
        <w:trPr>
          <w:trHeight w:val="188"/>
        </w:trPr>
        <w:tc>
          <w:tcPr>
            <w:tcW w:w="2200" w:type="dxa"/>
            <w:vAlign w:val="bottom"/>
            <w:gridSpan w:val="3"/>
          </w:tcPr>
          <w:p>
            <w:pPr>
              <w:spacing w:after="0"/>
              <w:rPr>
                <w:sz w:val="20"/>
                <w:szCs w:val="20"/>
                <w:color w:val="auto"/>
              </w:rPr>
            </w:pPr>
            <w:r>
              <w:rPr>
                <w:rFonts w:ascii="Courier New" w:cs="Courier New" w:eastAsia="Courier New" w:hAnsi="Courier New"/>
                <w:sz w:val="16"/>
                <w:szCs w:val="16"/>
                <w:color w:val="auto"/>
              </w:rPr>
              <w:t>no obligation to do so</w:t>
            </w:r>
          </w:p>
        </w:tc>
        <w:tc>
          <w:tcPr>
            <w:tcW w:w="26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and may discontinue market</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making at any</w:t>
            </w:r>
          </w:p>
        </w:tc>
        <w:tc>
          <w:tcPr>
            <w:tcW w:w="1320" w:type="dxa"/>
            <w:vAlign w:val="bottom"/>
          </w:tcPr>
          <w:p>
            <w:pPr>
              <w:ind w:left="60"/>
              <w:spacing w:after="0"/>
              <w:rPr>
                <w:sz w:val="20"/>
                <w:szCs w:val="20"/>
                <w:color w:val="auto"/>
              </w:rPr>
            </w:pPr>
            <w:r>
              <w:rPr>
                <w:rFonts w:ascii="Courier New" w:cs="Courier New" w:eastAsia="Courier New" w:hAnsi="Courier New"/>
                <w:sz w:val="16"/>
                <w:szCs w:val="16"/>
                <w:color w:val="auto"/>
              </w:rPr>
              <w:t>time without</w:t>
            </w:r>
          </w:p>
        </w:tc>
      </w:tr>
      <w:tr>
        <w:trPr>
          <w:trHeight w:val="188"/>
        </w:trPr>
        <w:tc>
          <w:tcPr>
            <w:tcW w:w="3760" w:type="dxa"/>
            <w:vAlign w:val="bottom"/>
            <w:gridSpan w:val="6"/>
          </w:tcPr>
          <w:p>
            <w:pPr>
              <w:spacing w:after="0"/>
              <w:rPr>
                <w:sz w:val="20"/>
                <w:szCs w:val="20"/>
                <w:color w:val="auto"/>
              </w:rPr>
            </w:pPr>
            <w:r>
              <w:rPr>
                <w:rFonts w:ascii="Courier New" w:cs="Courier New" w:eastAsia="Courier New" w:hAnsi="Courier New"/>
                <w:sz w:val="16"/>
                <w:szCs w:val="16"/>
                <w:color w:val="auto"/>
              </w:rPr>
              <w:t>providing any notice. No assurance can</w:t>
            </w:r>
          </w:p>
        </w:tc>
        <w:tc>
          <w:tcPr>
            <w:tcW w:w="37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be given as to the liquidity of any</w:t>
            </w:r>
          </w:p>
        </w:tc>
      </w:tr>
      <w:tr>
        <w:trPr>
          <w:trHeight w:val="188"/>
        </w:trPr>
        <w:tc>
          <w:tcPr>
            <w:tcW w:w="2200" w:type="dxa"/>
            <w:vAlign w:val="bottom"/>
            <w:gridSpan w:val="3"/>
          </w:tcPr>
          <w:p>
            <w:pPr>
              <w:spacing w:after="0"/>
              <w:rPr>
                <w:sz w:val="20"/>
                <w:szCs w:val="20"/>
                <w:color w:val="auto"/>
              </w:rPr>
            </w:pPr>
            <w:r>
              <w:rPr>
                <w:rFonts w:ascii="Courier New" w:cs="Courier New" w:eastAsia="Courier New" w:hAnsi="Courier New"/>
                <w:sz w:val="16"/>
                <w:szCs w:val="16"/>
                <w:color w:val="auto"/>
              </w:rPr>
              <w:t>trading market for the</w:t>
            </w:r>
          </w:p>
        </w:tc>
        <w:tc>
          <w:tcPr>
            <w:tcW w:w="15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notes. Expenses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associated</w:t>
            </w:r>
          </w:p>
        </w:tc>
        <w:tc>
          <w:tcPr>
            <w:tcW w:w="2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with this offering, to be</w:t>
            </w:r>
          </w:p>
        </w:tc>
      </w:tr>
      <w:tr>
        <w:trPr>
          <w:trHeight w:val="188"/>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rPr>
              <w:t>paid by us, are</w:t>
            </w:r>
          </w:p>
        </w:tc>
        <w:tc>
          <w:tcPr>
            <w:tcW w:w="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estimated</w:t>
            </w:r>
          </w:p>
        </w:tc>
        <w:tc>
          <w:tcPr>
            <w:tcW w:w="920" w:type="dxa"/>
            <w:vAlign w:val="bottom"/>
          </w:tcPr>
          <w:p>
            <w:pPr>
              <w:ind w:left="40"/>
              <w:spacing w:after="0"/>
              <w:rPr>
                <w:sz w:val="20"/>
                <w:szCs w:val="20"/>
                <w:color w:val="auto"/>
              </w:rPr>
            </w:pPr>
            <w:r>
              <w:rPr>
                <w:rFonts w:ascii="Courier New" w:cs="Courier New" w:eastAsia="Courier New" w:hAnsi="Courier New"/>
                <w:sz w:val="16"/>
                <w:szCs w:val="16"/>
                <w:color w:val="auto"/>
              </w:rPr>
              <w:t>to be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r>
    </w:tbl>
    <w:p>
      <w:pPr>
        <w:spacing w:after="0" w:line="192"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The underwriters initially propose to offer part of the notes directly to the public at the offering price described on the cover page and part to certain dealers at a price that represents a concession not in excess of % of the principal amount of the notes. Any underwriter may allow, and any such dealers may reallow, a concession not in excess of % of the principal amount of the notes to certain other dealers. After the initial offering of the notes, the underwriters may from time to time vary the offering price and other selling terms.</w:t>
      </w:r>
    </w:p>
    <w:p>
      <w:pPr>
        <w:spacing w:after="0" w:line="187" w:lineRule="exact"/>
        <w:rPr>
          <w:sz w:val="20"/>
          <w:szCs w:val="20"/>
          <w:color w:val="auto"/>
        </w:rPr>
      </w:pPr>
    </w:p>
    <w:p>
      <w:pPr>
        <w:ind w:right="2799" w:firstLine="293"/>
        <w:spacing w:after="0" w:line="249" w:lineRule="auto"/>
        <w:rPr>
          <w:sz w:val="20"/>
          <w:szCs w:val="20"/>
          <w:color w:val="auto"/>
        </w:rPr>
      </w:pPr>
      <w:r>
        <w:rPr>
          <w:rFonts w:ascii="Courier New" w:cs="Courier New" w:eastAsia="Courier New" w:hAnsi="Courier New"/>
          <w:sz w:val="16"/>
          <w:szCs w:val="16"/>
          <w:color w:val="auto"/>
        </w:rPr>
        <w:t>We have agreed to indemnify the several underwriters against certain liabilities, including liabilities under the Securities Act of 1933, as amended, or to contribute to payments which the underwriters may be required to make in respect of any such liabilities.</w:t>
      </w:r>
    </w:p>
    <w:p>
      <w:pPr>
        <w:spacing w:after="0" w:line="188"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w:t>
      </w:r>
    </w:p>
    <w:p>
      <w:pPr>
        <w:spacing w:after="0" w:line="187" w:lineRule="exact"/>
        <w:rPr>
          <w:sz w:val="20"/>
          <w:szCs w:val="20"/>
          <w:color w:val="auto"/>
        </w:rPr>
      </w:pPr>
    </w:p>
    <w:p>
      <w:pPr>
        <w:ind w:right="2599" w:firstLine="293"/>
        <w:spacing w:after="0" w:line="249" w:lineRule="auto"/>
        <w:rPr>
          <w:sz w:val="20"/>
          <w:szCs w:val="20"/>
          <w:color w:val="auto"/>
        </w:rPr>
      </w:pPr>
      <w:r>
        <w:rPr>
          <w:rFonts w:ascii="Courier New" w:cs="Courier New" w:eastAsia="Courier New" w:hAnsi="Courier New"/>
          <w:sz w:val="16"/>
          <w:szCs w:val="16"/>
          <w:color w:val="auto"/>
        </w:rPr>
        <w:t>From time to time, the underwriters and certain of their affiliates have engaged, and may in the future engage, in transactions with, and perform investment banking and/or commercial banking services for, us and our affiliates in the ordinary course of business. Affiliates of First Union Securities, Inc., PNC Capital Markets, Inc. and Warburg Dillon Reed LLC are lenders on our credit facility. These affiliates will receive their proportionate share of the amount of the credit facility to be repaid. Because the amount to be repaid to affiliates of the underwriters will exceed 10% of the net proceeds from the sale of the notes, this offering is being made pursuant to the provisions of Rule 2710(c)(8) of the Conduct Rules of the National Association of Securities Dealers, Inc.</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LEGAL MATTERS</w:t>
      </w:r>
    </w:p>
    <w:p>
      <w:pPr>
        <w:spacing w:after="0" w:line="195" w:lineRule="exact"/>
        <w:rPr>
          <w:sz w:val="20"/>
          <w:szCs w:val="20"/>
          <w:color w:val="auto"/>
        </w:rPr>
      </w:pPr>
    </w:p>
    <w:p>
      <w:pPr>
        <w:ind w:right="2799" w:firstLine="293"/>
        <w:spacing w:after="0" w:line="252" w:lineRule="auto"/>
        <w:rPr>
          <w:sz w:val="20"/>
          <w:szCs w:val="20"/>
          <w:color w:val="auto"/>
        </w:rPr>
      </w:pPr>
      <w:r>
        <w:rPr>
          <w:rFonts w:ascii="Courier New" w:cs="Courier New" w:eastAsia="Courier New" w:hAnsi="Courier New"/>
          <w:sz w:val="16"/>
          <w:szCs w:val="16"/>
          <w:color w:val="auto"/>
        </w:rPr>
        <w:t>The legality of the notes and certain tax matters will be passed upon for Federal Realty Investment Trust by Hogan &amp; Hartson L.L.P., Washington, D.C.</w:t>
      </w:r>
    </w:p>
    <w:p>
      <w:pPr>
        <w:sectPr>
          <w:pgSz w:w="11900" w:h="16862" w:orient="portrait"/>
          <w:cols w:equalWidth="0" w:num="1">
            <w:col w:w="10219"/>
          </w:cols>
          <w:pgMar w:left="240" w:top="681" w:right="1440" w:bottom="0" w:gutter="0" w:footer="0" w:header="0"/>
        </w:sectPr>
      </w:pPr>
    </w:p>
    <w:bookmarkStart w:id="39" w:name="page40"/>
    <w:bookmarkEnd w:id="39"/>
    <w:p>
      <w:pPr>
        <w:spacing w:after="0"/>
        <w:rPr>
          <w:sz w:val="20"/>
          <w:szCs w:val="20"/>
          <w:color w:val="auto"/>
        </w:rPr>
      </w:pPr>
      <w:r>
        <w:rPr>
          <w:rFonts w:ascii="Courier New" w:cs="Courier New" w:eastAsia="Courier New" w:hAnsi="Courier New"/>
          <w:sz w:val="16"/>
          <w:szCs w:val="16"/>
          <w:color w:val="auto"/>
        </w:rPr>
        <w:t>Brown &amp; Wood LLP, New York, New York, will act as counsel to the underwriters.</w:t>
      </w:r>
    </w:p>
    <w:p>
      <w:pPr>
        <w:sectPr>
          <w:pgSz w:w="11900" w:h="16838" w:orient="portrait"/>
          <w:cols w:equalWidth="0" w:num="1">
            <w:col w:w="10219"/>
          </w:cols>
          <w:pgMar w:left="240" w:top="142" w:right="1440" w:bottom="1440" w:gutter="0" w:footer="0" w:header="0"/>
        </w:sectPr>
      </w:pP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S-27</w:t>
      </w:r>
    </w:p>
    <w:p>
      <w:pPr>
        <w:sectPr>
          <w:pgSz w:w="11900" w:h="16838" w:orient="portrait"/>
          <w:cols w:equalWidth="0" w:num="1">
            <w:col w:w="10219"/>
          </w:cols>
          <w:pgMar w:left="240" w:top="142" w:right="1440" w:bottom="1440" w:gutter="0" w:footer="0" w:header="0"/>
          <w:type w:val="continuous"/>
        </w:sectPr>
      </w:pPr>
    </w:p>
    <w:bookmarkStart w:id="40" w:name="page41"/>
    <w:bookmarkEnd w:id="40"/>
    <w:p>
      <w:pPr>
        <w:jc w:val="center"/>
        <w:ind w:right="2399"/>
        <w:spacing w:after="0"/>
        <w:rPr>
          <w:sz w:val="20"/>
          <w:szCs w:val="20"/>
          <w:color w:val="auto"/>
        </w:rPr>
      </w:pPr>
      <w:r>
        <w:rPr>
          <w:rFonts w:ascii="Courier New" w:cs="Courier New" w:eastAsia="Courier New" w:hAnsi="Courier New"/>
          <w:sz w:val="16"/>
          <w:szCs w:val="16"/>
          <w:color w:val="auto"/>
        </w:rPr>
        <w:t>[LOGO OF FEDERAL REALTY INVESTMENT TRUST APPEARS HERE]</w:t>
      </w:r>
    </w:p>
    <w:p>
      <w:pPr>
        <w:spacing w:after="0" w:line="19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$500,000,000</w:t>
      </w:r>
    </w:p>
    <w:p>
      <w:pPr>
        <w:spacing w:after="0" w:line="19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Debt Securities, Preferred Shares and Common Shares</w:t>
      </w:r>
    </w:p>
    <w:p>
      <w:pPr>
        <w:spacing w:after="0" w:line="195"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spacing w:after="0" w:line="1" w:lineRule="exact"/>
        <w:rPr>
          <w:sz w:val="20"/>
          <w:szCs w:val="20"/>
          <w:color w:val="auto"/>
        </w:rPr>
      </w:pPr>
    </w:p>
    <w:p>
      <w:pPr>
        <w:ind w:right="2799"/>
        <w:spacing w:after="0" w:line="249" w:lineRule="auto"/>
        <w:tabs>
          <w:tab w:leader="none" w:pos="48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preferred shares (the "Preferred Shares"), and (iii) its common shares of beneficial interest, no par or stated value (the "Common Shares"), with an aggregate public offering price of up to $500,000,000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Debt Securities will be direct unsecured obligations of the Trust and may be either senior Debt Securities (the "Senior Securities") or subordinated Debt Securities (the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37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186" w:lineRule="exact"/>
        <w:rPr>
          <w:sz w:val="20"/>
          <w:szCs w:val="20"/>
          <w:color w:val="auto"/>
        </w:rPr>
      </w:pPr>
    </w:p>
    <w:p>
      <w:pPr>
        <w:ind w:right="2879" w:firstLine="196"/>
        <w:spacing w:after="0" w:line="249" w:lineRule="auto"/>
        <w:rPr>
          <w:sz w:val="20"/>
          <w:szCs w:val="20"/>
          <w:color w:val="auto"/>
        </w:rPr>
      </w:pPr>
      <w:r>
        <w:rPr>
          <w:rFonts w:ascii="Courier New" w:cs="Courier New" w:eastAsia="Courier New" w:hAnsi="Courier New"/>
          <w:sz w:val="16"/>
          <w:szCs w:val="16"/>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188"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Securities.</w:t>
      </w:r>
    </w:p>
    <w:p>
      <w:pPr>
        <w:spacing w:after="0" w:line="18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jc w:val="center"/>
        <w:ind w:right="2599"/>
        <w:spacing w:after="0"/>
        <w:tabs>
          <w:tab w:leader="none" w:pos="180" w:val="left"/>
          <w:tab w:leader="none" w:pos="180" w:val="left"/>
        </w:tabs>
        <w:rPr>
          <w:sz w:val="20"/>
          <w:szCs w:val="20"/>
          <w:color w:val="auto"/>
        </w:rPr>
      </w:pPr>
      <w:r>
        <w:rPr>
          <w:rFonts w:ascii="Courier New" w:cs="Courier New" w:eastAsia="Courier New" w:hAnsi="Courier New"/>
          <w:sz w:val="16"/>
          <w:szCs w:val="16"/>
          <w:color w:val="auto"/>
        </w:rPr>
        <w:t>THESE SECURITIES HAVE NOT</w:t>
        <w:tab/>
        <w:t>BEEN APPROVED OR</w:t>
        <w:tab/>
        <w:t>DISAPPROVED BY THE SECURITIES</w:t>
      </w:r>
    </w:p>
    <w:p>
      <w:pPr>
        <w:spacing w:after="0" w:line="7" w:lineRule="exact"/>
        <w:rPr>
          <w:sz w:val="20"/>
          <w:szCs w:val="20"/>
          <w:color w:val="auto"/>
        </w:rPr>
      </w:pPr>
    </w:p>
    <w:p>
      <w:pPr>
        <w:jc w:val="center"/>
        <w:ind w:left="260" w:right="380"/>
        <w:spacing w:after="0" w:line="248" w:lineRule="auto"/>
        <w:rPr>
          <w:sz w:val="20"/>
          <w:szCs w:val="20"/>
          <w:color w:val="auto"/>
        </w:rPr>
      </w:pPr>
      <w:r>
        <w:rPr>
          <w:rFonts w:ascii="Courier New" w:cs="Courier New" w:eastAsia="Courier New" w:hAnsi="Courier New"/>
          <w:sz w:val="16"/>
          <w:szCs w:val="16"/>
          <w:color w:val="auto"/>
        </w:rPr>
        <w:t>AND EXCHANGE COMMISSION OR ANY STATE SECURITIES COMMISSION NOR HAS THE SECURITIES  AND  EXCHANGE  COMMISSION   OR  ANY  STATE  SECURITIES COMMISSION  PASSED  UPON  THE  ACCURACY OR  ADEQUACY  OF  THIS PROSPECTUS.  ANY  REPRESENTATION  TO  THE  CONTRARY  IS  A</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CRIMINAL OFFENSE.</w:t>
      </w:r>
    </w:p>
    <w:p>
      <w:pPr>
        <w:spacing w:after="0" w:line="195"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383"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The date of this Prospectus is September 30, 1998.</w:t>
      </w:r>
    </w:p>
    <w:p>
      <w:pPr>
        <w:sectPr>
          <w:pgSz w:w="11900" w:h="16838" w:orient="portrait"/>
          <w:cols w:equalWidth="0" w:num="1">
            <w:col w:w="10219"/>
          </w:cols>
          <w:pgMar w:left="240" w:top="680" w:right="1440" w:bottom="1440" w:gutter="0" w:footer="0" w:header="0"/>
        </w:sectPr>
      </w:pPr>
    </w:p>
    <w:bookmarkStart w:id="41" w:name="page42"/>
    <w:bookmarkEnd w:id="41"/>
    <w:p>
      <w:pPr>
        <w:ind w:left="2840"/>
        <w:spacing w:after="0"/>
        <w:rPr>
          <w:sz w:val="20"/>
          <w:szCs w:val="20"/>
          <w:color w:val="auto"/>
        </w:rPr>
      </w:pPr>
      <w:r>
        <w:rPr>
          <w:rFonts w:ascii="Courier New" w:cs="Courier New" w:eastAsia="Courier New" w:hAnsi="Courier New"/>
          <w:sz w:val="16"/>
          <w:szCs w:val="16"/>
          <w:color w:val="auto"/>
        </w:rPr>
        <w:t>AVAILABLE INFORMATION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The Commission also maintains a web site at http://www.sec.gov that contains reports, proxy and information statements and other information regarding registrants, including the Trust, that file electronically with the Commission. Such reports, proxy statements and other information concerning the Trust can also be inspected at the office of the New York Stock Exchange, 20 Broad Street, New York, New York 10005.</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1626 East Jefferson Street, Rockville, Maryland 20852-4041 (telephone 301/998-8100).</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 has filed with the Commission a registration statement on Form S-3 (the "Registration Statement") under the Securities Act of 1933, as amended (the "Securities Act"), of which this Prospectus forms a part,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187"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95" w:lineRule="exact"/>
        <w:rPr>
          <w:sz w:val="20"/>
          <w:szCs w:val="20"/>
          <w:color w:val="auto"/>
        </w:rPr>
      </w:pPr>
    </w:p>
    <w:p>
      <w:pPr>
        <w:ind w:right="3179" w:firstLine="196"/>
        <w:spacing w:after="0" w:line="252"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hereof:</w:t>
      </w:r>
    </w:p>
    <w:p>
      <w:pPr>
        <w:spacing w:after="0" w:line="183" w:lineRule="exact"/>
        <w:rPr>
          <w:sz w:val="20"/>
          <w:szCs w:val="20"/>
          <w:color w:val="auto"/>
        </w:rPr>
      </w:pPr>
    </w:p>
    <w:p>
      <w:pPr>
        <w:ind w:left="200" w:right="3279" w:firstLine="191"/>
        <w:spacing w:after="0" w:line="252" w:lineRule="auto"/>
        <w:tabs>
          <w:tab w:leader="none" w:pos="6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Annual Report on Form 10-K for the fiscal year ended December 31, 1997.</w:t>
      </w:r>
    </w:p>
    <w:p>
      <w:pPr>
        <w:spacing w:after="0" w:line="183" w:lineRule="exact"/>
        <w:rPr>
          <w:rFonts w:ascii="Courier New" w:cs="Courier New" w:eastAsia="Courier New" w:hAnsi="Courier New"/>
          <w:sz w:val="16"/>
          <w:szCs w:val="16"/>
          <w:color w:val="auto"/>
        </w:rPr>
      </w:pPr>
    </w:p>
    <w:p>
      <w:pPr>
        <w:ind w:left="200" w:right="3179" w:firstLine="191"/>
        <w:spacing w:after="0" w:line="252" w:lineRule="auto"/>
        <w:tabs>
          <w:tab w:leader="none" w:pos="6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Quarterly Reports on Form 10-Q for the quarters ended March 31, 1998 and June 30, 1998.</w:t>
      </w:r>
    </w:p>
    <w:p>
      <w:pPr>
        <w:spacing w:after="0" w:line="183" w:lineRule="exact"/>
        <w:rPr>
          <w:rFonts w:ascii="Courier New" w:cs="Courier New" w:eastAsia="Courier New" w:hAnsi="Courier New"/>
          <w:sz w:val="16"/>
          <w:szCs w:val="16"/>
          <w:color w:val="auto"/>
        </w:rPr>
      </w:pPr>
    </w:p>
    <w:p>
      <w:pPr>
        <w:ind w:left="200" w:right="2799" w:firstLine="191"/>
        <w:spacing w:after="0" w:line="250" w:lineRule="auto"/>
        <w:tabs>
          <w:tab w:leader="none" w:pos="68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Current Reports on Form 8-K filed with the Commission on February 24, 1998, March 10, 1998, March 11, 1998, May 11, 1998 and August 7, 1998.</w:t>
      </w:r>
    </w:p>
    <w:p>
      <w:pPr>
        <w:spacing w:after="0" w:line="18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a part hereof from the date of filing of such document.</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42" w:name="page43"/>
    <w:bookmarkEnd w:id="42"/>
    <w:p>
      <w:pPr>
        <w:ind w:left="3420"/>
        <w:spacing w:after="0"/>
        <w:rPr>
          <w:sz w:val="20"/>
          <w:szCs w:val="20"/>
          <w:color w:val="auto"/>
        </w:rPr>
      </w:pPr>
      <w:r>
        <w:rPr>
          <w:rFonts w:ascii="Courier New" w:cs="Courier New" w:eastAsia="Courier New" w:hAnsi="Courier New"/>
          <w:sz w:val="16"/>
          <w:szCs w:val="16"/>
          <w:color w:val="auto"/>
        </w:rPr>
        <w:t>THE TRUST</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Federal Realty Investment Trust (the "Trust") is an owner, operator and redeveloper of retail properties. Founded in 1962 as a District of Columbia business trust of unlimited duration, the Trust is a self-administered equity real estate investment trust ("REIT"). The Trust consolidates the financial statements of various entities which it controls. At June 30, 1998 the Trust owned 114 retail properties and one apartment complex.</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An important part of the Trust's strategy is to acquire older, well-located properties in prime, densely populated and affluent areas and to enhance their operating performance through a program of renovation, expansion, reconfiguration and retenanting. The Trust's traditional focus has been on community and neighborhood shopping centers that are anchored by supermarkets, drug stores or high volume, value oriented retailers that provide consumer necessities. Late in 1994 the Trust expanded this strategy to include retail buildings and shopping centers in prime established main street shopping areas. In addition, the Trust amended its by-laws in 1996 to permit investments west of the Mississippi River. The Trust continually evaluates its properties for renovation, retenanting and expansion opportunities. Similarly, the Trust regularly reviews its portfolio and from time to time considers selling certain of its properties. For several years the Trust has been seeking sites in its core markets suitable for the construction of new retail properties. Several sites have been identified and beginning in 1998 the Trust is focusing considerable time and resources on ground up development.</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Trust's portfolio of properties has grown from 42 as of January 1, 1993 to 115 at June 30, 1998. During this period the Trust acquired 78 retail properties for approximately $675 million. During this same period five shopping centers were sold. Also during this period the Trust spent over $250 million to renovate, expand, improve and retenant its properties. The majority of the acquisitions were funded with cash. Of the properties not fully acquired by cash, one was acquired by means of capital and ground leases, one was acquired for Common Shares and the assumption of a mortgage, one was acquired for cash and the assumption of a municipal bond issue and the others were acquired for cash with minority investments by third parties. This growth was financed through borrowing and equity offerings, since each year the Trust has distributed all or the majority of its cash provided by operating activities to its shareholders.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Trust's 114 retail properties, consisting of 55 shopping centers and 59 main street retail properties, are located in 16 states and the District of Columbia. Twenty-one of the properties are located in the Washington, D.C. metropolitan area; twenty are in California; fourteen are in Connecticut; eleven are in Pennsylvania, primarily in the Philadelphia area; ten are in New Jersey; ten are in Texas; seven are in Illinois; three are in Virginia; four are in Massachusetts; six are in New York; two are in Florida; two are in Arizona; and there is one in each of the following states: Georgia, Michigan, North Carolina and Oregon.</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Trust continues to seek older, well-located shopping centers and retail buildings to acquire and then to enhance their revenue potential through a program of renovation, retenanting and remerchandising. The Trust has also located sites where it intends to develop new retail properties.</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 has made 144 consecutive quarterly distributions and has increased its distribution rate for each of the last 31 years. This is the longest record of annual distribution increases in the REIT industry. The current annual indicated distribution rate is $1.76 per share.</w:t>
      </w:r>
    </w:p>
    <w:p>
      <w:pPr>
        <w:spacing w:after="0" w:line="188" w:lineRule="exact"/>
        <w:rPr>
          <w:sz w:val="20"/>
          <w:szCs w:val="20"/>
          <w:color w:val="auto"/>
        </w:rPr>
      </w:pPr>
    </w:p>
    <w:p>
      <w:pPr>
        <w:ind w:right="2879" w:firstLine="196"/>
        <w:spacing w:after="0" w:line="252" w:lineRule="auto"/>
        <w:rPr>
          <w:sz w:val="20"/>
          <w:szCs w:val="20"/>
          <w:color w:val="auto"/>
        </w:rPr>
      </w:pPr>
      <w:r>
        <w:rPr>
          <w:rFonts w:ascii="Courier New" w:cs="Courier New" w:eastAsia="Courier New" w:hAnsi="Courier New"/>
          <w:sz w:val="16"/>
          <w:szCs w:val="16"/>
          <w:color w:val="auto"/>
        </w:rPr>
        <w:t>The Trust maintains its offices at 1626 East Jefferson Street, Rockville, Maryland 20852-4041 (telephone 301/998-8100).</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1440" w:gutter="0" w:footer="0" w:header="0"/>
        </w:sectPr>
      </w:pPr>
    </w:p>
    <w:bookmarkStart w:id="43" w:name="page44"/>
    <w:bookmarkEnd w:id="43"/>
    <w:p>
      <w:pPr>
        <w:jc w:val="center"/>
        <w:ind w:right="2499"/>
        <w:spacing w:after="0"/>
        <w:rPr>
          <w:sz w:val="20"/>
          <w:szCs w:val="20"/>
          <w:color w:val="auto"/>
        </w:rPr>
      </w:pPr>
      <w:r>
        <w:rPr>
          <w:rFonts w:ascii="Courier New" w:cs="Courier New" w:eastAsia="Courier New" w:hAnsi="Courier New"/>
          <w:sz w:val="16"/>
          <w:szCs w:val="16"/>
          <w:color w:val="auto"/>
        </w:rPr>
        <w:t>USE OF PROCEEDS</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187"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95" w:lineRule="exact"/>
        <w:rPr>
          <w:sz w:val="20"/>
          <w:szCs w:val="20"/>
          <w:color w:val="auto"/>
        </w:rPr>
      </w:pPr>
    </w:p>
    <w:p>
      <w:pPr>
        <w:ind w:right="2799" w:firstLine="196"/>
        <w:spacing w:after="0" w:line="252" w:lineRule="auto"/>
        <w:rPr>
          <w:sz w:val="20"/>
          <w:szCs w:val="20"/>
          <w:color w:val="auto"/>
        </w:rPr>
      </w:pPr>
      <w:r>
        <w:rPr>
          <w:rFonts w:ascii="Courier New" w:cs="Courier New" w:eastAsia="Courier New" w:hAnsi="Courier New"/>
          <w:sz w:val="16"/>
          <w:szCs w:val="16"/>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359"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SIX</w:t>
            </w:r>
          </w:p>
        </w:tc>
        <w:tc>
          <w:tcPr>
            <w:tcW w:w="15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MONTHS</w:t>
            </w:r>
          </w:p>
        </w:tc>
      </w:tr>
      <w:tr>
        <w:trPr>
          <w:trHeight w:val="188"/>
        </w:trPr>
        <w:tc>
          <w:tcPr>
            <w:tcW w:w="1080" w:type="dxa"/>
            <w:vAlign w:val="bottom"/>
          </w:tcPr>
          <w:p>
            <w:pPr>
              <w:spacing w:after="0"/>
              <w:rPr>
                <w:sz w:val="16"/>
                <w:szCs w:val="16"/>
                <w:color w:val="auto"/>
              </w:rPr>
            </w:pPr>
          </w:p>
        </w:tc>
        <w:tc>
          <w:tcPr>
            <w:tcW w:w="27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YEARS ENDED DECEMBER 31,</w:t>
            </w:r>
          </w:p>
        </w:tc>
        <w:tc>
          <w:tcPr>
            <w:tcW w:w="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ENDED JUNE 30,</w:t>
            </w:r>
          </w:p>
        </w:tc>
      </w:tr>
      <w:tr>
        <w:trPr>
          <w:trHeight w:val="188"/>
        </w:trPr>
        <w:tc>
          <w:tcPr>
            <w:tcW w:w="2020" w:type="dxa"/>
            <w:vAlign w:val="bottom"/>
            <w:gridSpan w:val="2"/>
          </w:tcPr>
          <w:p>
            <w:pPr>
              <w:spacing w:after="0"/>
              <w:rPr>
                <w:sz w:val="20"/>
                <w:szCs w:val="20"/>
                <w:color w:val="auto"/>
              </w:rPr>
            </w:pPr>
            <w:r>
              <w:rPr>
                <w:rFonts w:ascii="Courier New" w:cs="Courier New" w:eastAsia="Courier New" w:hAnsi="Courier New"/>
                <w:sz w:val="8"/>
                <w:szCs w:val="8"/>
                <w:color w:val="auto"/>
                <w:w w:val="71"/>
              </w:rPr>
              <w:t>----------------------------------------------------------</w:t>
            </w:r>
          </w:p>
        </w:tc>
        <w:tc>
          <w:tcPr>
            <w:tcW w:w="1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760" w:type="dxa"/>
            <w:vAlign w:val="bottom"/>
          </w:tcPr>
          <w:p>
            <w:pPr>
              <w:ind w:left="440"/>
              <w:spacing w:after="0"/>
              <w:rPr>
                <w:sz w:val="20"/>
                <w:szCs w:val="20"/>
                <w:color w:val="auto"/>
              </w:rPr>
            </w:pPr>
            <w:r>
              <w:rPr>
                <w:rFonts w:ascii="Courier New" w:cs="Courier New" w:eastAsia="Courier New" w:hAnsi="Courier New"/>
                <w:sz w:val="16"/>
                <w:szCs w:val="16"/>
                <w:color w:val="auto"/>
              </w:rPr>
              <w:t>1995</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1996</w:t>
            </w:r>
          </w:p>
        </w:tc>
        <w:tc>
          <w:tcPr>
            <w:tcW w:w="1380" w:type="dxa"/>
            <w:vAlign w:val="bottom"/>
          </w:tcPr>
          <w:p>
            <w:pPr>
              <w:ind w:left="440"/>
              <w:spacing w:after="0"/>
              <w:rPr>
                <w:sz w:val="20"/>
                <w:szCs w:val="20"/>
                <w:color w:val="auto"/>
              </w:rPr>
            </w:pPr>
            <w:r>
              <w:rPr>
                <w:rFonts w:ascii="Courier New" w:cs="Courier New" w:eastAsia="Courier New" w:hAnsi="Courier New"/>
                <w:sz w:val="16"/>
                <w:szCs w:val="16"/>
                <w:color w:val="auto"/>
              </w:rPr>
              <w:t>1997</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1997</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1998</w:t>
            </w:r>
          </w:p>
        </w:tc>
      </w:tr>
      <w:tr>
        <w:trPr>
          <w:trHeight w:val="188"/>
        </w:trPr>
        <w:tc>
          <w:tcPr>
            <w:tcW w:w="10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1080" w:type="dxa"/>
            <w:vAlign w:val="bottom"/>
          </w:tcPr>
          <w:p>
            <w:pPr>
              <w:spacing w:after="0"/>
              <w:rPr>
                <w:sz w:val="20"/>
                <w:szCs w:val="20"/>
                <w:color w:val="auto"/>
              </w:rPr>
            </w:pPr>
            <w:r>
              <w:rPr>
                <w:rFonts w:ascii="Courier New" w:cs="Courier New" w:eastAsia="Courier New" w:hAnsi="Courier New"/>
                <w:sz w:val="16"/>
                <w:szCs w:val="16"/>
                <w:color w:val="auto"/>
              </w:rPr>
              <w:t>1.50x</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1.61x</w:t>
            </w:r>
          </w:p>
        </w:tc>
        <w:tc>
          <w:tcPr>
            <w:tcW w:w="1760" w:type="dxa"/>
            <w:vAlign w:val="bottom"/>
          </w:tcPr>
          <w:p>
            <w:pPr>
              <w:ind w:left="440"/>
              <w:spacing w:after="0"/>
              <w:rPr>
                <w:sz w:val="20"/>
                <w:szCs w:val="20"/>
                <w:color w:val="auto"/>
              </w:rPr>
            </w:pPr>
            <w:r>
              <w:rPr>
                <w:rFonts w:ascii="Courier New" w:cs="Courier New" w:eastAsia="Courier New" w:hAnsi="Courier New"/>
                <w:sz w:val="16"/>
                <w:szCs w:val="16"/>
                <w:color w:val="auto"/>
              </w:rPr>
              <w:t>1.55x</w:t>
            </w:r>
          </w:p>
        </w:tc>
        <w:tc>
          <w:tcPr>
            <w:tcW w:w="960" w:type="dxa"/>
            <w:vAlign w:val="bottom"/>
          </w:tcPr>
          <w:p>
            <w:pPr>
              <w:ind w:left="40"/>
              <w:spacing w:after="0"/>
              <w:rPr>
                <w:sz w:val="20"/>
                <w:szCs w:val="20"/>
                <w:color w:val="auto"/>
              </w:rPr>
            </w:pPr>
            <w:r>
              <w:rPr>
                <w:rFonts w:ascii="Courier New" w:cs="Courier New" w:eastAsia="Courier New" w:hAnsi="Courier New"/>
                <w:sz w:val="16"/>
                <w:szCs w:val="16"/>
                <w:color w:val="auto"/>
              </w:rPr>
              <w:t>1.59x</w:t>
            </w:r>
          </w:p>
        </w:tc>
        <w:tc>
          <w:tcPr>
            <w:tcW w:w="1380" w:type="dxa"/>
            <w:vAlign w:val="bottom"/>
          </w:tcPr>
          <w:p>
            <w:pPr>
              <w:ind w:left="440"/>
              <w:spacing w:after="0"/>
              <w:rPr>
                <w:sz w:val="20"/>
                <w:szCs w:val="20"/>
                <w:color w:val="auto"/>
              </w:rPr>
            </w:pPr>
            <w:r>
              <w:rPr>
                <w:rFonts w:ascii="Courier New" w:cs="Courier New" w:eastAsia="Courier New" w:hAnsi="Courier New"/>
                <w:sz w:val="16"/>
                <w:szCs w:val="16"/>
                <w:color w:val="auto"/>
              </w:rPr>
              <w:t>1.70x</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1.70x</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1.74x</w:t>
            </w:r>
          </w:p>
        </w:tc>
      </w:tr>
    </w:tbl>
    <w:p>
      <w:pPr>
        <w:spacing w:after="0" w:line="380"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In October 1997, the Trust issued $100 million of 7.95% Series A Cumulative Redeemable Preferred Shares ("Series A Preferred Shares"). The ratio of earnings to combined fixed charges and preferred dividends was 1.64x for the year ended December 31, 1997, and 1.54x for the six month period ended June 30, 1998. There were no preferred dividends paid by the Trust prior to 1997; as a result, the ratio of earnings to combined fixed charges and preferred dividends for the years ended December 31, 1993 through December 31, 1996, and the six months ended June 30, 1997, are unchanged from the ratios presented in this section.</w:t>
      </w:r>
    </w:p>
    <w:p>
      <w:pPr>
        <w:spacing w:after="0" w:line="18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DESCRIPTION OF DEBT SECURITIES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Senior Securities are to be issued under an indenture dated as of September 1, 1998, as supplemented from time to time (the "Senior Indenture"), between the Trust and First Union National Bank, Trustee, and the Subordinated Securities are to be issued under an indenture dated as of December 1, 1993, as supplemented from time to time (the "Subordinated Indenture"), between the Trust and First Union National Bank, Trustee. The term "Trustee" as used herein shall refer to First Union National Bank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0" w:right="1440" w:bottom="1440" w:gutter="0" w:footer="0" w:header="0"/>
        </w:sectPr>
      </w:pPr>
    </w:p>
    <w:bookmarkStart w:id="44" w:name="page45"/>
    <w:bookmarkEnd w:id="44"/>
    <w:p>
      <w:pPr>
        <w:ind w:right="2599" w:firstLine="196"/>
        <w:spacing w:after="0" w:line="249" w:lineRule="auto"/>
        <w:rPr>
          <w:sz w:val="20"/>
          <w:szCs w:val="20"/>
          <w:color w:val="auto"/>
        </w:rPr>
      </w:pPr>
      <w:r>
        <w:rPr>
          <w:rFonts w:ascii="Courier New" w:cs="Courier New" w:eastAsia="Courier New" w:hAnsi="Courier New"/>
          <w:sz w:val="16"/>
          <w:szCs w:val="16"/>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Reference is made to the Prospectus Supplement relating to the series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Securities being offered for the specific terms thereof, including:</w:t>
      </w:r>
    </w:p>
    <w:p>
      <w:pPr>
        <w:spacing w:after="0" w:line="195" w:lineRule="exact"/>
        <w:rPr>
          <w:sz w:val="20"/>
          <w:szCs w:val="20"/>
          <w:color w:val="auto"/>
        </w:rPr>
      </w:pPr>
    </w:p>
    <w:p>
      <w:pPr>
        <w:ind w:left="200" w:right="2879" w:firstLine="289"/>
        <w:spacing w:after="0" w:line="252" w:lineRule="auto"/>
        <w:tabs>
          <w:tab w:leader="none" w:pos="8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such Debt Securities and whether such Debt Securities are Senior Securities or Subordinated Securities;</w:t>
      </w:r>
    </w:p>
    <w:p>
      <w:pPr>
        <w:spacing w:after="0" w:line="183" w:lineRule="exact"/>
        <w:rPr>
          <w:rFonts w:ascii="Courier New" w:cs="Courier New" w:eastAsia="Courier New" w:hAnsi="Courier New"/>
          <w:sz w:val="16"/>
          <w:szCs w:val="16"/>
          <w:color w:val="auto"/>
        </w:rPr>
      </w:pPr>
    </w:p>
    <w:p>
      <w:pPr>
        <w:ind w:left="200" w:right="2699" w:firstLine="289"/>
        <w:spacing w:after="0" w:line="252" w:lineRule="auto"/>
        <w:tabs>
          <w:tab w:leader="none" w:pos="8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such Debt Securities and any limit on such aggregate principal amount;</w:t>
      </w:r>
    </w:p>
    <w:p>
      <w:pPr>
        <w:spacing w:after="0" w:line="183" w:lineRule="exact"/>
        <w:rPr>
          <w:rFonts w:ascii="Courier New" w:cs="Courier New" w:eastAsia="Courier New" w:hAnsi="Courier New"/>
          <w:sz w:val="16"/>
          <w:szCs w:val="16"/>
          <w:color w:val="auto"/>
        </w:rPr>
      </w:pPr>
    </w:p>
    <w:p>
      <w:pPr>
        <w:ind w:left="200" w:right="2699" w:firstLine="289"/>
        <w:spacing w:after="0" w:line="249" w:lineRule="auto"/>
        <w:tabs>
          <w:tab w:leader="none" w:pos="8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375" w:lineRule="exact"/>
        <w:rPr>
          <w:rFonts w:ascii="Courier New" w:cs="Courier New" w:eastAsia="Courier New" w:hAnsi="Courier New"/>
          <w:sz w:val="16"/>
          <w:szCs w:val="16"/>
          <w:color w:val="auto"/>
        </w:rPr>
      </w:pPr>
    </w:p>
    <w:p>
      <w:pPr>
        <w:ind w:left="200" w:right="2879" w:firstLine="289"/>
        <w:spacing w:after="0" w:line="249" w:lineRule="auto"/>
        <w:tabs>
          <w:tab w:leader="none" w:pos="8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187" w:lineRule="exact"/>
        <w:rPr>
          <w:rFonts w:ascii="Courier New" w:cs="Courier New" w:eastAsia="Courier New" w:hAnsi="Courier New"/>
          <w:sz w:val="16"/>
          <w:szCs w:val="16"/>
          <w:color w:val="auto"/>
        </w:rPr>
      </w:pPr>
    </w:p>
    <w:p>
      <w:pPr>
        <w:ind w:left="200" w:right="2699" w:firstLine="289"/>
        <w:spacing w:after="0" w:line="252" w:lineRule="auto"/>
        <w:tabs>
          <w:tab w:leader="none" w:pos="8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or the method for determining such date or dates, on which the principal of such Debt Securities will be payable;</w:t>
      </w:r>
    </w:p>
    <w:p>
      <w:pPr>
        <w:spacing w:after="0" w:line="183" w:lineRule="exact"/>
        <w:rPr>
          <w:rFonts w:ascii="Courier New" w:cs="Courier New" w:eastAsia="Courier New" w:hAnsi="Courier New"/>
          <w:sz w:val="16"/>
          <w:szCs w:val="16"/>
          <w:color w:val="auto"/>
        </w:rPr>
      </w:pPr>
    </w:p>
    <w:p>
      <w:pPr>
        <w:jc w:val="both"/>
        <w:ind w:left="200" w:right="2699" w:firstLine="289"/>
        <w:spacing w:after="0" w:line="250" w:lineRule="auto"/>
        <w:tabs>
          <w:tab w:leader="none" w:pos="8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(which may be fixed or variable), or the method by which such rate or rates shall be determined, at which such Debt Securities will bear interest, if any;</w:t>
      </w:r>
    </w:p>
    <w:p>
      <w:pPr>
        <w:spacing w:after="0" w:line="185" w:lineRule="exact"/>
        <w:rPr>
          <w:rFonts w:ascii="Courier New" w:cs="Courier New" w:eastAsia="Courier New" w:hAnsi="Courier New"/>
          <w:sz w:val="16"/>
          <w:szCs w:val="16"/>
          <w:color w:val="auto"/>
        </w:rPr>
      </w:pPr>
    </w:p>
    <w:p>
      <w:pPr>
        <w:ind w:left="200" w:right="2699" w:firstLine="289"/>
        <w:spacing w:after="0" w:line="249" w:lineRule="auto"/>
        <w:tabs>
          <w:tab w:leader="none" w:pos="8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87" w:lineRule="exact"/>
        <w:rPr>
          <w:rFonts w:ascii="Courier New" w:cs="Courier New" w:eastAsia="Courier New" w:hAnsi="Courier New"/>
          <w:sz w:val="16"/>
          <w:szCs w:val="16"/>
          <w:color w:val="auto"/>
        </w:rPr>
      </w:pPr>
    </w:p>
    <w:p>
      <w:pPr>
        <w:ind w:left="200" w:right="2699" w:firstLine="289"/>
        <w:spacing w:after="0" w:line="249" w:lineRule="auto"/>
        <w:tabs>
          <w:tab w:leader="none" w:pos="8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87" w:lineRule="exact"/>
        <w:rPr>
          <w:rFonts w:ascii="Courier New" w:cs="Courier New" w:eastAsia="Courier New" w:hAnsi="Courier New"/>
          <w:sz w:val="16"/>
          <w:szCs w:val="16"/>
          <w:color w:val="auto"/>
        </w:rPr>
      </w:pPr>
    </w:p>
    <w:p>
      <w:pPr>
        <w:ind w:left="200" w:right="2699" w:firstLine="289"/>
        <w:spacing w:after="0" w:line="249" w:lineRule="auto"/>
        <w:tabs>
          <w:tab w:leader="none" w:pos="88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0" w:right="1440" w:bottom="1440" w:gutter="0" w:footer="0" w:header="0"/>
        </w:sectPr>
      </w:pPr>
    </w:p>
    <w:bookmarkStart w:id="45" w:name="page46"/>
    <w:bookmarkEnd w:id="45"/>
    <w:p>
      <w:pPr>
        <w:ind w:left="200" w:right="2699" w:firstLine="191"/>
        <w:spacing w:after="0" w:line="249" w:lineRule="auto"/>
        <w:tabs>
          <w:tab w:leader="none" w:pos="8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187" w:lineRule="exact"/>
        <w:rPr>
          <w:rFonts w:ascii="Courier New" w:cs="Courier New" w:eastAsia="Courier New" w:hAnsi="Courier New"/>
          <w:sz w:val="16"/>
          <w:szCs w:val="16"/>
          <w:color w:val="auto"/>
        </w:rPr>
      </w:pPr>
    </w:p>
    <w:p>
      <w:pPr>
        <w:ind w:left="200" w:right="2699" w:firstLine="191"/>
        <w:spacing w:after="0" w:line="249" w:lineRule="auto"/>
        <w:tabs>
          <w:tab w:leader="none" w:pos="8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187" w:lineRule="exact"/>
        <w:rPr>
          <w:rFonts w:ascii="Courier New" w:cs="Courier New" w:eastAsia="Courier New" w:hAnsi="Courier New"/>
          <w:sz w:val="16"/>
          <w:szCs w:val="16"/>
          <w:color w:val="auto"/>
        </w:rPr>
      </w:pPr>
    </w:p>
    <w:p>
      <w:pPr>
        <w:ind w:left="200" w:right="2699" w:firstLine="191"/>
        <w:spacing w:after="0" w:line="249" w:lineRule="auto"/>
        <w:tabs>
          <w:tab w:leader="none" w:pos="8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187" w:lineRule="exact"/>
        <w:rPr>
          <w:rFonts w:ascii="Courier New" w:cs="Courier New" w:eastAsia="Courier New" w:hAnsi="Courier New"/>
          <w:sz w:val="16"/>
          <w:szCs w:val="16"/>
          <w:color w:val="auto"/>
        </w:rPr>
      </w:pPr>
    </w:p>
    <w:p>
      <w:pPr>
        <w:ind w:left="200" w:right="2699" w:firstLine="191"/>
        <w:spacing w:after="0" w:line="250" w:lineRule="auto"/>
        <w:tabs>
          <w:tab w:leader="none" w:pos="8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additions to, modifications of or deletions from the terms of such Debt Securities with respect to the Events of Default or covenants set forth in the applicable Indenture;</w:t>
      </w:r>
    </w:p>
    <w:p>
      <w:pPr>
        <w:spacing w:after="0" w:line="185" w:lineRule="exact"/>
        <w:rPr>
          <w:rFonts w:ascii="Courier New" w:cs="Courier New" w:eastAsia="Courier New" w:hAnsi="Courier New"/>
          <w:sz w:val="16"/>
          <w:szCs w:val="16"/>
          <w:color w:val="auto"/>
        </w:rPr>
      </w:pPr>
    </w:p>
    <w:p>
      <w:pPr>
        <w:ind w:left="200" w:right="2699" w:firstLine="191"/>
        <w:spacing w:after="0" w:line="252" w:lineRule="auto"/>
        <w:tabs>
          <w:tab w:leader="none" w:pos="8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such Debt Securities will be issued in certificated or book-entry form;</w:t>
      </w:r>
    </w:p>
    <w:p>
      <w:pPr>
        <w:spacing w:after="0" w:line="183" w:lineRule="exact"/>
        <w:rPr>
          <w:rFonts w:ascii="Courier New" w:cs="Courier New" w:eastAsia="Courier New" w:hAnsi="Courier New"/>
          <w:sz w:val="16"/>
          <w:szCs w:val="16"/>
          <w:color w:val="auto"/>
        </w:rPr>
      </w:pPr>
    </w:p>
    <w:p>
      <w:pPr>
        <w:ind w:left="200" w:right="2699" w:firstLine="191"/>
        <w:spacing w:after="0" w:line="249" w:lineRule="auto"/>
        <w:tabs>
          <w:tab w:leader="none" w:pos="8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187" w:lineRule="exact"/>
        <w:rPr>
          <w:rFonts w:ascii="Courier New" w:cs="Courier New" w:eastAsia="Courier New" w:hAnsi="Courier New"/>
          <w:sz w:val="16"/>
          <w:szCs w:val="16"/>
          <w:color w:val="auto"/>
        </w:rPr>
      </w:pPr>
    </w:p>
    <w:p>
      <w:pPr>
        <w:ind w:left="200" w:right="2699" w:firstLine="191"/>
        <w:spacing w:after="0" w:line="252" w:lineRule="auto"/>
        <w:tabs>
          <w:tab w:leader="none" w:pos="8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applicability, if any, of the defeasance and covenant defeasance provisions of Article XIV of the applicable Indenture;</w:t>
      </w:r>
    </w:p>
    <w:p>
      <w:pPr>
        <w:spacing w:after="0" w:line="183" w:lineRule="exact"/>
        <w:rPr>
          <w:rFonts w:ascii="Courier New" w:cs="Courier New" w:eastAsia="Courier New" w:hAnsi="Courier New"/>
          <w:sz w:val="16"/>
          <w:szCs w:val="16"/>
          <w:color w:val="auto"/>
        </w:rPr>
      </w:pPr>
    </w:p>
    <w:p>
      <w:pPr>
        <w:ind w:left="880" w:hanging="489"/>
        <w:spacing w:after="0"/>
        <w:tabs>
          <w:tab w:leader="none" w:pos="8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if any, upon which such Debt Securities may be</w:t>
      </w:r>
    </w:p>
    <w:p>
      <w:pPr>
        <w:spacing w:after="0" w:line="6" w:lineRule="exact"/>
        <w:rPr>
          <w:rFonts w:ascii="Courier New" w:cs="Courier New" w:eastAsia="Courier New" w:hAnsi="Courier New"/>
          <w:sz w:val="16"/>
          <w:szCs w:val="16"/>
          <w:color w:val="auto"/>
        </w:rPr>
      </w:pPr>
    </w:p>
    <w:p>
      <w:pPr>
        <w:ind w:left="200" w:right="269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187" w:lineRule="exact"/>
        <w:rPr>
          <w:rFonts w:ascii="Courier New" w:cs="Courier New" w:eastAsia="Courier New" w:hAnsi="Courier New"/>
          <w:sz w:val="16"/>
          <w:szCs w:val="16"/>
          <w:color w:val="auto"/>
        </w:rPr>
      </w:pPr>
    </w:p>
    <w:p>
      <w:pPr>
        <w:ind w:left="200" w:right="2699" w:firstLine="191"/>
        <w:spacing w:after="0" w:line="249" w:lineRule="auto"/>
        <w:tabs>
          <w:tab w:leader="none" w:pos="8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187" w:lineRule="exact"/>
        <w:rPr>
          <w:rFonts w:ascii="Courier New" w:cs="Courier New" w:eastAsia="Courier New" w:hAnsi="Courier New"/>
          <w:sz w:val="16"/>
          <w:szCs w:val="16"/>
          <w:color w:val="auto"/>
        </w:rPr>
      </w:pPr>
    </w:p>
    <w:p>
      <w:pPr>
        <w:ind w:left="200" w:right="2979" w:firstLine="191"/>
        <w:spacing w:after="0" w:line="252" w:lineRule="auto"/>
        <w:tabs>
          <w:tab w:leader="none" w:pos="8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83"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0"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Denominations, Interest, Registration and Transfer</w:t>
      </w:r>
    </w:p>
    <w:p>
      <w:pPr>
        <w:spacing w:after="0" w:line="195" w:lineRule="exact"/>
        <w:rPr>
          <w:sz w:val="20"/>
          <w:szCs w:val="20"/>
          <w:color w:val="auto"/>
        </w:rPr>
      </w:pPr>
    </w:p>
    <w:p>
      <w:pPr>
        <w:ind w:right="2599" w:firstLine="196"/>
        <w:spacing w:after="0" w:line="250" w:lineRule="auto"/>
        <w:rPr>
          <w:sz w:val="20"/>
          <w:szCs w:val="20"/>
          <w:color w:val="auto"/>
        </w:rPr>
      </w:pPr>
      <w:r>
        <w:rPr>
          <w:rFonts w:ascii="Courier New" w:cs="Courier New" w:eastAsia="Courier New" w:hAnsi="Courier New"/>
          <w:sz w:val="16"/>
          <w:szCs w:val="16"/>
          <w:color w:val="auto"/>
        </w:rPr>
        <w:t>Unless otherwise described in the applicable Prospectus Supplement, the Debt Securities of any series will be issuable in denominations of $1,000 and integral multiples thereof (Section 302 of each Indenture).</w:t>
      </w:r>
    </w:p>
    <w:p>
      <w:pPr>
        <w:spacing w:after="0" w:line="18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Unless otherwise specified in the applicable Prospectus Supplement, the principal of (and applicable premium, if any) and interest on any series of Debt Securities will be payable at the corporate trust office of the Trustee, initially located at First Union National Bank, 230 S. Tryon Street, 9th Floor, Charlotte, North Carolina 28288-1179 in the case of the Senior Securities and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374"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0"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Merger, Consolidation or Sale</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 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Covenants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0" w:right="1440" w:bottom="1440" w:gutter="0" w:footer="0" w:header="0"/>
        </w:sectPr>
      </w:pPr>
    </w:p>
    <w:bookmarkStart w:id="48" w:name="page49"/>
    <w:bookmarkEnd w:id="48"/>
    <w:p>
      <w:pPr>
        <w:ind w:right="2799"/>
        <w:spacing w:after="0" w:line="249" w:lineRule="auto"/>
        <w:rPr>
          <w:sz w:val="20"/>
          <w:szCs w:val="20"/>
          <w:color w:val="auto"/>
        </w:rPr>
      </w:pPr>
      <w:r>
        <w:rPr>
          <w:rFonts w:ascii="Courier New" w:cs="Courier New" w:eastAsia="Courier New" w:hAnsi="Courier New"/>
          <w:sz w:val="16"/>
          <w:szCs w:val="16"/>
          <w:color w:val="auto"/>
        </w:rPr>
        <w:t>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187" w:lineRule="exact"/>
        <w:rPr>
          <w:sz w:val="20"/>
          <w:szCs w:val="20"/>
          <w:color w:val="auto"/>
        </w:rPr>
      </w:pPr>
    </w:p>
    <w:p>
      <w:pPr>
        <w:jc w:val="both"/>
        <w:ind w:right="2699" w:firstLine="196"/>
        <w:spacing w:after="0" w:line="250" w:lineRule="auto"/>
        <w:rPr>
          <w:sz w:val="20"/>
          <w:szCs w:val="20"/>
          <w:color w:val="auto"/>
        </w:rPr>
      </w:pPr>
      <w:r>
        <w:rPr>
          <w:rFonts w:ascii="Courier New" w:cs="Courier New" w:eastAsia="Courier New" w:hAnsi="Courier New"/>
          <w:sz w:val="16"/>
          <w:szCs w:val="16"/>
          <w:color w:val="auto"/>
        </w:rPr>
        <w:t>Additional Covenants. Any additional covenants of the Trust with respect to any series of Debt Securities will be set forth in the Prospectus Supplement relating thereto.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 Notice and Waiver</w:t>
      </w:r>
    </w:p>
    <w:p>
      <w:pPr>
        <w:spacing w:after="0" w:line="195"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9"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0" w:right="1440" w:bottom="1440" w:gutter="0" w:footer="0" w:header="0"/>
        </w:sectPr>
      </w:pPr>
    </w:p>
    <w:bookmarkStart w:id="49" w:name="page50"/>
    <w:bookmarkEnd w:id="49"/>
    <w:p>
      <w:pPr>
        <w:ind w:right="2599"/>
        <w:spacing w:after="0" w:line="249" w:lineRule="auto"/>
        <w:rPr>
          <w:sz w:val="20"/>
          <w:szCs w:val="20"/>
          <w:color w:val="auto"/>
        </w:rPr>
      </w:pPr>
      <w:r>
        <w:rPr>
          <w:rFonts w:ascii="Courier New" w:cs="Courier New" w:eastAsia="Courier New" w:hAnsi="Courier New"/>
          <w:sz w:val="16"/>
          <w:szCs w:val="16"/>
          <w:color w:val="auto"/>
        </w:rPr>
        <w:t>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 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37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of the Indentures</w:t>
      </w:r>
    </w:p>
    <w:p>
      <w:pPr>
        <w:spacing w:after="0" w:line="195" w:lineRule="exact"/>
        <w:rPr>
          <w:sz w:val="20"/>
          <w:szCs w:val="20"/>
          <w:color w:val="auto"/>
        </w:rPr>
      </w:pPr>
    </w:p>
    <w:p>
      <w:pPr>
        <w:jc w:val="both"/>
        <w:ind w:right="2699" w:firstLine="196"/>
        <w:spacing w:after="0" w:line="249" w:lineRule="auto"/>
        <w:rPr>
          <w:sz w:val="20"/>
          <w:szCs w:val="20"/>
          <w:color w:val="auto"/>
        </w:rPr>
      </w:pPr>
      <w:r>
        <w:rPr>
          <w:rFonts w:ascii="Courier New" w:cs="Courier New" w:eastAsia="Courier New" w:hAnsi="Courier New"/>
          <w:sz w:val="16"/>
          <w:szCs w:val="16"/>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0" w:right="1440" w:bottom="1440" w:gutter="0" w:footer="0" w:header="0"/>
        </w:sectPr>
      </w:pPr>
    </w:p>
    <w:bookmarkStart w:id="50" w:name="page51"/>
    <w:bookmarkEnd w:id="50"/>
    <w:p>
      <w:pPr>
        <w:ind w:right="2599"/>
        <w:spacing w:after="0" w:line="249" w:lineRule="auto"/>
        <w:rPr>
          <w:sz w:val="20"/>
          <w:szCs w:val="20"/>
          <w:color w:val="auto"/>
        </w:rPr>
      </w:pPr>
      <w:r>
        <w:rPr>
          <w:rFonts w:ascii="Courier New" w:cs="Courier New" w:eastAsia="Courier New" w:hAnsi="Courier New"/>
          <w:sz w:val="16"/>
          <w:szCs w:val="16"/>
          <w:color w:val="auto"/>
        </w:rPr>
        <w:t>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188" w:lineRule="exact"/>
        <w:rPr>
          <w:sz w:val="20"/>
          <w:szCs w:val="20"/>
          <w:color w:val="auto"/>
        </w:rPr>
      </w:pPr>
    </w:p>
    <w:p>
      <w:pPr>
        <w:ind w:right="2879" w:firstLine="196"/>
        <w:spacing w:after="0" w:line="248" w:lineRule="auto"/>
        <w:rPr>
          <w:sz w:val="20"/>
          <w:szCs w:val="20"/>
          <w:color w:val="auto"/>
        </w:rPr>
      </w:pPr>
      <w:r>
        <w:rPr>
          <w:rFonts w:ascii="Courier New" w:cs="Courier New" w:eastAsia="Courier New" w:hAnsi="Courier New"/>
          <w:sz w:val="16"/>
          <w:szCs w:val="16"/>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3" w:lineRule="exact"/>
        <w:rPr>
          <w:sz w:val="20"/>
          <w:szCs w:val="20"/>
          <w:color w:val="auto"/>
        </w:rPr>
      </w:pPr>
    </w:p>
    <w:p>
      <w:pPr>
        <w:ind w:right="2599"/>
        <w:spacing w:after="0" w:line="248" w:lineRule="auto"/>
        <w:tabs>
          <w:tab w:leader="none" w:pos="48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13" w:lineRule="exact"/>
        <w:rPr>
          <w:rFonts w:ascii="Courier New" w:cs="Courier New" w:eastAsia="Courier New" w:hAnsi="Courier New"/>
          <w:sz w:val="16"/>
          <w:szCs w:val="16"/>
          <w:color w:val="auto"/>
        </w:rPr>
      </w:pPr>
    </w:p>
    <w:p>
      <w:pPr>
        <w:ind w:right="2599"/>
        <w:spacing w:after="0" w:line="249" w:lineRule="auto"/>
        <w:tabs>
          <w:tab w:leader="none" w:pos="39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0" w:right="1440" w:bottom="1440" w:gutter="0" w:footer="0" w:header="0"/>
        </w:sectPr>
      </w:pPr>
    </w:p>
    <w:bookmarkStart w:id="51" w:name="page52"/>
    <w:bookmarkEnd w:id="51"/>
    <w:p>
      <w:pPr>
        <w:ind w:right="2599"/>
        <w:spacing w:after="0" w:line="249" w:lineRule="auto"/>
        <w:rPr>
          <w:sz w:val="20"/>
          <w:szCs w:val="20"/>
          <w:color w:val="auto"/>
        </w:rPr>
      </w:pPr>
      <w:r>
        <w:rPr>
          <w:rFonts w:ascii="Courier New" w:cs="Courier New" w:eastAsia="Courier New" w:hAnsi="Courier New"/>
          <w:sz w:val="16"/>
          <w:szCs w:val="16"/>
          <w:color w:val="auto"/>
        </w:rPr>
        <w:t>U.S. dollar equivalent, determined on the issue date for such Debt Security, of the principal amount (or, in the case of an Original Issue Discount Security, the U.S. dollar equivalent on the issue date of such Debt Security of the amount determined as provided in (i) above), (iii) 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187"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0" w:right="1440" w:bottom="1440" w:gutter="0" w:footer="0" w:header="0"/>
        </w:sectPr>
      </w:pPr>
    </w:p>
    <w:bookmarkStart w:id="52" w:name="page53"/>
    <w:bookmarkEnd w:id="52"/>
    <w:p>
      <w:pPr>
        <w:ind w:right="2599"/>
        <w:spacing w:after="0" w:line="249" w:lineRule="auto"/>
        <w:rPr>
          <w:sz w:val="20"/>
          <w:szCs w:val="20"/>
          <w:color w:val="auto"/>
        </w:rPr>
      </w:pPr>
      <w:r>
        <w:rPr>
          <w:rFonts w:ascii="Courier New" w:cs="Courier New" w:eastAsia="Courier New" w:hAnsi="Courier New"/>
          <w:sz w:val="16"/>
          <w:szCs w:val="16"/>
          <w:color w:val="auto"/>
        </w:rPr>
        <w:t>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187"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3" w:lineRule="exact"/>
        <w:rPr>
          <w:sz w:val="20"/>
          <w:szCs w:val="20"/>
          <w:color w:val="auto"/>
        </w:rPr>
      </w:pPr>
    </w:p>
    <w:p>
      <w:pPr>
        <w:ind w:right="2599"/>
        <w:spacing w:after="0" w:line="248" w:lineRule="auto"/>
        <w:tabs>
          <w:tab w:leader="none" w:pos="39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3" w:lineRule="exact"/>
        <w:rPr>
          <w:rFonts w:ascii="Courier New" w:cs="Courier New" w:eastAsia="Courier New" w:hAnsi="Courier New"/>
          <w:sz w:val="16"/>
          <w:szCs w:val="16"/>
          <w:color w:val="auto"/>
        </w:rPr>
      </w:pPr>
    </w:p>
    <w:p>
      <w:pPr>
        <w:ind w:right="2599"/>
        <w:spacing w:after="0" w:line="248" w:lineRule="auto"/>
        <w:tabs>
          <w:tab w:leader="none" w:pos="39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spacing w:after="0" w:line="3" w:lineRule="exact"/>
        <w:rPr>
          <w:rFonts w:ascii="Courier New" w:cs="Courier New" w:eastAsia="Courier New" w:hAnsi="Courier New"/>
          <w:sz w:val="16"/>
          <w:szCs w:val="16"/>
          <w:color w:val="auto"/>
        </w:rPr>
      </w:pPr>
    </w:p>
    <w:p>
      <w:pPr>
        <w:ind w:right="2599"/>
        <w:spacing w:after="0" w:line="249" w:lineRule="auto"/>
        <w:tabs>
          <w:tab w:leader="none" w:pos="39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 obligation or liability is not superior in right of payment to the Subordinated Securities or ranks pari passu with the Subordinated Securities, (2) 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1998, Senior Debt aggregated approximately $648 million. There are no restrictions in the Subordinated Indenture upon the creation of additional Senior Debt.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Discharge, Defeasance and Covenant Defeasance</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1" w:right="1440" w:bottom="1440" w:gutter="0" w:footer="0" w:header="0"/>
        </w:sectPr>
      </w:pPr>
    </w:p>
    <w:bookmarkStart w:id="53" w:name="page54"/>
    <w:bookmarkEnd w:id="53"/>
    <w:p>
      <w:pPr>
        <w:ind w:right="2599"/>
        <w:spacing w:after="0" w:line="249" w:lineRule="auto"/>
        <w:rPr>
          <w:sz w:val="20"/>
          <w:szCs w:val="20"/>
          <w:color w:val="auto"/>
        </w:rPr>
      </w:pPr>
      <w:r>
        <w:rPr>
          <w:rFonts w:ascii="Courier New" w:cs="Courier New" w:eastAsia="Courier New" w:hAnsi="Courier New"/>
          <w:sz w:val="16"/>
          <w:szCs w:val="16"/>
          <w:color w:val="auto"/>
        </w:rPr>
        <w:t>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186"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0" w:right="1440" w:bottom="1440" w:gutter="0" w:footer="0" w:header="0"/>
        </w:sectPr>
      </w:pPr>
    </w:p>
    <w:bookmarkStart w:id="54" w:name="page55"/>
    <w:bookmarkEnd w:id="54"/>
    <w:p>
      <w:pPr>
        <w:ind w:right="2599"/>
        <w:spacing w:after="0" w:line="249" w:lineRule="auto"/>
        <w:rPr>
          <w:sz w:val="20"/>
          <w:szCs w:val="20"/>
          <w:color w:val="auto"/>
        </w:rPr>
      </w:pPr>
      <w:r>
        <w:rPr>
          <w:rFonts w:ascii="Courier New" w:cs="Courier New" w:eastAsia="Courier New" w:hAnsi="Courier New"/>
          <w:sz w:val="16"/>
          <w:szCs w:val="16"/>
          <w:color w:val="auto"/>
        </w:rPr>
        <w:t>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 Unless otherwise provided in the applicable Prospectus Supplement, all payments of principal of (and premium, if any) and interest on any Debt Security that are payable in a Foreign Currency that ceases to be used by its government of issuance shall be made in U.S. dollars (Section 101 of each Indenture).</w:t>
      </w:r>
    </w:p>
    <w:p>
      <w:pPr>
        <w:spacing w:after="0" w:line="187"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4" w:lineRule="exact"/>
        <w:rPr>
          <w:sz w:val="20"/>
          <w:szCs w:val="20"/>
          <w:color w:val="auto"/>
        </w:rPr>
      </w:pPr>
    </w:p>
    <w:p>
      <w:pPr>
        <w:ind w:right="2599"/>
        <w:spacing w:after="0" w:line="249" w:lineRule="auto"/>
        <w:tabs>
          <w:tab w:leader="none" w:pos="39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195"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 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Global Securities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0" w:right="1440" w:bottom="1440" w:gutter="0" w:footer="0" w:header="0"/>
        </w:sectPr>
      </w:pPr>
    </w:p>
    <w:bookmarkStart w:id="55" w:name="page56"/>
    <w:bookmarkEnd w:id="55"/>
    <w:p>
      <w:pPr>
        <w:ind w:left="2340"/>
        <w:spacing w:after="0"/>
        <w:rPr>
          <w:sz w:val="20"/>
          <w:szCs w:val="20"/>
          <w:color w:val="auto"/>
        </w:rPr>
      </w:pPr>
      <w:r>
        <w:rPr>
          <w:rFonts w:ascii="Courier New" w:cs="Courier New" w:eastAsia="Courier New" w:hAnsi="Courier New"/>
          <w:sz w:val="16"/>
          <w:szCs w:val="16"/>
          <w:color w:val="auto"/>
        </w:rPr>
        <w:t>DESCRIPTION OF PREFERRED SHARES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The Trust is authorized to issue an unlimited number of preferred shares (the "Preferred Shares"). On October 6, 1997, the Trust issued 4,000,000 shares of 7.95% Series A Cumulative Redeemable Preferred Shares (liquidation preference $25.00 per share); no other Preferred Shares are outstanding.</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375" w:lineRule="exact"/>
        <w:rPr>
          <w:sz w:val="20"/>
          <w:szCs w:val="20"/>
          <w:color w:val="auto"/>
        </w:rPr>
      </w:pPr>
    </w:p>
    <w:p>
      <w:pPr>
        <w:ind w:right="2979" w:firstLine="196"/>
        <w:spacing w:after="0" w:line="252" w:lineRule="auto"/>
        <w:rPr>
          <w:sz w:val="20"/>
          <w:szCs w:val="20"/>
          <w:color w:val="auto"/>
        </w:rPr>
      </w:pPr>
      <w:r>
        <w:rPr>
          <w:rFonts w:ascii="Courier New" w:cs="Courier New" w:eastAsia="Courier New" w:hAnsi="Courier New"/>
          <w:sz w:val="16"/>
          <w:szCs w:val="16"/>
          <w:color w:val="auto"/>
        </w:rPr>
        <w:t>Reference is made to the Prospectus Supplement relating to the Preferred Shares offered thereby for specific terms, including:</w:t>
      </w:r>
    </w:p>
    <w:p>
      <w:pPr>
        <w:spacing w:after="0" w:line="183" w:lineRule="exact"/>
        <w:rPr>
          <w:sz w:val="20"/>
          <w:szCs w:val="20"/>
          <w:color w:val="auto"/>
        </w:rPr>
      </w:pPr>
    </w:p>
    <w:p>
      <w:pPr>
        <w:ind w:left="780" w:hanging="389"/>
        <w:spacing w:after="0"/>
        <w:tabs>
          <w:tab w:leader="none" w:pos="7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and stated value of such Preferred Shares;</w:t>
      </w:r>
    </w:p>
    <w:p>
      <w:pPr>
        <w:spacing w:after="0" w:line="194" w:lineRule="exact"/>
        <w:rPr>
          <w:rFonts w:ascii="Courier New" w:cs="Courier New" w:eastAsia="Courier New" w:hAnsi="Courier New"/>
          <w:sz w:val="16"/>
          <w:szCs w:val="16"/>
          <w:color w:val="auto"/>
        </w:rPr>
      </w:pPr>
    </w:p>
    <w:p>
      <w:pPr>
        <w:ind w:left="200" w:right="3279" w:firstLine="191"/>
        <w:spacing w:after="0" w:line="252" w:lineRule="auto"/>
        <w:tabs>
          <w:tab w:leader="none" w:pos="78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spacing w:after="0" w:line="183" w:lineRule="exact"/>
        <w:rPr>
          <w:rFonts w:ascii="Courier New" w:cs="Courier New" w:eastAsia="Courier New" w:hAnsi="Courier New"/>
          <w:sz w:val="16"/>
          <w:szCs w:val="16"/>
          <w:color w:val="auto"/>
        </w:rPr>
      </w:pPr>
    </w:p>
    <w:p>
      <w:pPr>
        <w:ind w:left="200" w:right="2879" w:firstLine="191"/>
        <w:spacing w:after="0" w:line="252" w:lineRule="auto"/>
        <w:tabs>
          <w:tab w:leader="none" w:pos="78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dividend rate(s), period(s) and/or payment date(s) or method(s) of calculation thereof applicable to such Preferred Shares;</w:t>
      </w:r>
    </w:p>
    <w:p>
      <w:pPr>
        <w:spacing w:after="0" w:line="183" w:lineRule="exact"/>
        <w:rPr>
          <w:rFonts w:ascii="Courier New" w:cs="Courier New" w:eastAsia="Courier New" w:hAnsi="Courier New"/>
          <w:sz w:val="16"/>
          <w:szCs w:val="16"/>
          <w:color w:val="auto"/>
        </w:rPr>
      </w:pPr>
    </w:p>
    <w:p>
      <w:pPr>
        <w:ind w:left="200" w:right="3579" w:firstLine="191"/>
        <w:spacing w:after="0" w:line="252" w:lineRule="auto"/>
        <w:tabs>
          <w:tab w:leader="none" w:pos="78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from which dividends on such Preferred Shares shall accumulate, if applicable;</w:t>
      </w:r>
    </w:p>
    <w:p>
      <w:pPr>
        <w:spacing w:after="0" w:line="183" w:lineRule="exact"/>
        <w:rPr>
          <w:rFonts w:ascii="Courier New" w:cs="Courier New" w:eastAsia="Courier New" w:hAnsi="Courier New"/>
          <w:sz w:val="16"/>
          <w:szCs w:val="16"/>
          <w:color w:val="auto"/>
        </w:rPr>
      </w:pPr>
    </w:p>
    <w:p>
      <w:pPr>
        <w:ind w:left="200" w:right="3179" w:firstLine="191"/>
        <w:spacing w:after="0" w:line="252" w:lineRule="auto"/>
        <w:tabs>
          <w:tab w:leader="none" w:pos="78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procedures for any auction and remarketing, if any, for such Preferred Shares;</w:t>
      </w:r>
    </w:p>
    <w:p>
      <w:pPr>
        <w:spacing w:after="0" w:line="183" w:lineRule="exact"/>
        <w:rPr>
          <w:rFonts w:ascii="Courier New" w:cs="Courier New" w:eastAsia="Courier New" w:hAnsi="Courier New"/>
          <w:sz w:val="16"/>
          <w:szCs w:val="16"/>
          <w:color w:val="auto"/>
        </w:rPr>
      </w:pPr>
    </w:p>
    <w:p>
      <w:pPr>
        <w:ind w:left="780" w:hanging="389"/>
        <w:spacing w:after="0"/>
        <w:tabs>
          <w:tab w:leader="none" w:pos="7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for a sinking fund, if any, for such Preferred Shares;</w:t>
      </w:r>
    </w:p>
    <w:p>
      <w:pPr>
        <w:spacing w:after="0" w:line="194" w:lineRule="exact"/>
        <w:rPr>
          <w:rFonts w:ascii="Courier New" w:cs="Courier New" w:eastAsia="Courier New" w:hAnsi="Courier New"/>
          <w:sz w:val="16"/>
          <w:szCs w:val="16"/>
          <w:color w:val="auto"/>
        </w:rPr>
      </w:pPr>
    </w:p>
    <w:p>
      <w:pPr>
        <w:ind w:left="200" w:right="3379" w:firstLine="191"/>
        <w:spacing w:after="0" w:line="252" w:lineRule="auto"/>
        <w:tabs>
          <w:tab w:leader="none" w:pos="78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for redemption, if applicable, of such Preferred Shares;</w:t>
      </w:r>
    </w:p>
    <w:p>
      <w:pPr>
        <w:spacing w:after="0" w:line="183" w:lineRule="exact"/>
        <w:rPr>
          <w:rFonts w:ascii="Courier New" w:cs="Courier New" w:eastAsia="Courier New" w:hAnsi="Courier New"/>
          <w:sz w:val="16"/>
          <w:szCs w:val="16"/>
          <w:color w:val="auto"/>
        </w:rPr>
      </w:pPr>
    </w:p>
    <w:p>
      <w:pPr>
        <w:ind w:left="780" w:hanging="389"/>
        <w:spacing w:after="0"/>
        <w:tabs>
          <w:tab w:leader="none" w:pos="7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listing of such Preferred Shares on any securities exchange;</w:t>
      </w:r>
    </w:p>
    <w:p>
      <w:pPr>
        <w:spacing w:after="0" w:line="194" w:lineRule="exact"/>
        <w:rPr>
          <w:rFonts w:ascii="Courier New" w:cs="Courier New" w:eastAsia="Courier New" w:hAnsi="Courier New"/>
          <w:sz w:val="16"/>
          <w:szCs w:val="16"/>
          <w:color w:val="auto"/>
        </w:rPr>
      </w:pPr>
    </w:p>
    <w:p>
      <w:pPr>
        <w:ind w:left="200" w:right="2879" w:firstLine="191"/>
        <w:spacing w:after="0" w:line="250" w:lineRule="auto"/>
        <w:tabs>
          <w:tab w:leader="none" w:pos="78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conditions, if applicable, upon which such Preferred Shares will be convertible into Common Shares of the Trust, including the conversion price (or manner of calculation thereof);</w:t>
      </w:r>
    </w:p>
    <w:p>
      <w:pPr>
        <w:spacing w:after="0" w:line="185" w:lineRule="exact"/>
        <w:rPr>
          <w:rFonts w:ascii="Courier New" w:cs="Courier New" w:eastAsia="Courier New" w:hAnsi="Courier New"/>
          <w:sz w:val="16"/>
          <w:szCs w:val="16"/>
          <w:color w:val="auto"/>
        </w:rPr>
      </w:pPr>
    </w:p>
    <w:p>
      <w:pPr>
        <w:ind w:left="200" w:right="3379" w:firstLine="191"/>
        <w:spacing w:after="0" w:line="252" w:lineRule="auto"/>
        <w:tabs>
          <w:tab w:leader="none" w:pos="88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specific terms, preferences, rights, limitations or restrictions of such Preferred Shares;</w:t>
      </w:r>
    </w:p>
    <w:p>
      <w:pPr>
        <w:spacing w:after="0" w:line="183" w:lineRule="exact"/>
        <w:rPr>
          <w:rFonts w:ascii="Courier New" w:cs="Courier New" w:eastAsia="Courier New" w:hAnsi="Courier New"/>
          <w:sz w:val="16"/>
          <w:szCs w:val="16"/>
          <w:color w:val="auto"/>
        </w:rPr>
      </w:pPr>
    </w:p>
    <w:p>
      <w:pPr>
        <w:ind w:left="200" w:right="2699" w:firstLine="191"/>
        <w:spacing w:after="0" w:line="252" w:lineRule="auto"/>
        <w:tabs>
          <w:tab w:leader="none" w:pos="88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discussion of federal income tax considerations applicable to such Preferred Shares;</w:t>
      </w:r>
    </w:p>
    <w:p>
      <w:pPr>
        <w:spacing w:after="0" w:line="183" w:lineRule="exact"/>
        <w:rPr>
          <w:rFonts w:ascii="Courier New" w:cs="Courier New" w:eastAsia="Courier New" w:hAnsi="Courier New"/>
          <w:sz w:val="16"/>
          <w:szCs w:val="16"/>
          <w:color w:val="auto"/>
        </w:rPr>
      </w:pPr>
    </w:p>
    <w:p>
      <w:pPr>
        <w:ind w:left="200" w:right="2799" w:firstLine="191"/>
        <w:spacing w:after="0" w:line="250" w:lineRule="auto"/>
        <w:tabs>
          <w:tab w:leader="none" w:pos="88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relative ranking and preferences of such Preferred Shares as to dividend rights and rights upon liquidation, dissolution or winding up of the affairs of the Trust;</w:t>
      </w:r>
    </w:p>
    <w:p>
      <w:pPr>
        <w:spacing w:after="0" w:line="185" w:lineRule="exact"/>
        <w:rPr>
          <w:rFonts w:ascii="Courier New" w:cs="Courier New" w:eastAsia="Courier New" w:hAnsi="Courier New"/>
          <w:sz w:val="16"/>
          <w:szCs w:val="16"/>
          <w:color w:val="auto"/>
        </w:rPr>
      </w:pPr>
    </w:p>
    <w:p>
      <w:pPr>
        <w:ind w:left="880" w:hanging="489"/>
        <w:spacing w:after="0"/>
        <w:tabs>
          <w:tab w:leader="none" w:pos="8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limitations on issuance of any series of Preferred Shares</w:t>
      </w:r>
    </w:p>
    <w:p>
      <w:pPr>
        <w:spacing w:after="0" w:line="6" w:lineRule="exact"/>
        <w:rPr>
          <w:rFonts w:ascii="Courier New" w:cs="Courier New" w:eastAsia="Courier New" w:hAnsi="Courier New"/>
          <w:sz w:val="16"/>
          <w:szCs w:val="16"/>
          <w:color w:val="auto"/>
        </w:rPr>
      </w:pPr>
    </w:p>
    <w:p>
      <w:pPr>
        <w:ind w:left="200" w:right="2699"/>
        <w:spacing w:after="0" w:line="25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ranking senior to or on a parity with such series of Preferred Shares as to dividend rights and rights upon liquidation, dissolution or winding up of the affairs of the Trust; and</w:t>
      </w:r>
    </w:p>
    <w:p>
      <w:pPr>
        <w:spacing w:after="0" w:line="18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80" w:right="1440" w:bottom="1440" w:gutter="0" w:footer="0" w:header="0"/>
        </w:sectPr>
      </w:pPr>
    </w:p>
    <w:bookmarkStart w:id="56" w:name="page57"/>
    <w:bookmarkEnd w:id="56"/>
    <w:p>
      <w:pPr>
        <w:jc w:val="both"/>
        <w:ind w:left="200" w:right="2879" w:firstLine="191"/>
        <w:spacing w:after="0" w:line="250" w:lineRule="auto"/>
        <w:tabs>
          <w:tab w:leader="none" w:pos="88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limitations on direct or beneficial ownership and restrictions on transfer, in each case as may be appropriate to preserve the status of the Trust as a REIT.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95" w:lineRule="exact"/>
        <w:rPr>
          <w:sz w:val="20"/>
          <w:szCs w:val="20"/>
          <w:color w:val="auto"/>
        </w:rPr>
      </w:pPr>
    </w:p>
    <w:p>
      <w:pPr>
        <w:jc w:val="both"/>
        <w:ind w:right="2699" w:firstLine="196"/>
        <w:spacing w:after="0" w:line="248" w:lineRule="auto"/>
        <w:rPr>
          <w:sz w:val="20"/>
          <w:szCs w:val="20"/>
          <w:color w:val="auto"/>
        </w:rPr>
      </w:pPr>
      <w:r>
        <w:rPr>
          <w:rFonts w:ascii="Courier New" w:cs="Courier New" w:eastAsia="Courier New" w:hAnsi="Courier New"/>
          <w:sz w:val="16"/>
          <w:szCs w:val="16"/>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w:t>
      </w:r>
    </w:p>
    <w:p>
      <w:pPr>
        <w:spacing w:after="0" w:line="3"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Each such dividend shall be payable to holders of record as they appear on the share transfer books of the Trust on such record dates as shall be fixed by the Board of Trustees of the Trust.</w:t>
      </w:r>
    </w:p>
    <w:p>
      <w:pPr>
        <w:spacing w:after="0" w:line="18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187"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 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0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80" w:right="1440" w:bottom="1440" w:gutter="0" w:footer="0" w:header="0"/>
        </w:sectPr>
      </w:pPr>
    </w:p>
    <w:bookmarkStart w:id="57" w:name="page58"/>
    <w:bookmarkEnd w:id="57"/>
    <w:p>
      <w:pPr>
        <w:ind w:right="2599" w:firstLine="196"/>
        <w:spacing w:after="0" w:line="249" w:lineRule="auto"/>
        <w:rPr>
          <w:sz w:val="20"/>
          <w:szCs w:val="20"/>
          <w:color w:val="auto"/>
        </w:rPr>
      </w:pPr>
      <w:r>
        <w:rPr>
          <w:rFonts w:ascii="Courier New" w:cs="Courier New" w:eastAsia="Courier New" w:hAnsi="Courier New"/>
          <w:sz w:val="16"/>
          <w:szCs w:val="16"/>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374" w:lineRule="exact"/>
        <w:rPr>
          <w:sz w:val="20"/>
          <w:szCs w:val="20"/>
          <w:color w:val="auto"/>
        </w:rPr>
      </w:pPr>
    </w:p>
    <w:p>
      <w:pPr>
        <w:jc w:val="both"/>
        <w:ind w:right="2879" w:firstLine="196"/>
        <w:spacing w:after="0" w:line="250" w:lineRule="auto"/>
        <w:rPr>
          <w:sz w:val="20"/>
          <w:szCs w:val="20"/>
          <w:color w:val="auto"/>
        </w:rPr>
      </w:pPr>
      <w:r>
        <w:rPr>
          <w:rFonts w:ascii="Courier New" w:cs="Courier New" w:eastAsia="Courier New" w:hAnsi="Courier New"/>
          <w:sz w:val="16"/>
          <w:szCs w:val="16"/>
          <w:color w:val="auto"/>
        </w:rPr>
        <w:t>Any dividend payment made on shares of a series of Preferred Shares shall first be credited against the earliest accrued but unpaid dividend due with respect to shares of such series which remains payable.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186"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 Preferred Shares of such series are simultaneously redeemed; provided, however, that the foregoing shall not prevent the purchase or acquisition of Preferred Shares of such series to preserve the REIT status of the Trust or pursuant to</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80" w:right="1440" w:bottom="1440" w:gutter="0" w:footer="0" w:header="0"/>
        </w:sectPr>
      </w:pPr>
    </w:p>
    <w:bookmarkStart w:id="58" w:name="page59"/>
    <w:bookmarkEnd w:id="58"/>
    <w:p>
      <w:pPr>
        <w:ind w:right="2599"/>
        <w:spacing w:after="0" w:line="249" w:lineRule="auto"/>
        <w:rPr>
          <w:sz w:val="20"/>
          <w:szCs w:val="20"/>
          <w:color w:val="auto"/>
        </w:rPr>
      </w:pPr>
      <w:r>
        <w:rPr>
          <w:rFonts w:ascii="Courier New" w:cs="Courier New" w:eastAsia="Courier New" w:hAnsi="Courier New"/>
          <w:sz w:val="16"/>
          <w:szCs w:val="16"/>
          <w:color w:val="auto"/>
        </w:rPr>
        <w:t>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186" w:lineRule="exact"/>
        <w:rPr>
          <w:sz w:val="20"/>
          <w:szCs w:val="20"/>
          <w:color w:val="auto"/>
        </w:rPr>
      </w:pPr>
    </w:p>
    <w:p>
      <w:pPr>
        <w:ind w:right="2879" w:firstLine="196"/>
        <w:spacing w:after="0" w:line="249" w:lineRule="auto"/>
        <w:rPr>
          <w:sz w:val="20"/>
          <w:szCs w:val="20"/>
          <w:color w:val="auto"/>
        </w:rPr>
      </w:pPr>
      <w:r>
        <w:rPr>
          <w:rFonts w:ascii="Courier New" w:cs="Courier New" w:eastAsia="Courier New" w:hAnsi="Courier New"/>
          <w:sz w:val="16"/>
          <w:szCs w:val="16"/>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187" w:lineRule="exact"/>
        <w:rPr>
          <w:sz w:val="20"/>
          <w:szCs w:val="20"/>
          <w:color w:val="auto"/>
        </w:rPr>
      </w:pPr>
    </w:p>
    <w:p>
      <w:pPr>
        <w:ind w:right="2699" w:firstLine="196"/>
        <w:spacing w:after="0" w:line="248" w:lineRule="auto"/>
        <w:rPr>
          <w:sz w:val="20"/>
          <w:szCs w:val="20"/>
          <w:color w:val="auto"/>
        </w:rPr>
      </w:pPr>
      <w:r>
        <w:rPr>
          <w:rFonts w:ascii="Courier New" w:cs="Courier New" w:eastAsia="Courier New" w:hAnsi="Courier New"/>
          <w:sz w:val="16"/>
          <w:szCs w:val="16"/>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5" w:lineRule="exact"/>
        <w:rPr>
          <w:sz w:val="20"/>
          <w:szCs w:val="20"/>
          <w:color w:val="auto"/>
        </w:rPr>
      </w:pPr>
    </w:p>
    <w:p>
      <w:pPr>
        <w:ind w:right="2599"/>
        <w:spacing w:after="0" w:line="249" w:lineRule="auto"/>
        <w:tabs>
          <w:tab w:leader="none" w:pos="39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Liquidation Preference</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80" w:right="1440" w:bottom="1440" w:gutter="0" w:footer="0" w:header="0"/>
        </w:sectPr>
      </w:pPr>
    </w:p>
    <w:bookmarkStart w:id="59" w:name="page60"/>
    <w:bookmarkEnd w:id="59"/>
    <w:p>
      <w:pPr>
        <w:ind w:right="2599"/>
        <w:spacing w:after="0" w:line="249" w:lineRule="auto"/>
        <w:rPr>
          <w:sz w:val="20"/>
          <w:szCs w:val="20"/>
          <w:color w:val="auto"/>
        </w:rPr>
      </w:pPr>
      <w:r>
        <w:rPr>
          <w:rFonts w:ascii="Courier New" w:cs="Courier New" w:eastAsia="Courier New" w:hAnsi="Courier New"/>
          <w:sz w:val="16"/>
          <w:szCs w:val="16"/>
          <w:color w:val="auto"/>
        </w:rPr>
        <w:t>the Trust 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Rights</w:t>
      </w:r>
    </w:p>
    <w:p>
      <w:pPr>
        <w:spacing w:after="0" w:line="195" w:lineRule="exact"/>
        <w:rPr>
          <w:sz w:val="20"/>
          <w:szCs w:val="20"/>
          <w:color w:val="auto"/>
        </w:rPr>
      </w:pPr>
    </w:p>
    <w:p>
      <w:pPr>
        <w:ind w:right="2799" w:firstLine="196"/>
        <w:spacing w:after="0" w:line="250" w:lineRule="auto"/>
        <w:rPr>
          <w:sz w:val="20"/>
          <w:szCs w:val="20"/>
          <w:color w:val="auto"/>
        </w:rPr>
      </w:pPr>
      <w:r>
        <w:rPr>
          <w:rFonts w:ascii="Courier New" w:cs="Courier New" w:eastAsia="Courier New" w:hAnsi="Courier New"/>
          <w:sz w:val="16"/>
          <w:szCs w:val="16"/>
          <w:color w:val="auto"/>
        </w:rPr>
        <w:t>Holders of the Preferred Shares will not have any voting rights, except as set forth below or as otherwise from time to time required by law or as indicated in the applicable Prospectus Supplement.</w:t>
      </w:r>
    </w:p>
    <w:p>
      <w:pPr>
        <w:spacing w:after="0" w:line="18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187" w:lineRule="exact"/>
        <w:rPr>
          <w:sz w:val="20"/>
          <w:szCs w:val="20"/>
          <w:color w:val="auto"/>
        </w:rPr>
      </w:pPr>
    </w:p>
    <w:p>
      <w:pPr>
        <w:ind w:right="2599" w:firstLine="196"/>
        <w:spacing w:after="0" w:line="248" w:lineRule="auto"/>
        <w:rPr>
          <w:sz w:val="20"/>
          <w:szCs w:val="20"/>
          <w:color w:val="auto"/>
        </w:rPr>
      </w:pPr>
      <w:r>
        <w:rPr>
          <w:rFonts w:ascii="Courier New" w:cs="Courier New" w:eastAsia="Courier New" w:hAnsi="Courier New"/>
          <w:sz w:val="16"/>
          <w:szCs w:val="16"/>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spacing w:after="0" w:line="15" w:lineRule="exact"/>
        <w:rPr>
          <w:sz w:val="20"/>
          <w:szCs w:val="20"/>
          <w:color w:val="auto"/>
        </w:rPr>
      </w:pPr>
    </w:p>
    <w:p>
      <w:pPr>
        <w:ind w:right="2599"/>
        <w:spacing w:after="0" w:line="249" w:lineRule="auto"/>
        <w:tabs>
          <w:tab w:leader="none" w:pos="39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80" w:right="1440" w:bottom="1440" w:gutter="0" w:footer="0" w:header="0"/>
        </w:sectPr>
      </w:pPr>
    </w:p>
    <w:bookmarkStart w:id="60" w:name="page61"/>
    <w:bookmarkEnd w:id="60"/>
    <w:p>
      <w:pPr>
        <w:ind w:right="2599" w:firstLine="196"/>
        <w:spacing w:after="0" w:line="249" w:lineRule="auto"/>
        <w:rPr>
          <w:sz w:val="20"/>
          <w:szCs w:val="20"/>
          <w:color w:val="auto"/>
        </w:rPr>
      </w:pPr>
      <w:r>
        <w:rPr>
          <w:rFonts w:ascii="Courier New" w:cs="Courier New" w:eastAsia="Courier New" w:hAnsi="Courier New"/>
          <w:sz w:val="16"/>
          <w:szCs w:val="16"/>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Liability</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Ownership</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As discussed below under "Description of Common Shares--Restrictions on Ownership,"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81" w:right="1440" w:bottom="1440" w:gutter="0" w:footer="0" w:header="0"/>
        </w:sectPr>
      </w:pPr>
    </w:p>
    <w:bookmarkStart w:id="61" w:name="page62"/>
    <w:bookmarkEnd w:id="61"/>
    <w:p>
      <w:pPr>
        <w:ind w:left="2440"/>
        <w:spacing w:after="0"/>
        <w:rPr>
          <w:sz w:val="20"/>
          <w:szCs w:val="20"/>
          <w:color w:val="auto"/>
        </w:rPr>
      </w:pPr>
      <w:r>
        <w:rPr>
          <w:rFonts w:ascii="Courier New" w:cs="Courier New" w:eastAsia="Courier New" w:hAnsi="Courier New"/>
          <w:sz w:val="16"/>
          <w:szCs w:val="16"/>
          <w:color w:val="auto"/>
        </w:rPr>
        <w:t>DESCRIPTION OF COMMON SHARES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186" w:lineRule="exact"/>
        <w:rPr>
          <w:sz w:val="20"/>
          <w:szCs w:val="20"/>
          <w:color w:val="auto"/>
        </w:rPr>
      </w:pPr>
    </w:p>
    <w:p>
      <w:pPr>
        <w:ind w:right="2799" w:firstLine="196"/>
        <w:spacing w:after="0" w:line="250" w:lineRule="auto"/>
        <w:rPr>
          <w:sz w:val="20"/>
          <w:szCs w:val="20"/>
          <w:color w:val="auto"/>
        </w:rPr>
      </w:pPr>
      <w:r>
        <w:rPr>
          <w:rFonts w:ascii="Courier New" w:cs="Courier New" w:eastAsia="Courier New" w:hAnsi="Courier New"/>
          <w:sz w:val="16"/>
          <w:szCs w:val="16"/>
          <w:color w:val="auto"/>
        </w:rPr>
        <w:t>Without shareholder approval, the Trust may issue an unlimited number of securities, warrants, rights, or other options to purchase Common Shares and other securities convertible into Common Shares.</w:t>
      </w:r>
    </w:p>
    <w:p>
      <w:pPr>
        <w:spacing w:after="0" w:line="18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186" w:lineRule="exact"/>
        <w:rPr>
          <w:sz w:val="20"/>
          <w:szCs w:val="20"/>
          <w:color w:val="auto"/>
        </w:rPr>
      </w:pPr>
    </w:p>
    <w:p>
      <w:pPr>
        <w:ind w:right="2799" w:firstLine="196"/>
        <w:spacing w:after="0" w:line="249" w:lineRule="auto"/>
        <w:rPr>
          <w:sz w:val="20"/>
          <w:szCs w:val="20"/>
          <w:color w:val="auto"/>
        </w:rPr>
      </w:pPr>
      <w:r>
        <w:rPr>
          <w:rFonts w:ascii="Courier New" w:cs="Courier New" w:eastAsia="Courier New" w:hAnsi="Courier New"/>
          <w:sz w:val="16"/>
          <w:szCs w:val="16"/>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187"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Ownership</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For the Trust to qualify as a REIT under the Code,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80" w:right="1440" w:bottom="1440" w:gutter="0" w:footer="0" w:header="0"/>
        </w:sectPr>
      </w:pPr>
    </w:p>
    <w:bookmarkStart w:id="62" w:name="page63"/>
    <w:bookmarkEnd w:id="62"/>
    <w:p>
      <w:pPr>
        <w:ind w:right="2599"/>
        <w:spacing w:after="0" w:line="249" w:lineRule="auto"/>
        <w:rPr>
          <w:sz w:val="20"/>
          <w:szCs w:val="20"/>
          <w:color w:val="auto"/>
        </w:rPr>
      </w:pPr>
      <w:r>
        <w:rPr>
          <w:rFonts w:ascii="Courier New" w:cs="Courier New" w:eastAsia="Courier New" w:hAnsi="Courier New"/>
          <w:sz w:val="16"/>
          <w:szCs w:val="16"/>
          <w:color w:val="auto"/>
        </w:rPr>
        <w:t>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Liability</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Registrar and Transfer Agent</w:t>
      </w:r>
    </w:p>
    <w:p>
      <w:pPr>
        <w:spacing w:after="0" w:line="195" w:lineRule="exact"/>
        <w:rPr>
          <w:sz w:val="20"/>
          <w:szCs w:val="20"/>
          <w:color w:val="auto"/>
        </w:rPr>
      </w:pPr>
    </w:p>
    <w:p>
      <w:pPr>
        <w:ind w:right="2979" w:firstLine="196"/>
        <w:spacing w:after="0" w:line="252" w:lineRule="auto"/>
        <w:rPr>
          <w:sz w:val="20"/>
          <w:szCs w:val="20"/>
          <w:color w:val="auto"/>
        </w:rPr>
      </w:pPr>
      <w:r>
        <w:rPr>
          <w:rFonts w:ascii="Courier New" w:cs="Courier New" w:eastAsia="Courier New" w:hAnsi="Courier New"/>
          <w:sz w:val="16"/>
          <w:szCs w:val="16"/>
          <w:color w:val="auto"/>
        </w:rPr>
        <w:t>The Registrar and Transfer Agent for the Common Shares is American Stock Transfer &amp; Trust Company, New York, New York.</w:t>
      </w:r>
    </w:p>
    <w:p>
      <w:pPr>
        <w:spacing w:after="0" w:line="183"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FEDERAL INCOME TAX CONSIDERATIONS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Trust believes it has operated, and the Trust intends to continue to operate, in such manner as to qualify as a REIT under the Code, but no assurance can be given that it will at all times so qualify. The provisions of the Code pertaining to REITs are highly technical and complex. The following is a brief and general summary of certain provisions that currently govern the federal income tax treatment of the Trust and its shareholders. For the particular provisions that govern the federal income tax treatment of the Trust and its shareholders, reference is made to Sections 856 through 860 of the Code and the treasury regulations promulgated thereunder. The following summary is qualified in its entirety by such reference.</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Under the Code, if certain requirements are met in a taxable year, a REIT generally will not be subject to federal income tax with respect to income that it distributes to its shareholders. If the Trust fails to qualify during any taxable year as a REIT, unless certain relief provisions are available, it will be subject to tax (including any applicable alternative minimum tax) on its taxable income at regular corporate rates, which could have a material adverse effect upon its shareholders.</w:t>
      </w:r>
    </w:p>
    <w:p>
      <w:pPr>
        <w:spacing w:after="0" w:line="187" w:lineRule="exact"/>
        <w:rPr>
          <w:sz w:val="20"/>
          <w:szCs w:val="20"/>
          <w:color w:val="auto"/>
        </w:rPr>
      </w:pPr>
    </w:p>
    <w:p>
      <w:pPr>
        <w:ind w:right="2879" w:firstLine="196"/>
        <w:spacing w:after="0" w:line="249" w:lineRule="auto"/>
        <w:rPr>
          <w:sz w:val="20"/>
          <w:szCs w:val="20"/>
          <w:color w:val="auto"/>
        </w:rPr>
      </w:pPr>
      <w:r>
        <w:rPr>
          <w:rFonts w:ascii="Courier New" w:cs="Courier New" w:eastAsia="Courier New" w:hAnsi="Courier New"/>
          <w:sz w:val="16"/>
          <w:szCs w:val="16"/>
          <w:color w:val="auto"/>
        </w:rPr>
        <w:t>To qualify as a REIT, the Trust must comply with a number of annual requirements regarding its income, assets and distributions. These requirements impose a number of restrictions on the Trust's operations. For example, the Trust may not lease property if the lease has the effect of giving the Trust a share of the net income of the lessee. The amount of personal property that may be included under</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80" w:right="1440" w:bottom="1440" w:gutter="0" w:footer="0" w:header="0"/>
        </w:sectPr>
      </w:pPr>
    </w:p>
    <w:bookmarkStart w:id="63" w:name="page64"/>
    <w:bookmarkEnd w:id="63"/>
    <w:p>
      <w:pPr>
        <w:ind w:right="2599"/>
        <w:spacing w:after="0" w:line="249" w:lineRule="auto"/>
        <w:rPr>
          <w:sz w:val="20"/>
          <w:szCs w:val="20"/>
          <w:color w:val="auto"/>
        </w:rPr>
      </w:pPr>
      <w:r>
        <w:rPr>
          <w:rFonts w:ascii="Courier New" w:cs="Courier New" w:eastAsia="Courier New" w:hAnsi="Courier New"/>
          <w:sz w:val="16"/>
          <w:szCs w:val="16"/>
          <w:color w:val="auto"/>
        </w:rPr>
        <w:t>a lease may not exceed a defined, low level, and the Trust may not provide services to its tenants, other than customary services and de minimis non-customary services. The Trust's ability to acquire non-real estate assets is restricted, and a 100% tax is imposed on any gain that the Trust realizes from sales of property to customers in the ordinary course of business (other than property acquired by reason of certain foreclosures), effectively preventing the Trust from participating directly in condominium projects and other projects involving the development of property for resale. Minimum distribution requirements also generally require the Trust to distribute at least 95% of its taxable income each year (excluding any net capital gain).</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any year in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A portion of such gains may be taxed at the 25% rate applicable to "Section 1250" gains. To the extent that distributions exceed current or accumulated earnings and profits, they will constitute a return of capital, rather than dividend or capital gain income, and will reduce the basis for the shareholder's Securities with respect to which the distribution is paid or, to the extent that they exceed such basis, will be taxed in the same manner as gain from the sale of those Securities.</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Investors are urged to consult their own tax advisors with respect to the appropriateness of an investment in the Securities offered hereby and with respect to the tax consequences arising under federal law and the laws of any state, municipality or other taxing jurisdiction, including tax consequences resulting from such investor's own tax characteristics. In particular, foreign investors should consult their own tax advisors concerning the tax consequences of an investment in the Trust, including the possibility of United States income tax withholding on Trust distributions.</w:t>
      </w:r>
    </w:p>
    <w:p>
      <w:pPr>
        <w:spacing w:after="0" w:line="18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PLAN OF DISTRIBUTION</w:t>
      </w:r>
    </w:p>
    <w:p>
      <w:pPr>
        <w:spacing w:after="0" w:line="195" w:lineRule="exact"/>
        <w:rPr>
          <w:sz w:val="20"/>
          <w:szCs w:val="20"/>
          <w:color w:val="auto"/>
        </w:rPr>
      </w:pPr>
    </w:p>
    <w:p>
      <w:pPr>
        <w:ind w:right="2699" w:firstLine="196"/>
        <w:spacing w:after="0" w:line="252" w:lineRule="auto"/>
        <w:rPr>
          <w:sz w:val="20"/>
          <w:szCs w:val="20"/>
          <w:color w:val="auto"/>
        </w:rPr>
      </w:pPr>
      <w:r>
        <w:rPr>
          <w:rFonts w:ascii="Courier New" w:cs="Courier New" w:eastAsia="Courier New" w:hAnsi="Courier New"/>
          <w:sz w:val="16"/>
          <w:szCs w:val="16"/>
          <w:color w:val="auto"/>
        </w:rPr>
        <w:t>The Trust may sell Securities to or through underwriters, and also may sell Securities directly to other purchasers or through agents.</w:t>
      </w:r>
    </w:p>
    <w:p>
      <w:pPr>
        <w:spacing w:after="0" w:line="183"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80" w:right="1440" w:bottom="1440" w:gutter="0" w:footer="0" w:header="0"/>
        </w:sectPr>
      </w:pPr>
    </w:p>
    <w:bookmarkStart w:id="64" w:name="page65"/>
    <w:bookmarkEnd w:id="64"/>
    <w:p>
      <w:pPr>
        <w:ind w:right="2599"/>
        <w:spacing w:after="0" w:line="249" w:lineRule="auto"/>
        <w:rPr>
          <w:sz w:val="20"/>
          <w:szCs w:val="20"/>
          <w:color w:val="auto"/>
        </w:rPr>
      </w:pPr>
      <w:r>
        <w:rPr>
          <w:rFonts w:ascii="Courier New" w:cs="Courier New" w:eastAsia="Courier New" w:hAnsi="Courier New"/>
          <w:sz w:val="16"/>
          <w:szCs w:val="16"/>
          <w:color w:val="auto"/>
        </w:rPr>
        <w:t>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188"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188" w:lineRule="exact"/>
        <w:rPr>
          <w:sz w:val="20"/>
          <w:szCs w:val="20"/>
          <w:color w:val="auto"/>
        </w:rPr>
      </w:pPr>
    </w:p>
    <w:p>
      <w:pPr>
        <w:ind w:right="2599" w:firstLine="196"/>
        <w:spacing w:after="0" w:line="253" w:lineRule="auto"/>
        <w:rPr>
          <w:sz w:val="20"/>
          <w:szCs w:val="20"/>
          <w:color w:val="auto"/>
        </w:rPr>
      </w:pPr>
      <w:r>
        <w:rPr>
          <w:rFonts w:ascii="Courier New" w:cs="Courier New" w:eastAsia="Courier New" w:hAnsi="Courier New"/>
          <w:sz w:val="16"/>
          <w:szCs w:val="16"/>
          <w:color w:val="auto"/>
        </w:rPr>
        <w:t>Underwriters, dealers and agents may engage in transactions with, or perform services for, or be customers of, the Trust in the ordinary course of business.</w:t>
      </w:r>
    </w:p>
    <w:p>
      <w:pPr>
        <w:spacing w:after="0" w:line="370"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187"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LEGAL OPINIONS</w:t>
      </w:r>
    </w:p>
    <w:p>
      <w:pPr>
        <w:spacing w:after="0" w:line="195" w:lineRule="exact"/>
        <w:rPr>
          <w:sz w:val="20"/>
          <w:szCs w:val="20"/>
          <w:color w:val="auto"/>
        </w:rPr>
      </w:pPr>
    </w:p>
    <w:p>
      <w:pPr>
        <w:ind w:right="2699" w:firstLine="196"/>
        <w:spacing w:after="0" w:line="249" w:lineRule="auto"/>
        <w:rPr>
          <w:sz w:val="20"/>
          <w:szCs w:val="20"/>
          <w:color w:val="auto"/>
        </w:rPr>
      </w:pPr>
      <w:r>
        <w:rPr>
          <w:rFonts w:ascii="Courier New" w:cs="Courier New" w:eastAsia="Courier New" w:hAnsi="Courier New"/>
          <w:sz w:val="16"/>
          <w:szCs w:val="16"/>
          <w:color w:val="auto"/>
        </w:rPr>
        <w:t>The legality of the Securities offered hereby is being passed upon for the Trust by Kirkpatrick &amp; Lockhart LLP, 1800 Massachusetts Avenue, N.W., Washington, D.C. 20036-1800. Certain REIT tax matters relating to the Trust are being passed upon by Goodwin, Procter &amp; Hoar LLP, Exchange Place, Boston, Massachusetts 02109. Brown &amp; Wood LLP, One World Trade Center, New York, New York 10048-0557 will act as counsel to any underwriters, dealers or agents.</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EXPERTS</w:t>
      </w:r>
    </w:p>
    <w:p>
      <w:pPr>
        <w:spacing w:after="0" w:line="195"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The Consolidated FInancial Statements and Schedules of the Trust as of December 31, 1997 and 1996 and for each of the years in the three year period ended December 31, 1997 incorporated herein by reference have been incorporated herein in reliance on the reports dated February 5, 1998 of Grant Thornton LLP, independent certified public accountants, also incorporated by reference herein, and upon the authority of said firm as experts in accounting and auditing.</w:t>
      </w:r>
    </w:p>
    <w:p>
      <w:pPr>
        <w:spacing w:after="0" w:line="187" w:lineRule="exact"/>
        <w:rPr>
          <w:sz w:val="20"/>
          <w:szCs w:val="20"/>
          <w:color w:val="auto"/>
        </w:rPr>
      </w:pPr>
    </w:p>
    <w:p>
      <w:pPr>
        <w:ind w:right="2599" w:firstLine="196"/>
        <w:spacing w:after="0" w:line="249" w:lineRule="auto"/>
        <w:rPr>
          <w:sz w:val="20"/>
          <w:szCs w:val="20"/>
          <w:color w:val="auto"/>
        </w:rPr>
      </w:pPr>
      <w:r>
        <w:rPr>
          <w:rFonts w:ascii="Courier New" w:cs="Courier New" w:eastAsia="Courier New" w:hAnsi="Courier New"/>
          <w:sz w:val="16"/>
          <w:szCs w:val="16"/>
          <w:color w:val="auto"/>
        </w:rPr>
        <w:t>With respect to the unaudited interim financial information included in the Trust's Quarterly Reports on Form 10-Q for the quarters ended March 31, 1998 and June 30, 1998 which are incorporated herein by reference, Grant Thornton LLP has applied limited procedures in accordance with professional standards for a review of such information. However, as stated in their reports dated May 5, 1998 and August 5, 1998 included in the Trust's Quarterly Reports on Form 10-Q for the quarters ended March 31, 1998 and June 30, 1998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 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37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80" w:right="1440" w:bottom="1440" w:gutter="0" w:footer="0" w:header="0"/>
        </w:sectPr>
      </w:pPr>
    </w:p>
    <w:bookmarkStart w:id="65" w:name="page66"/>
    <w:bookmarkEnd w:id="65"/>
    <w:p>
      <w:pPr>
        <w:spacing w:after="0" w:line="18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[LOGO OF FEDERAL REALTY INVESTMENT TRUST]</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lvl w:ilvl="1">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3"/>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lowerRoman"/>
      <w:start w:val="2"/>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0"/>
    </w:lvl>
  </w:abstractNum>
  <w:abstractNum w:abstractNumId="23">
    <w:nsid w:val="836C40E"/>
    <w:multiLevelType w:val="hybridMultilevel"/>
    <w:lvl w:ilvl="0">
      <w:lvlJc w:val="left"/>
      <w:lvlText w:val="(%1)"/>
      <w:numFmt w:val="lowerRoman"/>
      <w:start w:val="2"/>
    </w:lvl>
  </w:abstractNum>
  <w:abstractNum w:abstractNumId="24">
    <w:nsid w:val="2901D82"/>
    <w:multiLevelType w:val="hybridMultilevel"/>
    <w:lvl w:ilvl="0">
      <w:lvlJc w:val="left"/>
      <w:lvlText w:val="(%1)"/>
      <w:numFmt w:val="lowerRoman"/>
      <w:start w:val="10"/>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4"/>
    </w:lvl>
  </w:abstractNum>
  <w:abstractNum w:abstractNumId="27">
    <w:nsid w:val="1E7FF521"/>
    <w:multiLevelType w:val="hybridMultilevel"/>
    <w:lvl w:ilvl="0">
      <w:lvlJc w:val="left"/>
      <w:lvlText w:val="(%1)"/>
      <w:numFmt w:val="lowerLetter"/>
      <w:start w:val="6"/>
    </w:lvl>
  </w:abstractNum>
  <w:abstractNum w:abstractNumId="28">
    <w:nsid w:val="7C3DBD3D"/>
    <w:multiLevelType w:val="hybridMultilevel"/>
    <w:lvl w:ilvl="0">
      <w:lvlJc w:val="left"/>
      <w:lvlText w:val="(%1)"/>
      <w:numFmt w:val="lowerLetter"/>
      <w:start w:val="7"/>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4"/>
    </w:lvl>
  </w:abstractNum>
  <w:abstractNum w:abstractNumId="31">
    <w:nsid w:val="22221A70"/>
    <w:multiLevelType w:val="hybridMultilevel"/>
    <w:lvl w:ilvl="0">
      <w:lvlJc w:val="left"/>
      <w:lvlText w:val="(%1)"/>
      <w:numFmt w:val="lowerRoman"/>
      <w:start w:val="5"/>
    </w:lvl>
  </w:abstractNum>
  <w:abstractNum w:abstractNumId="32">
    <w:nsid w:val="4516DDE9"/>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2019-12-12T06:10:57Z</dcterms:created>
  <dcterms:modified xsi:type="dcterms:W3CDTF">2019-12-12T06:10:57Z</dcterms:modified>
</cp:coreProperties>
</file>